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7E1DF" w14:textId="77777777" w:rsidR="00360191" w:rsidRPr="00DC212C" w:rsidRDefault="00000000">
      <w:pPr>
        <w:rPr>
          <w:rFonts w:cs="Times New Roman"/>
          <w:sz w:val="19"/>
          <w:szCs w:val="19"/>
        </w:rPr>
      </w:pPr>
      <w:r w:rsidRPr="00DC212C">
        <w:rPr>
          <w:rFonts w:cs="Times New Roman"/>
          <w:b/>
          <w:sz w:val="19"/>
          <w:szCs w:val="19"/>
        </w:rPr>
        <w:t>Supplementary Table S1. Operational definitions and analytic handling rules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64"/>
        <w:gridCol w:w="5440"/>
        <w:gridCol w:w="6456"/>
      </w:tblGrid>
      <w:tr w:rsidR="00360191" w:rsidRPr="00DC212C" w14:paraId="5E560CBF" w14:textId="77777777">
        <w:trPr>
          <w:tblHeader/>
          <w:jc w:val="center"/>
        </w:trPr>
        <w:tc>
          <w:tcPr>
            <w:tcW w:w="2951" w:type="dxa"/>
            <w:shd w:val="clear" w:color="auto" w:fill="D9EAF7"/>
            <w:vAlign w:val="center"/>
          </w:tcPr>
          <w:p w14:paraId="6730FEDA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b/>
                <w:sz w:val="19"/>
                <w:szCs w:val="19"/>
              </w:rPr>
              <w:t>Term</w:t>
            </w:r>
          </w:p>
        </w:tc>
        <w:tc>
          <w:tcPr>
            <w:tcW w:w="5688" w:type="dxa"/>
            <w:shd w:val="clear" w:color="auto" w:fill="D9EAF7"/>
            <w:vAlign w:val="center"/>
          </w:tcPr>
          <w:p w14:paraId="5DADDF0A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b/>
                <w:sz w:val="19"/>
                <w:szCs w:val="19"/>
              </w:rPr>
              <w:t>Operational definition</w:t>
            </w:r>
          </w:p>
        </w:tc>
        <w:tc>
          <w:tcPr>
            <w:tcW w:w="6768" w:type="dxa"/>
            <w:shd w:val="clear" w:color="auto" w:fill="D9EAF7"/>
            <w:vAlign w:val="center"/>
          </w:tcPr>
          <w:p w14:paraId="72526769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b/>
                <w:sz w:val="19"/>
                <w:szCs w:val="19"/>
              </w:rPr>
              <w:t>Analytic handling rule</w:t>
            </w:r>
          </w:p>
        </w:tc>
      </w:tr>
      <w:tr w:rsidR="00360191" w:rsidRPr="00DC212C" w14:paraId="0D14955E" w14:textId="77777777">
        <w:trPr>
          <w:jc w:val="center"/>
        </w:trPr>
        <w:tc>
          <w:tcPr>
            <w:tcW w:w="2951" w:type="dxa"/>
          </w:tcPr>
          <w:p w14:paraId="2633E0EB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b/>
                <w:sz w:val="19"/>
                <w:szCs w:val="19"/>
              </w:rPr>
              <w:t>Laboratory-confirmed case</w:t>
            </w:r>
          </w:p>
        </w:tc>
        <w:tc>
          <w:tcPr>
            <w:tcW w:w="5688" w:type="dxa"/>
          </w:tcPr>
          <w:p w14:paraId="2F484F92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A case reported by official sources as laboratory-confirmed Bundibugyo virus disease.</w:t>
            </w:r>
          </w:p>
        </w:tc>
        <w:tc>
          <w:tcPr>
            <w:tcW w:w="6768" w:type="dxa"/>
          </w:tcPr>
          <w:p w14:paraId="0421505C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Used as the primary case denominator for confirmed-case analyses in the Democratic Republic of the Congo and Uganda.</w:t>
            </w:r>
          </w:p>
        </w:tc>
      </w:tr>
      <w:tr w:rsidR="00360191" w:rsidRPr="00DC212C" w14:paraId="1F8AF12C" w14:textId="77777777">
        <w:trPr>
          <w:jc w:val="center"/>
        </w:trPr>
        <w:tc>
          <w:tcPr>
            <w:tcW w:w="2951" w:type="dxa"/>
          </w:tcPr>
          <w:p w14:paraId="69B2F69C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b/>
                <w:sz w:val="19"/>
                <w:szCs w:val="19"/>
              </w:rPr>
              <w:t>Confirmed death</w:t>
            </w:r>
          </w:p>
        </w:tc>
        <w:tc>
          <w:tcPr>
            <w:tcW w:w="5688" w:type="dxa"/>
          </w:tcPr>
          <w:p w14:paraId="11ABB91C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A death reported among laboratory-confirmed cases.</w:t>
            </w:r>
          </w:p>
        </w:tc>
        <w:tc>
          <w:tcPr>
            <w:tcW w:w="6768" w:type="dxa"/>
          </w:tcPr>
          <w:p w14:paraId="03E91302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Used as the numerator for crude observed case fatality ratio.</w:t>
            </w:r>
          </w:p>
        </w:tc>
      </w:tr>
      <w:tr w:rsidR="00360191" w:rsidRPr="00DC212C" w14:paraId="15D0E04E" w14:textId="77777777">
        <w:trPr>
          <w:jc w:val="center"/>
        </w:trPr>
        <w:tc>
          <w:tcPr>
            <w:tcW w:w="2951" w:type="dxa"/>
          </w:tcPr>
          <w:p w14:paraId="3052D65D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b/>
                <w:sz w:val="19"/>
                <w:szCs w:val="19"/>
              </w:rPr>
              <w:t>Daily new confirmed cases</w:t>
            </w:r>
          </w:p>
        </w:tc>
        <w:tc>
          <w:tcPr>
            <w:tcW w:w="5688" w:type="dxa"/>
          </w:tcPr>
          <w:p w14:paraId="74F67C28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New laboratory-confirmed cases reported for a given reporting period, or calculated from consecutive source-verified cumulative totals where appropriate.</w:t>
            </w:r>
          </w:p>
        </w:tc>
        <w:tc>
          <w:tcPr>
            <w:tcW w:w="6768" w:type="dxa"/>
          </w:tcPr>
          <w:p w14:paraId="2F060A96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When source-reported new cases differed from net cumulative change because of harmonisation, both values were retained and flagged.</w:t>
            </w:r>
          </w:p>
        </w:tc>
      </w:tr>
      <w:tr w:rsidR="00360191" w:rsidRPr="00DC212C" w14:paraId="5372469B" w14:textId="77777777">
        <w:trPr>
          <w:jc w:val="center"/>
        </w:trPr>
        <w:tc>
          <w:tcPr>
            <w:tcW w:w="2951" w:type="dxa"/>
          </w:tcPr>
          <w:p w14:paraId="0939D294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b/>
                <w:sz w:val="19"/>
                <w:szCs w:val="19"/>
              </w:rPr>
              <w:t>Cumulative confirmed cases</w:t>
            </w:r>
          </w:p>
        </w:tc>
        <w:tc>
          <w:tcPr>
            <w:tcW w:w="5688" w:type="dxa"/>
          </w:tcPr>
          <w:p w14:paraId="0A501AC3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Total laboratory-confirmed cases reported up to a given reporting date.</w:t>
            </w:r>
          </w:p>
        </w:tc>
        <w:tc>
          <w:tcPr>
            <w:tcW w:w="6768" w:type="dxa"/>
          </w:tcPr>
          <w:p w14:paraId="3E1F57A6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Used for epidemic trajectory and detected case-growth analysis. Negative increments were treated as harmonisation events when source-supported.</w:t>
            </w:r>
          </w:p>
        </w:tc>
      </w:tr>
      <w:tr w:rsidR="00360191" w:rsidRPr="00DC212C" w14:paraId="6A2A7F78" w14:textId="77777777">
        <w:trPr>
          <w:jc w:val="center"/>
        </w:trPr>
        <w:tc>
          <w:tcPr>
            <w:tcW w:w="2951" w:type="dxa"/>
          </w:tcPr>
          <w:p w14:paraId="620B9733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b/>
                <w:sz w:val="19"/>
                <w:szCs w:val="19"/>
              </w:rPr>
              <w:t>Crude observed case fatality ratio</w:t>
            </w:r>
          </w:p>
        </w:tc>
        <w:tc>
          <w:tcPr>
            <w:tcW w:w="5688" w:type="dxa"/>
          </w:tcPr>
          <w:p w14:paraId="71B47922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Confirmed deaths divided by confirmed cases at a given reporting date.</w:t>
            </w:r>
          </w:p>
        </w:tc>
        <w:tc>
          <w:tcPr>
            <w:tcW w:w="6768" w:type="dxa"/>
          </w:tcPr>
          <w:p w14:paraId="339805FD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Interpreted as a time-point-specific observed proportion, not as final case fatality risk. Exact binomial confidence intervals were calculated using the Clopper-Pearson method.</w:t>
            </w:r>
          </w:p>
        </w:tc>
      </w:tr>
      <w:tr w:rsidR="00360191" w:rsidRPr="00DC212C" w14:paraId="0C84F287" w14:textId="77777777">
        <w:trPr>
          <w:jc w:val="center"/>
        </w:trPr>
        <w:tc>
          <w:tcPr>
            <w:tcW w:w="2951" w:type="dxa"/>
          </w:tcPr>
          <w:p w14:paraId="7B690026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b/>
                <w:sz w:val="19"/>
                <w:szCs w:val="19"/>
              </w:rPr>
              <w:t>Resolved-outcome case fatality ratio</w:t>
            </w:r>
          </w:p>
        </w:tc>
        <w:tc>
          <w:tcPr>
            <w:tcW w:w="5688" w:type="dxa"/>
          </w:tcPr>
          <w:p w14:paraId="06379EAE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Confirmed deaths divided by confirmed deaths plus recoveries.</w:t>
            </w:r>
          </w:p>
        </w:tc>
        <w:tc>
          <w:tcPr>
            <w:tcW w:w="6768" w:type="dxa"/>
          </w:tcPr>
          <w:p w14:paraId="1ECF29D7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Pre-specified as a sensitivity indicator only because most confirmed cases still had unresolved outcomes during the active outbreak.</w:t>
            </w:r>
          </w:p>
        </w:tc>
      </w:tr>
      <w:tr w:rsidR="00360191" w:rsidRPr="00DC212C" w14:paraId="586BA57F" w14:textId="77777777">
        <w:trPr>
          <w:jc w:val="center"/>
        </w:trPr>
        <w:tc>
          <w:tcPr>
            <w:tcW w:w="2951" w:type="dxa"/>
          </w:tcPr>
          <w:p w14:paraId="6358DB37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b/>
                <w:sz w:val="19"/>
                <w:szCs w:val="19"/>
              </w:rPr>
              <w:t>Unresolved confirmed outcomes</w:t>
            </w:r>
          </w:p>
        </w:tc>
        <w:tc>
          <w:tcPr>
            <w:tcW w:w="5688" w:type="dxa"/>
          </w:tcPr>
          <w:p w14:paraId="62DEB355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Confirmed cases not yet reported as deaths or recoveries at the study cut-off.</w:t>
            </w:r>
          </w:p>
        </w:tc>
        <w:tc>
          <w:tcPr>
            <w:tcW w:w="6768" w:type="dxa"/>
          </w:tcPr>
          <w:p w14:paraId="1492A25E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Reported to contextualise crude observed and resolved-outcome case fatality ratios.</w:t>
            </w:r>
          </w:p>
        </w:tc>
      </w:tr>
      <w:tr w:rsidR="00360191" w:rsidRPr="00DC212C" w14:paraId="08BF4C8D" w14:textId="77777777">
        <w:trPr>
          <w:jc w:val="center"/>
        </w:trPr>
        <w:tc>
          <w:tcPr>
            <w:tcW w:w="2951" w:type="dxa"/>
          </w:tcPr>
          <w:p w14:paraId="34B8DF91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b/>
                <w:sz w:val="19"/>
                <w:szCs w:val="19"/>
              </w:rPr>
              <w:t>Affected health zone</w:t>
            </w:r>
          </w:p>
        </w:tc>
        <w:tc>
          <w:tcPr>
            <w:tcW w:w="5688" w:type="dxa"/>
          </w:tcPr>
          <w:p w14:paraId="33657CC4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A health zone with at least one laboratory-confirmed case reported by official sources.</w:t>
            </w:r>
          </w:p>
        </w:tc>
        <w:tc>
          <w:tcPr>
            <w:tcW w:w="6768" w:type="dxa"/>
          </w:tcPr>
          <w:p w14:paraId="577042CB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Used to describe geographic expansion. Health-zone counts were retained as source-reported and flagged when header-table discrepancies occurred.</w:t>
            </w:r>
          </w:p>
        </w:tc>
      </w:tr>
      <w:tr w:rsidR="00360191" w:rsidRPr="00DC212C" w14:paraId="7F7E1CFE" w14:textId="77777777">
        <w:trPr>
          <w:jc w:val="center"/>
        </w:trPr>
        <w:tc>
          <w:tcPr>
            <w:tcW w:w="2951" w:type="dxa"/>
          </w:tcPr>
          <w:p w14:paraId="2DE878CB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b/>
                <w:sz w:val="19"/>
                <w:szCs w:val="19"/>
              </w:rPr>
              <w:t>Detected case-growth signal</w:t>
            </w:r>
          </w:p>
        </w:tc>
        <w:tc>
          <w:tcPr>
            <w:tcW w:w="5688" w:type="dxa"/>
          </w:tcPr>
          <w:p w14:paraId="4A6EC6BB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Growth-rate or doubling-time estimate derived from the official confirmed-case reporting-date series.</w:t>
            </w:r>
          </w:p>
        </w:tc>
        <w:tc>
          <w:tcPr>
            <w:tcW w:w="6768" w:type="dxa"/>
          </w:tcPr>
          <w:p w14:paraId="16CADC9C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Interpreted as a surveillance-based signal reflecting transmission, surveillance intensity, geographic expansion, testing selectivity, and data harmonisation, not as a direct estimate of true transmission intensity.</w:t>
            </w:r>
          </w:p>
        </w:tc>
      </w:tr>
      <w:tr w:rsidR="00360191" w:rsidRPr="00DC212C" w14:paraId="762C06AC" w14:textId="77777777">
        <w:trPr>
          <w:jc w:val="center"/>
        </w:trPr>
        <w:tc>
          <w:tcPr>
            <w:tcW w:w="2951" w:type="dxa"/>
          </w:tcPr>
          <w:p w14:paraId="242B31B0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b/>
                <w:sz w:val="19"/>
                <w:szCs w:val="19"/>
              </w:rPr>
              <w:t>Harmonisation event</w:t>
            </w:r>
          </w:p>
        </w:tc>
        <w:tc>
          <w:tcPr>
            <w:tcW w:w="5688" w:type="dxa"/>
          </w:tcPr>
          <w:p w14:paraId="281DF8B1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A source-supported revision in cumulative totals, including negative increments or changes between consecutive reports.</w:t>
            </w:r>
          </w:p>
        </w:tc>
        <w:tc>
          <w:tcPr>
            <w:tcW w:w="6768" w:type="dxa"/>
          </w:tcPr>
          <w:p w14:paraId="20DA6A48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Retained in the database with analytic flags and excluded from sensitivity analyses where specified.</w:t>
            </w:r>
          </w:p>
        </w:tc>
      </w:tr>
      <w:tr w:rsidR="00360191" w:rsidRPr="00DC212C" w14:paraId="326944CB" w14:textId="77777777">
        <w:trPr>
          <w:jc w:val="center"/>
        </w:trPr>
        <w:tc>
          <w:tcPr>
            <w:tcW w:w="2951" w:type="dxa"/>
          </w:tcPr>
          <w:p w14:paraId="1208EF5F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b/>
                <w:sz w:val="19"/>
                <w:szCs w:val="19"/>
              </w:rPr>
              <w:t>Multi-day increment</w:t>
            </w:r>
          </w:p>
        </w:tc>
        <w:tc>
          <w:tcPr>
            <w:tcW w:w="5688" w:type="dxa"/>
          </w:tcPr>
          <w:p w14:paraId="7BD3BECA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A cumulative increase that reflects more than one reporting day because of missing or delayed reports.</w:t>
            </w:r>
          </w:p>
        </w:tc>
        <w:tc>
          <w:tcPr>
            <w:tcW w:w="6768" w:type="dxa"/>
          </w:tcPr>
          <w:p w14:paraId="054B3CD4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Included in cumulative trajectory analyses but not interpreted as single-day incidence.</w:t>
            </w:r>
          </w:p>
        </w:tc>
      </w:tr>
      <w:tr w:rsidR="00360191" w:rsidRPr="00DC212C" w14:paraId="5C17490A" w14:textId="77777777">
        <w:trPr>
          <w:jc w:val="center"/>
        </w:trPr>
        <w:tc>
          <w:tcPr>
            <w:tcW w:w="2951" w:type="dxa"/>
          </w:tcPr>
          <w:p w14:paraId="0B80E6EE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b/>
                <w:sz w:val="19"/>
                <w:szCs w:val="19"/>
              </w:rPr>
              <w:t>Contact follow-up coverage</w:t>
            </w:r>
          </w:p>
        </w:tc>
        <w:tc>
          <w:tcPr>
            <w:tcW w:w="5688" w:type="dxa"/>
          </w:tcPr>
          <w:p w14:paraId="6B28015D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Contacts seen divided by contacts under active follow-up in a reporting period, multiplied by 100.</w:t>
            </w:r>
          </w:p>
        </w:tc>
        <w:tc>
          <w:tcPr>
            <w:tcW w:w="6768" w:type="dxa"/>
          </w:tcPr>
          <w:p w14:paraId="78C942DE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Used only when numerator and denominator were clear. Cumulative contacts were not used as the denominator.</w:t>
            </w:r>
          </w:p>
        </w:tc>
      </w:tr>
      <w:tr w:rsidR="00360191" w:rsidRPr="00DC212C" w14:paraId="6A970F0F" w14:textId="77777777">
        <w:trPr>
          <w:jc w:val="center"/>
        </w:trPr>
        <w:tc>
          <w:tcPr>
            <w:tcW w:w="2951" w:type="dxa"/>
          </w:tcPr>
          <w:p w14:paraId="0459F15C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b/>
                <w:sz w:val="19"/>
                <w:szCs w:val="19"/>
              </w:rPr>
              <w:t>Incomplete follow-up reporting</w:t>
            </w:r>
          </w:p>
        </w:tc>
        <w:tc>
          <w:tcPr>
            <w:tcW w:w="5688" w:type="dxa"/>
          </w:tcPr>
          <w:p w14:paraId="098CF90B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A contact follow-up value affected by missing follow-up data from one or more health zones.</w:t>
            </w:r>
          </w:p>
        </w:tc>
        <w:tc>
          <w:tcPr>
            <w:tcW w:w="6768" w:type="dxa"/>
          </w:tcPr>
          <w:p w14:paraId="003ACB54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Flagged and excluded from primary lagged association analyses when major reporting areas were missing.</w:t>
            </w:r>
          </w:p>
        </w:tc>
      </w:tr>
      <w:tr w:rsidR="00360191" w:rsidRPr="00DC212C" w14:paraId="26B467F6" w14:textId="77777777">
        <w:trPr>
          <w:jc w:val="center"/>
        </w:trPr>
        <w:tc>
          <w:tcPr>
            <w:tcW w:w="2951" w:type="dxa"/>
          </w:tcPr>
          <w:p w14:paraId="40299F79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b/>
                <w:sz w:val="19"/>
                <w:szCs w:val="19"/>
              </w:rPr>
              <w:t>Isolation or hospitalisation burden</w:t>
            </w:r>
          </w:p>
        </w:tc>
        <w:tc>
          <w:tcPr>
            <w:tcW w:w="5688" w:type="dxa"/>
          </w:tcPr>
          <w:p w14:paraId="17D7B1D6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Total patients reported in isolation or hospitalisation, including confirmed and suspected cases where disaggregated.</w:t>
            </w:r>
          </w:p>
        </w:tc>
        <w:tc>
          <w:tcPr>
            <w:tcW w:w="6768" w:type="dxa"/>
          </w:tcPr>
          <w:p w14:paraId="48CE2028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Used descriptively as an indicator of case-management pressure. Confirmed and suspected disaggregation was retained where source-reported.</w:t>
            </w:r>
          </w:p>
        </w:tc>
      </w:tr>
      <w:tr w:rsidR="00360191" w:rsidRPr="00DC212C" w14:paraId="4DE64F30" w14:textId="77777777">
        <w:trPr>
          <w:jc w:val="center"/>
        </w:trPr>
        <w:tc>
          <w:tcPr>
            <w:tcW w:w="2951" w:type="dxa"/>
          </w:tcPr>
          <w:p w14:paraId="72052281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b/>
                <w:sz w:val="19"/>
                <w:szCs w:val="19"/>
              </w:rPr>
              <w:t>Laboratory test positivity</w:t>
            </w:r>
          </w:p>
        </w:tc>
        <w:tc>
          <w:tcPr>
            <w:tcW w:w="5688" w:type="dxa"/>
          </w:tcPr>
          <w:p w14:paraId="4A099C68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Positive tests divided by samples tested for a reporting period, multiplied by 100.</w:t>
            </w:r>
          </w:p>
        </w:tc>
        <w:tc>
          <w:tcPr>
            <w:tcW w:w="6768" w:type="dxa"/>
          </w:tcPr>
          <w:p w14:paraId="6DC23132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Interpreted as a potential testing-selectivity or under-detection signal, not as a direct measure of transmission.</w:t>
            </w:r>
          </w:p>
        </w:tc>
      </w:tr>
      <w:tr w:rsidR="00360191" w:rsidRPr="00DC212C" w14:paraId="250E30AB" w14:textId="77777777">
        <w:trPr>
          <w:jc w:val="center"/>
        </w:trPr>
        <w:tc>
          <w:tcPr>
            <w:tcW w:w="2951" w:type="dxa"/>
          </w:tcPr>
          <w:p w14:paraId="1778C061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b/>
                <w:sz w:val="19"/>
                <w:szCs w:val="19"/>
              </w:rPr>
              <w:t>Laboratory backlog</w:t>
            </w:r>
          </w:p>
        </w:tc>
        <w:tc>
          <w:tcPr>
            <w:tcW w:w="5688" w:type="dxa"/>
          </w:tcPr>
          <w:p w14:paraId="0E78F7D9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Samples reported as pending analysis, including samples pending beyond specified time thresholds where available.</w:t>
            </w:r>
          </w:p>
        </w:tc>
        <w:tc>
          <w:tcPr>
            <w:tcW w:w="6768" w:type="dxa"/>
          </w:tcPr>
          <w:p w14:paraId="51C8F28F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Used descriptively as an indicator of diagnostic delay and possible delayed confirmation.</w:t>
            </w:r>
          </w:p>
        </w:tc>
      </w:tr>
      <w:tr w:rsidR="00360191" w:rsidRPr="00DC212C" w14:paraId="41C69C14" w14:textId="77777777">
        <w:trPr>
          <w:jc w:val="center"/>
        </w:trPr>
        <w:tc>
          <w:tcPr>
            <w:tcW w:w="2951" w:type="dxa"/>
          </w:tcPr>
          <w:p w14:paraId="2C6DC5FF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b/>
                <w:sz w:val="19"/>
                <w:szCs w:val="19"/>
              </w:rPr>
              <w:t>Operational response indicators</w:t>
            </w:r>
          </w:p>
        </w:tc>
        <w:tc>
          <w:tcPr>
            <w:tcW w:w="5688" w:type="dxa"/>
          </w:tcPr>
          <w:p w14:paraId="0A51921E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Aggregate indicators including contact follow-up, isolation or hospitalisation burden, laboratory throughput, test positivity, alert investigation, and source-verified response disruptions.</w:t>
            </w:r>
          </w:p>
        </w:tc>
        <w:tc>
          <w:tcPr>
            <w:tcW w:w="6768" w:type="dxa"/>
          </w:tcPr>
          <w:p w14:paraId="765F5180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Analysed descriptively. No causal inference about intervention effectiveness was made from aggregate ecological data.</w:t>
            </w:r>
          </w:p>
        </w:tc>
      </w:tr>
      <w:tr w:rsidR="00360191" w:rsidRPr="00DC212C" w14:paraId="0DC8CD51" w14:textId="77777777">
        <w:trPr>
          <w:jc w:val="center"/>
        </w:trPr>
        <w:tc>
          <w:tcPr>
            <w:tcW w:w="2951" w:type="dxa"/>
          </w:tcPr>
          <w:p w14:paraId="7B5E796A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b/>
                <w:sz w:val="19"/>
                <w:szCs w:val="19"/>
              </w:rPr>
              <w:t>Uganda companion series</w:t>
            </w:r>
          </w:p>
        </w:tc>
        <w:tc>
          <w:tcPr>
            <w:tcW w:w="5688" w:type="dxa"/>
          </w:tcPr>
          <w:p w14:paraId="7264C2A7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Confirmed cases, deaths, recoveries, healthcare-worker infections, and contacts reported by Uganda official sources.</w:t>
            </w:r>
          </w:p>
        </w:tc>
        <w:tc>
          <w:tcPr>
            <w:tcW w:w="6768" w:type="dxa"/>
          </w:tcPr>
          <w:p w14:paraId="1E8C7748" w14:textId="77777777" w:rsidR="00360191" w:rsidRPr="00DC212C" w:rsidRDefault="00000000">
            <w:pPr>
              <w:rPr>
                <w:rFonts w:cs="Times New Roman"/>
                <w:sz w:val="19"/>
                <w:szCs w:val="19"/>
              </w:rPr>
            </w:pPr>
            <w:r w:rsidRPr="00DC212C">
              <w:rPr>
                <w:rFonts w:cs="Times New Roman"/>
                <w:sz w:val="19"/>
                <w:szCs w:val="19"/>
              </w:rPr>
              <w:t>Analysed separately from the Democratic Republic of the Congo because reporting systems, denominators, and outbreak context differed. Uganda values were not pooled with DRC values.</w:t>
            </w:r>
          </w:p>
        </w:tc>
      </w:tr>
    </w:tbl>
    <w:p w14:paraId="6B794CD4" w14:textId="77777777" w:rsidR="00360191" w:rsidRPr="00DC212C" w:rsidRDefault="00000000">
      <w:pPr>
        <w:spacing w:before="120"/>
        <w:rPr>
          <w:rFonts w:cs="Times New Roman"/>
          <w:sz w:val="19"/>
          <w:szCs w:val="19"/>
        </w:rPr>
      </w:pPr>
      <w:r w:rsidRPr="00DC212C">
        <w:rPr>
          <w:rFonts w:cs="Times New Roman"/>
          <w:i/>
          <w:sz w:val="19"/>
          <w:szCs w:val="19"/>
        </w:rPr>
        <w:t>Abbreviations: BVD, Bundibugyo virus disease; DRC, Democratic Republic of the Congo.</w:t>
      </w:r>
    </w:p>
    <w:sectPr w:rsidR="00360191" w:rsidRPr="00DC212C" w:rsidSect="00034616">
      <w:pgSz w:w="15840" w:h="12240" w:orient="landscape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3817356">
    <w:abstractNumId w:val="8"/>
  </w:num>
  <w:num w:numId="2" w16cid:durableId="1403522353">
    <w:abstractNumId w:val="6"/>
  </w:num>
  <w:num w:numId="3" w16cid:durableId="1948732874">
    <w:abstractNumId w:val="5"/>
  </w:num>
  <w:num w:numId="4" w16cid:durableId="1843084282">
    <w:abstractNumId w:val="4"/>
  </w:num>
  <w:num w:numId="5" w16cid:durableId="506024884">
    <w:abstractNumId w:val="7"/>
  </w:num>
  <w:num w:numId="6" w16cid:durableId="962685837">
    <w:abstractNumId w:val="3"/>
  </w:num>
  <w:num w:numId="7" w16cid:durableId="1918855211">
    <w:abstractNumId w:val="2"/>
  </w:num>
  <w:num w:numId="8" w16cid:durableId="1539774837">
    <w:abstractNumId w:val="1"/>
  </w:num>
  <w:num w:numId="9" w16cid:durableId="1899895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507E"/>
    <w:rsid w:val="0015074B"/>
    <w:rsid w:val="0029639D"/>
    <w:rsid w:val="00326F90"/>
    <w:rsid w:val="00360191"/>
    <w:rsid w:val="00AA1D8D"/>
    <w:rsid w:val="00B47730"/>
    <w:rsid w:val="00CB0664"/>
    <w:rsid w:val="00DC212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68670D"/>
  <w14:defaultImageDpi w14:val="300"/>
  <w15:docId w15:val="{8C15F94A-5CB6-4447-BDE4-15F9D37A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Table S1. Operational definitions and analytic handling rules</dc:title>
  <dc:subject>Supplementary material for BVD operational epidemiology manuscript</dc:subject>
  <dc:creator/>
  <cp:keywords/>
  <dc:description>generated by python-docx</dc:description>
  <cp:lastModifiedBy>Tambe Elvis Akem</cp:lastModifiedBy>
  <cp:revision>2</cp:revision>
  <dcterms:created xsi:type="dcterms:W3CDTF">2013-12-23T23:15:00Z</dcterms:created>
  <dcterms:modified xsi:type="dcterms:W3CDTF">2026-06-17T16:35:00Z</dcterms:modified>
  <cp:category/>
</cp:coreProperties>
</file>