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4D6E6" w14:textId="77777777" w:rsidR="00B04E04" w:rsidRPr="00FD5DB9" w:rsidRDefault="00B04E04"/>
    <w:p w14:paraId="0B43EF93" w14:textId="17D9FCD8" w:rsidR="00E14E5A" w:rsidRDefault="00955B29" w:rsidP="00955B29">
      <w:pPr>
        <w:pStyle w:val="Heading1"/>
        <w:numPr>
          <w:ilvl w:val="0"/>
          <w:numId w:val="0"/>
        </w:numPr>
        <w:ind w:left="432" w:hanging="432"/>
      </w:pPr>
      <w:bookmarkStart w:id="0" w:name="_nfk7sxoyl2ao" w:colFirst="0" w:colLast="0"/>
      <w:bookmarkEnd w:id="0"/>
      <w:r>
        <w:t>Supplementary Methods</w:t>
      </w:r>
    </w:p>
    <w:p w14:paraId="5C7F0E16" w14:textId="77777777" w:rsidR="00955B29" w:rsidRPr="00955B29" w:rsidRDefault="00955B29" w:rsidP="00955B29"/>
    <w:p w14:paraId="3B23B8EE" w14:textId="76BFA414" w:rsidR="00C31DE0" w:rsidRPr="00C31DE0" w:rsidRDefault="00E47734" w:rsidP="00C31DE0">
      <w:pPr>
        <w:pStyle w:val="Heading1"/>
      </w:pPr>
      <w:r>
        <w:t>Classification</w:t>
      </w:r>
    </w:p>
    <w:p w14:paraId="6322E3CC" w14:textId="77777777" w:rsidR="00B04E04" w:rsidRDefault="00B04E04" w:rsidP="00061A2B">
      <w:pPr>
        <w:pStyle w:val="Heading2"/>
      </w:pPr>
      <w:proofErr w:type="spellStart"/>
      <w:r>
        <w:t>TropWet</w:t>
      </w:r>
      <w:proofErr w:type="spellEnd"/>
      <w:r>
        <w:t xml:space="preserve"> Classification System</w:t>
      </w:r>
    </w:p>
    <w:p w14:paraId="4C89F41B" w14:textId="097FB6DC" w:rsidR="00B04E04" w:rsidRPr="00FD5DB9" w:rsidRDefault="00B04E04" w:rsidP="00EC0CEE">
      <w:r w:rsidRPr="00FD5DB9">
        <w:t xml:space="preserve">The </w:t>
      </w:r>
      <w:r>
        <w:t xml:space="preserve">original </w:t>
      </w:r>
      <w:proofErr w:type="spellStart"/>
      <w:r w:rsidRPr="00FD5DB9">
        <w:t>TropWet</w:t>
      </w:r>
      <w:proofErr w:type="spellEnd"/>
      <w:r w:rsidRPr="00FD5DB9">
        <w:t xml:space="preserve"> system i</w:t>
      </w:r>
      <w:r>
        <w:t>s</w:t>
      </w:r>
      <w:r w:rsidRPr="00FD5DB9">
        <w:t xml:space="preserve"> largely based on linear spectral unmixing (LSU) of Landsat image composites applied to vegetation, water and soil spectral endmembers automatically generated from band indices. A ruleset is applied to the resulting fractional images (i.e. pixel-level fractions of vegetation, water, soil), alongside auxiliary data (e.g. Height Above Nearest Drainage Network to extract wetland land cover classes</w:t>
      </w:r>
      <w:r w:rsidR="00364CB1">
        <w:t>,</w:t>
      </w:r>
      <w:r w:rsidRPr="00FD5DB9">
        <w:t xml:space="preserve"> including both open water and inundated vegetation</w:t>
      </w:r>
      <w:r w:rsidR="00DC6924">
        <w:t xml:space="preserve"> </w:t>
      </w:r>
      <w:r w:rsidR="000B37C4">
        <w:fldChar w:fldCharType="begin"/>
      </w:r>
      <w:r w:rsidR="00E0175F">
        <w:instrText xml:space="preserve"> ADDIN ZOTERO_ITEM CSL_CITATION {"citationID":"AFxLFzCn","properties":{"unsorted":false,"formattedCitation":"\\super 1\\nosupersub{}","plainCitation":"1","noteIndex":0},"citationItems":[{"id":3536,"uris":["http://zotero.org/users/11239995/items/5JUJIM3K"],"itemData":{"id":3536,"type":"article-journal","abstract":"Knowledge of the location and extent of surface water and inundated vegetation is vital for a range of applications including flood risk management, biodiversity monitoring, quantifying greenhouse gas emissions, and mapping water-borne disease risk. Here, we present a new tool, TropWet, which enables users of all abilities to map wetlands in herbaceous dominated regions based on simple unmixing of optical Landsat satellite imagery in the Google Earth Engine. The results demonstrate transferability throughout the African continent with a high degree of accuracy (mean 91% accuracy, st. dev 2.6%, n = 10,800). TropWet demonstrated considerable improvements over existing globally available surface water datasets for mapping the extent of important wetlands like the Okavango, Botswana. TropWet was able to provide frequency inundation maps as an indicator of malarial mosquito aquatic habitat extent and persistence in Barotseland, Zambia. TropWet was able to map flood extent comparable to operational flood risk mapping products in the Zambezi Region, Namibia. Finally, TropWet was able to quantify the effects of the El Niño/Southern Oscillation (ENSO) events on the extent of photosynthetic vegetation and wetland extent across Southern Africa. These examples demonstrate the potential for TropWet to provide policy makers with crucial information to help make national, regional, or continental scale decisions regarding wetland conservation, flood/disease hazard mapping, or mitigation against the impacts of ENSO.","container-title":"Remote Sensing","DOI":"10.3390/rs12071182","ISSN":"2072-4292","issue":"7","journalAbbreviation":"Remote Sens (Basel)","page":"1182","title":"Tropical wetland (tropwet) mapping tool: the automatic detection of open and vegetated waterbodies in google earth engine for tropical wetlands","volume":"12","author":[{"family":"Hardy","given":"Andy"},{"family":"Oakes","given":"Gregory"},{"family":"Ettritch","given":"Georgina"}],"issued":{"date-parts":[["2020",4,7]]}}}],"schema":"https://github.com/citation-style-language/schema/raw/master/csl-citation.json"} </w:instrText>
      </w:r>
      <w:r w:rsidR="000B37C4">
        <w:fldChar w:fldCharType="separate"/>
      </w:r>
      <w:r w:rsidR="00E0175F" w:rsidRPr="00E0175F">
        <w:rPr>
          <w:szCs w:val="24"/>
          <w:vertAlign w:val="superscript"/>
        </w:rPr>
        <w:t>1</w:t>
      </w:r>
      <w:r w:rsidR="000B37C4">
        <w:fldChar w:fldCharType="end"/>
      </w:r>
      <w:r w:rsidRPr="00FD5DB9">
        <w:t xml:space="preserve">. For application to the Sahel, important modifications were made to </w:t>
      </w:r>
      <w:proofErr w:type="spellStart"/>
      <w:r w:rsidRPr="00FD5DB9">
        <w:t>TropWet</w:t>
      </w:r>
      <w:proofErr w:type="spellEnd"/>
      <w:r w:rsidRPr="00FD5DB9">
        <w:t xml:space="preserve"> to improve the transferability and robustness of the approach, as well as addressing sources of error. </w:t>
      </w:r>
    </w:p>
    <w:p w14:paraId="63669855" w14:textId="23262A8F" w:rsidR="00B04E04" w:rsidRDefault="00B04E04" w:rsidP="00EC0CEE">
      <w:r w:rsidRPr="00FD5DB9">
        <w:t xml:space="preserve">To enable processing over a large area, like the Sahel, </w:t>
      </w:r>
      <w:proofErr w:type="spellStart"/>
      <w:r w:rsidRPr="00FD5DB9">
        <w:t>TropWet</w:t>
      </w:r>
      <w:proofErr w:type="spellEnd"/>
      <w:r w:rsidRPr="00FD5DB9">
        <w:t xml:space="preserve"> was applied in a tiled workflow. With the original version of </w:t>
      </w:r>
      <w:proofErr w:type="spellStart"/>
      <w:r w:rsidRPr="00FD5DB9">
        <w:t>TropWet</w:t>
      </w:r>
      <w:proofErr w:type="spellEnd"/>
      <w:r w:rsidRPr="00FD5DB9">
        <w:t xml:space="preserve"> (TropWet.V1) this led to artefacts occurring at the edge of tiles as neighbouring tiles would use different</w:t>
      </w:r>
      <w:r w:rsidR="00DF091B">
        <w:t>, automatically generated,</w:t>
      </w:r>
      <w:r w:rsidRPr="00FD5DB9">
        <w:t xml:space="preserve"> endmembers to drive the spectral unmixing process. For the modified version, TropWet.V2, single endmembers were generated to ensure consistency across the study area. The endmember for open water was taken from a point in </w:t>
      </w:r>
      <w:r w:rsidR="00DF091B">
        <w:t xml:space="preserve">the </w:t>
      </w:r>
      <w:r w:rsidRPr="00FD5DB9">
        <w:t>centre of a permanent lake located in the Sudd Wetlands, South Sudan (</w:t>
      </w:r>
      <w:r w:rsidRPr="00456522">
        <w:t>7°25.26'N 30°34.61'E</w:t>
      </w:r>
      <w:r w:rsidRPr="00FD5DB9">
        <w:t xml:space="preserve">). Its permanence was confirmed by cross-checking against the </w:t>
      </w:r>
      <w:r w:rsidR="006161B1">
        <w:t>Global Surface Water (</w:t>
      </w:r>
      <w:r>
        <w:t>GSW</w:t>
      </w:r>
      <w:r w:rsidR="006161B1">
        <w:t>)</w:t>
      </w:r>
      <w:r w:rsidRPr="00FD5DB9">
        <w:t xml:space="preserve"> project’s water occurrence layer</w:t>
      </w:r>
      <w:r w:rsidR="00036E68">
        <w:t xml:space="preserve"> </w:t>
      </w:r>
      <w:r w:rsidR="00036E68">
        <w:fldChar w:fldCharType="begin"/>
      </w:r>
      <w:r w:rsidR="00E0175F">
        <w:instrText xml:space="preserve"> ADDIN ZOTERO_ITEM CSL_CITATION {"citationID":"dKCfVmwI","properties":{"unsorted":false,"formattedCitation":"\\super 2\\nosupersub{}","plainCitation":"2","noteIndex":0},"citationItems":[{"id":2689,"uris":["http://zotero.org/users/11239995/items/DZX2KD7L"],"itemData":{"id":2689,"type":"article-journal","abstract":"The location and persistence of surface water (inland and coastal) is both affected by climate and human activity and affects climate, biological diversity and human wellbeing. Global data sets documenting surface water location and seasonality have been produced from inventories and national descriptions, statistical extrapolation of regional data and satellite imagery, but measuring long-term changes at high resolution remains a challenge. Here, using three million Landsat satellite images, we quantify changes in global surface water over the past 32 years at 30-metre resolution. We record the months and years when water was present, where occurrence changed and what form changes took in terms of seasonality and persistence. Between 1984 and 2015 permanent surface water has disappeared from an area of almost 90,000 square kilometres, roughly equivalent to that of Lake Superior, though new permanent bodies of surface water covering 184,000 square kilometres have formed elsewhere. All continental regions show a net increase in permanent water, except Oceania, which has a fractional (one per cent) net loss. Much of the increase is from reservoir filling, although climate change is also implicated. Loss is more geographically concentrated than gain. Over 70 per cent of global net permanent water loss occurred in the Middle East and Central Asia, linked to drought and human actions including river diversion or damming and unregulated withdrawal. Losses in Australia and the USA linked to long-term droughts are also evident. This globally consistent, validated data set shows that impacts of climate change and climate oscillations on surface water occurrence can be measured and that evidence can be gathered to show how surface water is altered by human activities. We anticipate that this freely available data will improve the modelling of surface forcing, provide evidence of state and change in wetland ecotones (the transition areas between biomes), and inform water-management decision-making.","container-title":"Nature","DOI":"10.1038/nature20584","issue":"7633","journalAbbreviation":"Nature","page":"418-422","title":"High-resolution mapping of global surface water and its long-term changes.","volume":"540","author":[{"family":"Pekel","given":"Jean-François"},{"family":"Cottam","given":"Andrew"},{"family":"Gorelick","given":"Noel"},{"family":"Belward","given":"Alan S"}],"issued":{"date-parts":[["2016",12,15]]}}}],"schema":"https://github.com/citation-style-language/schema/raw/master/csl-citation.json"} </w:instrText>
      </w:r>
      <w:r w:rsidR="00036E68">
        <w:fldChar w:fldCharType="separate"/>
      </w:r>
      <w:r w:rsidR="00E0175F" w:rsidRPr="00E0175F">
        <w:rPr>
          <w:szCs w:val="24"/>
          <w:vertAlign w:val="superscript"/>
        </w:rPr>
        <w:t>2</w:t>
      </w:r>
      <w:r w:rsidR="00036E68">
        <w:fldChar w:fldCharType="end"/>
      </w:r>
      <w:r w:rsidRPr="00FD5DB9">
        <w:t xml:space="preserve">, </w:t>
      </w:r>
      <w:r w:rsidR="00DF091B">
        <w:t xml:space="preserve">which </w:t>
      </w:r>
      <w:r w:rsidRPr="00FD5DB9">
        <w:t>indicat</w:t>
      </w:r>
      <w:r w:rsidR="00DF091B">
        <w:t>ed</w:t>
      </w:r>
      <w:r w:rsidRPr="00FD5DB9">
        <w:t xml:space="preserve"> 100% occurrence over the period 1984-2021.</w:t>
      </w:r>
      <w:r>
        <w:t xml:space="preserve"> The vegetation (photosynthetic “green” vegetation) endmember </w:t>
      </w:r>
      <w:r w:rsidRPr="00B94127">
        <w:t xml:space="preserve">was defined </w:t>
      </w:r>
      <w:r w:rsidR="00092763">
        <w:t>in</w:t>
      </w:r>
      <w:r w:rsidR="00092763" w:rsidRPr="00B94127">
        <w:t xml:space="preserve"> </w:t>
      </w:r>
      <w:r w:rsidRPr="00B94127">
        <w:t xml:space="preserve">a forested area </w:t>
      </w:r>
      <w:r w:rsidR="00092763">
        <w:t>in</w:t>
      </w:r>
      <w:r w:rsidR="00092763" w:rsidRPr="00B94127">
        <w:t xml:space="preserve"> </w:t>
      </w:r>
      <w:r w:rsidRPr="00B94127">
        <w:t>Ethiopia</w:t>
      </w:r>
      <w:r>
        <w:t xml:space="preserve"> (</w:t>
      </w:r>
      <w:r w:rsidRPr="00F36997">
        <w:t>7°53.98'N 35°8.20'E</w:t>
      </w:r>
      <w:r>
        <w:t>)</w:t>
      </w:r>
      <w:r w:rsidRPr="00B94127">
        <w:t xml:space="preserve">, </w:t>
      </w:r>
      <w:r w:rsidR="00092763">
        <w:t>w</w:t>
      </w:r>
      <w:r w:rsidRPr="00B94127">
        <w:t>here the Global Forest Change Layer</w:t>
      </w:r>
      <w:r w:rsidR="00036E68">
        <w:t xml:space="preserve"> </w:t>
      </w:r>
      <w:r w:rsidR="00036E68">
        <w:fldChar w:fldCharType="begin"/>
      </w:r>
      <w:r w:rsidR="00E0175F">
        <w:instrText xml:space="preserve"> ADDIN ZOTERO_ITEM CSL_CITATION {"citationID":"49awgYrs","properties":{"unsorted":false,"formattedCitation":"\\super 3\\nosupersub{}","plainCitation":"3","noteIndex":0},"citationItems":[{"id":2497,"uris":["http://zotero.org/users/11239995/items/TKY6IFT2"],"itemData":{"id":2497,"type":"article-journal","abstract":"Quantification of global forest change has been lacking despite the recognized importance of forest ecosystem services. In this study, Earth observation satellite data were used to map global forest loss (2.3 million square kilometers) and gain (0.8 million square kilometers) from 2000 to 2012 at a spatial resolution of 30 meters. The tropics were the only climate domain to exhibit a trend, with forest loss increasing by 2101 square kilometers per year. Brazil's well-documented reduction in deforestation was offset by increasing forest loss in Indonesia, Malaysia, Paraguay, Bolivia, Zambia, Angola, and elsewhere. Intensive forestry practiced within subtropical forests resulted in the highest rates of forest change globally. Boreal forest loss due largely to fire and forestry was second to that in the tropics in absolute and proportional terms. These results depict a globally consistent and locally relevant record of forest change.","container-title":"Science","DOI":"10.1126/science.1244693","ISSN":"0036-8075","issue":"6160","journalAbbreviation":"Science","page":"850-853","title":"High-resolution global maps of 21st-century forest cover change.","volume":"342","author":[{"family":"Hansen","given":"M C"},{"family":"Potapov","given":"P V"},{"family":"Moore","given":"R"},{"family":"Hancher","given":"M"},{"family":"Turubanova","given":"S A"},{"family":"Tyukavina","given":"A"},{"family":"Thau","given":"D"},{"family":"Stehman","given":"S V"},{"family":"Goetz","given":"S J"},{"family":"Loveland","given":"T R"},{"family":"Kommareddy","given":"A"},{"family":"Egorov","given":"A"},{"family":"Chini","given":"L"},{"family":"Justice","given":"C O"},{"family":"Townshend","given":"J R G"}],"issued":{"date-parts":[["2013",11,15]]}}}],"schema":"https://github.com/citation-style-language/schema/raw/master/csl-citation.json"} </w:instrText>
      </w:r>
      <w:r w:rsidR="00036E68">
        <w:fldChar w:fldCharType="separate"/>
      </w:r>
      <w:r w:rsidR="00E0175F" w:rsidRPr="00E0175F">
        <w:rPr>
          <w:szCs w:val="24"/>
          <w:vertAlign w:val="superscript"/>
        </w:rPr>
        <w:t>3</w:t>
      </w:r>
      <w:r w:rsidR="00036E68">
        <w:fldChar w:fldCharType="end"/>
      </w:r>
      <w:r w:rsidRPr="00B94127">
        <w:t xml:space="preserve"> </w:t>
      </w:r>
      <w:r w:rsidR="00092763">
        <w:t>indicates</w:t>
      </w:r>
      <w:r w:rsidRPr="00B94127">
        <w:t xml:space="preserve"> no change in forest cover since 2000</w:t>
      </w:r>
      <w:r>
        <w:t>. The</w:t>
      </w:r>
      <w:r w:rsidRPr="00AE482B">
        <w:t xml:space="preserve"> endmember for bare earth </w:t>
      </w:r>
      <w:r>
        <w:t>was based on a location in South Sudan (</w:t>
      </w:r>
      <w:r w:rsidRPr="005050B2">
        <w:t>14°36.34'N 29°52.40'E</w:t>
      </w:r>
      <w:r>
        <w:t>) for which historical</w:t>
      </w:r>
      <w:r w:rsidRPr="00AE482B">
        <w:t xml:space="preserve"> Google Satellite Imagery </w:t>
      </w:r>
      <w:r>
        <w:t>indicated</w:t>
      </w:r>
      <w:r w:rsidRPr="00AE482B">
        <w:t xml:space="preserve"> </w:t>
      </w:r>
      <w:r>
        <w:t>an absence of any</w:t>
      </w:r>
      <w:r w:rsidRPr="00AE482B">
        <w:t xml:space="preserve"> vegetation </w:t>
      </w:r>
      <w:r>
        <w:t>or evidence of surface water over the period 1984</w:t>
      </w:r>
      <w:r w:rsidR="00092763">
        <w:t xml:space="preserve"> to </w:t>
      </w:r>
      <w:r>
        <w:t xml:space="preserve">present. For each endmember type (water, vegetation and bare earth), the spectral values (i.e. blue, green, red, near infrared, shortwave infrared bands 1 and 2) for the final endmember were based on the mean </w:t>
      </w:r>
      <w:r w:rsidRPr="0092497A">
        <w:t xml:space="preserve">reflectance from all valid cloud free </w:t>
      </w:r>
      <w:r>
        <w:t>L</w:t>
      </w:r>
      <w:r w:rsidRPr="0092497A">
        <w:t>andsat scenes from LS5, LS7, LS8 and LS9</w:t>
      </w:r>
      <w:r>
        <w:t>.</w:t>
      </w:r>
    </w:p>
    <w:p w14:paraId="71EEDDA0" w14:textId="3D817C1D" w:rsidR="00B04E04" w:rsidRDefault="00B04E04" w:rsidP="00EC0CEE">
      <w:r>
        <w:t>Initial iterations of TropWet.V2 within the Sahel region indicated spectrally similarity between open water and area</w:t>
      </w:r>
      <w:r w:rsidR="00092763">
        <w:t>s</w:t>
      </w:r>
      <w:r>
        <w:t xml:space="preserve"> that have recently been burnt, a potentially significant source of error given that burning is a common agricultural </w:t>
      </w:r>
      <w:r w:rsidR="00092763">
        <w:t xml:space="preserve">practice </w:t>
      </w:r>
      <w:r>
        <w:t>across the region. As such, a “burn</w:t>
      </w:r>
      <w:r w:rsidR="001E6DAC">
        <w:t>t</w:t>
      </w:r>
      <w:r>
        <w:t xml:space="preserve">” endmember </w:t>
      </w:r>
      <w:r w:rsidR="00092763">
        <w:t xml:space="preserve">was </w:t>
      </w:r>
      <w:r>
        <w:t xml:space="preserve">introduced. The MODIS </w:t>
      </w:r>
      <w:proofErr w:type="spellStart"/>
      <w:r>
        <w:t>Fire_cci</w:t>
      </w:r>
      <w:proofErr w:type="spellEnd"/>
      <w:r>
        <w:t xml:space="preserve"> Burned Area product (version 5.1) was used to identify significant burn events. Landsat composites were then generated that coincide with </w:t>
      </w:r>
      <w:r w:rsidR="001E6DAC">
        <w:t xml:space="preserve">those </w:t>
      </w:r>
      <w:r>
        <w:t xml:space="preserve">events. </w:t>
      </w:r>
      <w:r w:rsidRPr="00C16701">
        <w:t xml:space="preserve">A total of </w:t>
      </w:r>
      <w:r>
        <w:t>six</w:t>
      </w:r>
      <w:r w:rsidRPr="00C16701">
        <w:t xml:space="preserve"> </w:t>
      </w:r>
      <w:r>
        <w:t>L</w:t>
      </w:r>
      <w:r w:rsidRPr="00C16701">
        <w:t xml:space="preserve">andsat </w:t>
      </w:r>
      <w:r>
        <w:t>images</w:t>
      </w:r>
      <w:r w:rsidRPr="00C16701">
        <w:t xml:space="preserve"> </w:t>
      </w:r>
      <w:r w:rsidR="001E6DAC">
        <w:t xml:space="preserve">were generated </w:t>
      </w:r>
      <w:r w:rsidRPr="00C16701">
        <w:t>between 2015 and 2020</w:t>
      </w:r>
      <w:r>
        <w:t>. Spectral data from within the burnt area for each of the six scenes was compiled</w:t>
      </w:r>
      <w:r w:rsidR="001E6DAC">
        <w:t>,</w:t>
      </w:r>
      <w:r>
        <w:t xml:space="preserve"> and the </w:t>
      </w:r>
      <w:r w:rsidRPr="00C16701">
        <w:t xml:space="preserve">mean spectral response </w:t>
      </w:r>
      <w:r w:rsidR="001E6DAC">
        <w:t xml:space="preserve">was </w:t>
      </w:r>
      <w:r w:rsidRPr="00C16701">
        <w:t xml:space="preserve">used as the </w:t>
      </w:r>
      <w:r>
        <w:t xml:space="preserve">final </w:t>
      </w:r>
      <w:r w:rsidRPr="00C16701">
        <w:t>endmember</w:t>
      </w:r>
      <w:r>
        <w:t>.</w:t>
      </w:r>
    </w:p>
    <w:p w14:paraId="73B940C7" w14:textId="5715085E" w:rsidR="00B04E04" w:rsidRDefault="00B04E04" w:rsidP="00EC0CEE">
      <w:r>
        <w:lastRenderedPageBreak/>
        <w:t xml:space="preserve">Median composites were generated in </w:t>
      </w:r>
      <w:r w:rsidR="004730CC">
        <w:t>Google Earth Engine (</w:t>
      </w:r>
      <w:r>
        <w:t>GEE</w:t>
      </w:r>
      <w:r w:rsidR="004730CC">
        <w:t>)</w:t>
      </w:r>
      <w:r>
        <w:t xml:space="preserve"> using Landsat 8 and 9</w:t>
      </w:r>
      <w:r w:rsidR="004730CC">
        <w:t>, which</w:t>
      </w:r>
      <w:r>
        <w:t xml:space="preserve"> were processed to surface reflectance using </w:t>
      </w:r>
      <w:r w:rsidR="004730CC">
        <w:t xml:space="preserve">the </w:t>
      </w:r>
      <w:r w:rsidRPr="002B0877">
        <w:t>Land Surface Reflectance Code (LaSRC)</w:t>
      </w:r>
      <w:r>
        <w:t>. Individual images were</w:t>
      </w:r>
      <w:r w:rsidRPr="009D7B3B">
        <w:t xml:space="preserve"> cloud masked using </w:t>
      </w:r>
      <w:r>
        <w:t>the</w:t>
      </w:r>
      <w:r w:rsidRPr="009D7B3B">
        <w:t xml:space="preserve"> QA and RA bitmask bands</w:t>
      </w:r>
      <w:r>
        <w:t xml:space="preserve"> stored within the GEE dataset structure</w:t>
      </w:r>
      <w:r w:rsidRPr="009D7B3B">
        <w:t>.</w:t>
      </w:r>
      <w:r>
        <w:t xml:space="preserve"> Due to cloud cover, it was not possible to generate monthly composites for the Sahel region. Rather, serial bi-monthly composites were generated for the period 2014 to the end of 2023.</w:t>
      </w:r>
      <w:r w:rsidRPr="00C93396">
        <w:t xml:space="preserve"> </w:t>
      </w:r>
      <w:r>
        <w:t xml:space="preserve">Constrained, non-negative, spectral unmixing was applied to the Landsat image composites over 50 2.5 x </w:t>
      </w:r>
      <w:proofErr w:type="gramStart"/>
      <w:r>
        <w:t>2.5 degree</w:t>
      </w:r>
      <w:proofErr w:type="gramEnd"/>
      <w:r>
        <w:t xml:space="preserve"> tiles distributed across the Sahel region.</w:t>
      </w:r>
    </w:p>
    <w:p w14:paraId="24F703A9" w14:textId="7F47939A" w:rsidR="00B04E04" w:rsidRDefault="00B04E04" w:rsidP="00EC0CEE">
      <w:r>
        <w:t>TropWet.V1 applied a set of rules to the unmixed image, together with the terrain metrics slope angle and Height Above Nearest Drainage Network (HAND), to map wetland classes</w:t>
      </w:r>
      <w:r w:rsidR="008D2E33">
        <w:t>,</w:t>
      </w:r>
      <w:r>
        <w:t xml:space="preserve"> including open water, inundated vegetation and aquatic vegetation. However, this approach did not adequately represent transition areas, particularly the transition between inundated vegetation and non-inundated areas. To resolve this, a fuzzy-based approach was introduced whereby class membership </w:t>
      </w:r>
      <w:r w:rsidR="008D2E33">
        <w:t xml:space="preserve">was </w:t>
      </w:r>
      <w:r>
        <w:t xml:space="preserve">considered within </w:t>
      </w:r>
      <w:r w:rsidRPr="00875121">
        <w:t>± 5%</w:t>
      </w:r>
      <w:r>
        <w:t xml:space="preserve"> of the original hard ruleset (largely applied to combinations of the water, vegetation, </w:t>
      </w:r>
      <w:r w:rsidR="008D2E33">
        <w:t xml:space="preserve">and </w:t>
      </w:r>
      <w:r>
        <w:t>bare earth fraction</w:t>
      </w:r>
      <w:r w:rsidR="008D2E33">
        <w:t>s</w:t>
      </w:r>
      <w:r>
        <w:t xml:space="preserve">). </w:t>
      </w:r>
      <w:r w:rsidRPr="00AC6637">
        <w:t xml:space="preserve">Thresholds for the fuzzy classification were defined </w:t>
      </w:r>
      <w:r w:rsidR="008D2E33">
        <w:t>via</w:t>
      </w:r>
      <w:r w:rsidRPr="00AC6637">
        <w:t xml:space="preserve"> Bayesian optimisation </w:t>
      </w:r>
      <w:r w:rsidR="008D2E33">
        <w:t>using</w:t>
      </w:r>
      <w:r>
        <w:t xml:space="preserve"> a pseudo ground truth dataset. The target classes were open water, turbid water, inundated vegetation and non-inundated. </w:t>
      </w:r>
      <w:r w:rsidR="003D46C7">
        <w:t xml:space="preserve">A </w:t>
      </w:r>
      <w:r>
        <w:t>turbid water</w:t>
      </w:r>
      <w:r w:rsidR="003D46C7">
        <w:t xml:space="preserve"> class</w:t>
      </w:r>
      <w:r>
        <w:t xml:space="preserve"> was introduced following initial iterations of the classification approach</w:t>
      </w:r>
      <w:r w:rsidR="003D46C7">
        <w:t xml:space="preserve">, which </w:t>
      </w:r>
      <w:r>
        <w:t>revealed confusion between open water with high sediment content and bare earth.</w:t>
      </w:r>
    </w:p>
    <w:p w14:paraId="33543D7E" w14:textId="3386C103" w:rsidR="00B04E04" w:rsidRDefault="00B04E04" w:rsidP="00EC0CEE">
      <w:r>
        <w:t>The pseudo ground truth dataset used in the Bayesian optimisation procedure was based on visual interpretation of land cover type at a series of reference points. These points were generated th</w:t>
      </w:r>
      <w:r w:rsidR="00BC4623">
        <w:t>r</w:t>
      </w:r>
      <w:r>
        <w:t xml:space="preserve">ough </w:t>
      </w:r>
      <w:r w:rsidR="00BC4623">
        <w:t xml:space="preserve">the </w:t>
      </w:r>
      <w:r>
        <w:t xml:space="preserve">stratified random distribution of 25 3 x 3 km grid squares across the extent of the Sahel and </w:t>
      </w:r>
      <w:r w:rsidRPr="00265CE9">
        <w:t>from randomly selected bi-monthly time</w:t>
      </w:r>
      <w:r w:rsidR="00BC4623">
        <w:t xml:space="preserve"> </w:t>
      </w:r>
      <w:r w:rsidRPr="00265CE9">
        <w:t>steps within the 2014-2023 period. Stratification</w:t>
      </w:r>
      <w:r>
        <w:t xml:space="preserve"> was based on the classification result of the original TropWet.V1 approach to ensure that samples would be taken from a range of land cover types. Each grid square was populated with 200 random points and interrogated against Landsat image composites, concurrent </w:t>
      </w:r>
      <w:proofErr w:type="spellStart"/>
      <w:r>
        <w:t>PlanetLabs</w:t>
      </w:r>
      <w:proofErr w:type="spellEnd"/>
      <w:r>
        <w:t xml:space="preserve"> monthly basemap data and Google Earth imagery to label them as either open water, turbid water, inundated vegetation or non-inundated.</w:t>
      </w:r>
    </w:p>
    <w:p w14:paraId="41C7CF1C" w14:textId="5D5072B2" w:rsidR="00B04E04" w:rsidRDefault="00B04E04" w:rsidP="00D41ECE">
      <w:r>
        <w:t>Bayesian optimisation of fuzzy membership for each class was performed by testing combinations of fuzzy classification thresholds</w:t>
      </w:r>
      <w:r w:rsidR="0031224B">
        <w:t>,</w:t>
      </w:r>
      <w:r>
        <w:t xml:space="preserve"> comparing the </w:t>
      </w:r>
      <w:r w:rsidR="0031224B">
        <w:t>resulting classification</w:t>
      </w:r>
      <w:r>
        <w:t xml:space="preserve"> with the pseudo ground truth dataset, </w:t>
      </w:r>
      <w:r w:rsidR="0031224B">
        <w:t xml:space="preserve">and </w:t>
      </w:r>
      <w:r>
        <w:t xml:space="preserve">extracting accuracy scores for each combination. The combinations </w:t>
      </w:r>
      <w:r w:rsidR="0031224B">
        <w:t xml:space="preserve">that </w:t>
      </w:r>
      <w:r>
        <w:t>return</w:t>
      </w:r>
      <w:r w:rsidR="0031224B">
        <w:t>ed</w:t>
      </w:r>
      <w:r>
        <w:t xml:space="preserve"> the highest classification accuracy (macro F1 score) were used for final classification, which was then applied to the serial bi-monthly Landsat </w:t>
      </w:r>
      <w:r w:rsidR="0031224B">
        <w:t>data from</w:t>
      </w:r>
      <w:r>
        <w:t xml:space="preserve"> 2014 to the end of 2023.</w:t>
      </w:r>
    </w:p>
    <w:p w14:paraId="296131D3" w14:textId="724CFFC9" w:rsidR="00B04E04" w:rsidRDefault="00B04E04" w:rsidP="00D41ECE">
      <w:r>
        <w:t xml:space="preserve">A summary of the overall classification approach can be found in </w:t>
      </w:r>
      <w:r>
        <w:fldChar w:fldCharType="begin"/>
      </w:r>
      <w:r>
        <w:instrText xml:space="preserve"> REF _Ref207970026 \r \h </w:instrText>
      </w:r>
      <w:r>
        <w:fldChar w:fldCharType="separate"/>
      </w:r>
      <w:r w:rsidR="000E4A2D">
        <w:t>Figure S1</w:t>
      </w:r>
      <w:r>
        <w:fldChar w:fldCharType="end"/>
      </w:r>
      <w:r>
        <w:t>.</w:t>
      </w:r>
    </w:p>
    <w:p w14:paraId="10C13E87" w14:textId="77777777" w:rsidR="00B04E04" w:rsidRDefault="00B04E04" w:rsidP="00DC45DF">
      <w:pPr>
        <w:jc w:val="center"/>
      </w:pPr>
      <w:r>
        <w:rPr>
          <w:noProof/>
        </w:rPr>
        <w:lastRenderedPageBreak/>
        <w:drawing>
          <wp:inline distT="0" distB="0" distL="0" distR="0" wp14:anchorId="43683AFB" wp14:editId="10AB783E">
            <wp:extent cx="4368800" cy="5994400"/>
            <wp:effectExtent l="0" t="0" r="0" b="0"/>
            <wp:docPr id="733124751"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124751" name="Graphic 733124751"/>
                    <pic:cNvPicPr/>
                  </pic:nvPicPr>
                  <pic:blipFill>
                    <a:blip r:embed="rId7">
                      <a:extLst>
                        <a:ext uri="{96DAC541-7B7A-43D3-8B79-37D633B846F1}">
                          <asvg:svgBlip xmlns:asvg="http://schemas.microsoft.com/office/drawing/2016/SVG/main" r:embed="rId8"/>
                        </a:ext>
                      </a:extLst>
                    </a:blip>
                    <a:stretch>
                      <a:fillRect/>
                    </a:stretch>
                  </pic:blipFill>
                  <pic:spPr>
                    <a:xfrm>
                      <a:off x="0" y="0"/>
                      <a:ext cx="4368800" cy="5994400"/>
                    </a:xfrm>
                    <a:prstGeom prst="rect">
                      <a:avLst/>
                    </a:prstGeom>
                  </pic:spPr>
                </pic:pic>
              </a:graphicData>
            </a:graphic>
          </wp:inline>
        </w:drawing>
      </w:r>
    </w:p>
    <w:p w14:paraId="60887079" w14:textId="77777777" w:rsidR="00B04E04" w:rsidRDefault="00B04E04" w:rsidP="004D101F">
      <w:pPr>
        <w:pStyle w:val="figurelist"/>
      </w:pPr>
      <w:bookmarkStart w:id="1" w:name="_Ref207970026"/>
      <w:r>
        <w:t>Flow diagram summarising the overall TropWet.V2 classification approach.</w:t>
      </w:r>
      <w:bookmarkEnd w:id="1"/>
      <w:r>
        <w:t xml:space="preserve"> </w:t>
      </w:r>
    </w:p>
    <w:p w14:paraId="6D4FAAF8" w14:textId="77777777" w:rsidR="00B04E04" w:rsidRPr="00FD5DB9" w:rsidRDefault="00B04E04" w:rsidP="00061A2B">
      <w:pPr>
        <w:pStyle w:val="Heading2"/>
      </w:pPr>
      <w:r w:rsidRPr="00FD5DB9">
        <w:t xml:space="preserve">Post-classification refinements </w:t>
      </w:r>
    </w:p>
    <w:p w14:paraId="245EE435" w14:textId="04F16F2C" w:rsidR="00B04E04" w:rsidRDefault="00B04E04" w:rsidP="000C1154">
      <w:r>
        <w:t>In some instance</w:t>
      </w:r>
      <w:r w:rsidR="00C3521B">
        <w:t>s</w:t>
      </w:r>
      <w:r>
        <w:t>, wet soils were confused with turbid water</w:t>
      </w:r>
      <w:r w:rsidR="00C3521B">
        <w:t>,</w:t>
      </w:r>
      <w:r>
        <w:t xml:space="preserve"> leading to an overestimation of turbid water, particularly in agricultural areas along the Nile Valley with extensive tilled soils. Equally, the relatively dark spectral response of exposed volcanic rock in Kenya and Ethiopia w</w:t>
      </w:r>
      <w:r w:rsidR="00C3521B">
        <w:t>as</w:t>
      </w:r>
      <w:r>
        <w:t xml:space="preserve"> sometimes misclassified as turbid water. Turbid water is assumed to occur in areas with permanent or semi-permanent open water. As such, we introduced a refinement whereby turbid water would be relabelled as non-inundated </w:t>
      </w:r>
      <w:r w:rsidR="00C3521B">
        <w:t xml:space="preserve">when </w:t>
      </w:r>
      <w:r w:rsidRPr="00FD5DB9">
        <w:t xml:space="preserve">the </w:t>
      </w:r>
      <w:r>
        <w:t>GSW dataset</w:t>
      </w:r>
      <w:r w:rsidR="00EE6D91">
        <w:t xml:space="preserve"> </w:t>
      </w:r>
      <w:r w:rsidR="00EE6D91">
        <w:fldChar w:fldCharType="begin"/>
      </w:r>
      <w:r w:rsidR="00E0175F">
        <w:instrText xml:space="preserve"> ADDIN ZOTERO_ITEM CSL_CITATION {"citationID":"RgvkPCh3","properties":{"unsorted":false,"formattedCitation":"\\super 2\\nosupersub{}","plainCitation":"2","noteIndex":0},"citationItems":[{"id":2689,"uris":["http://zotero.org/users/11239995/items/DZX2KD7L"],"itemData":{"id":2689,"type":"article-journal","abstract":"The location and persistence of surface water (inland and coastal) is both affected by climate and human activity and affects climate, biological diversity and human wellbeing. Global data sets documenting surface water location and seasonality have been produced from inventories and national descriptions, statistical extrapolation of regional data and satellite imagery, but measuring long-term changes at high resolution remains a challenge. Here, using three million Landsat satellite images, we quantify changes in global surface water over the past 32 years at 30-metre resolution. We record the months and years when water was present, where occurrence changed and what form changes took in terms of seasonality and persistence. Between 1984 and 2015 permanent surface water has disappeared from an area of almost 90,000 square kilometres, roughly equivalent to that of Lake Superior, though new permanent bodies of surface water covering 184,000 square kilometres have formed elsewhere. All continental regions show a net increase in permanent water, except Oceania, which has a fractional (one per cent) net loss. Much of the increase is from reservoir filling, although climate change is also implicated. Loss is more geographically concentrated than gain. Over 70 per cent of global net permanent water loss occurred in the Middle East and Central Asia, linked to drought and human actions including river diversion or damming and unregulated withdrawal. Losses in Australia and the USA linked to long-term droughts are also evident. This globally consistent, validated data set shows that impacts of climate change and climate oscillations on surface water occurrence can be measured and that evidence can be gathered to show how surface water is altered by human activities. We anticipate that this freely available data will improve the modelling of surface forcing, provide evidence of state and change in wetland ecotones (the transition areas between biomes), and inform water-management decision-making.","container-title":"Nature","DOI":"10.1038/nature20584","issue":"7633","journalAbbreviation":"Nature","page":"418-422","title":"High-resolution mapping of global surface water and its long-term changes.","volume":"540","author":[{"family":"Pekel","given":"Jean-François"},{"family":"Cottam","given":"Andrew"},{"family":"Gorelick","given":"Noel"},{"family":"Belward","given":"Alan S"}],"issued":{"date-parts":[["2016",12,15]]}}}],"schema":"https://github.com/citation-style-language/schema/raw/master/csl-citation.json"} </w:instrText>
      </w:r>
      <w:r w:rsidR="00EE6D91">
        <w:fldChar w:fldCharType="separate"/>
      </w:r>
      <w:r w:rsidR="00E0175F" w:rsidRPr="00E0175F">
        <w:rPr>
          <w:szCs w:val="24"/>
          <w:vertAlign w:val="superscript"/>
        </w:rPr>
        <w:t>2</w:t>
      </w:r>
      <w:r w:rsidR="00EE6D91">
        <w:fldChar w:fldCharType="end"/>
      </w:r>
      <w:r w:rsidRPr="00FD5DB9">
        <w:t xml:space="preserve"> </w:t>
      </w:r>
      <w:r>
        <w:t>indicated no open water, or whe</w:t>
      </w:r>
      <w:r w:rsidR="00C3521B">
        <w:t>n th</w:t>
      </w:r>
      <w:r>
        <w:t xml:space="preserve">e </w:t>
      </w:r>
      <w:proofErr w:type="spellStart"/>
      <w:r>
        <w:t>TropWet</w:t>
      </w:r>
      <w:proofErr w:type="spellEnd"/>
      <w:r>
        <w:t xml:space="preserve"> frequency of open water was zero, i.e.</w:t>
      </w:r>
      <w:r w:rsidR="00C3521B">
        <w:t>,</w:t>
      </w:r>
      <w:r>
        <w:t xml:space="preserve"> either dataset indicat</w:t>
      </w:r>
      <w:r w:rsidR="00C3521B">
        <w:t>ed</w:t>
      </w:r>
      <w:r>
        <w:t xml:space="preserve"> that the </w:t>
      </w:r>
      <w:r>
        <w:lastRenderedPageBreak/>
        <w:t xml:space="preserve">pixel </w:t>
      </w:r>
      <w:r w:rsidR="00C3521B">
        <w:t>wa</w:t>
      </w:r>
      <w:r>
        <w:t>s unlikely to be inundated. Turbid water was not a class of interest and therefore was relabelled as open water for the final classification.</w:t>
      </w:r>
    </w:p>
    <w:p w14:paraId="67657F52" w14:textId="312ADFB8" w:rsidR="00B04E04" w:rsidRPr="007E3EAA" w:rsidRDefault="00B04E04" w:rsidP="00914D1E">
      <w:r w:rsidRPr="007E3EAA">
        <w:t>Small, isolated</w:t>
      </w:r>
      <w:r w:rsidR="004217B1">
        <w:t>,</w:t>
      </w:r>
      <w:r>
        <w:t xml:space="preserve"> non-inundated</w:t>
      </w:r>
      <w:r w:rsidRPr="007E3EAA">
        <w:t xml:space="preserve"> areas </w:t>
      </w:r>
      <w:r>
        <w:t xml:space="preserve">were </w:t>
      </w:r>
      <w:r w:rsidR="004217B1">
        <w:t xml:space="preserve">sometimes </w:t>
      </w:r>
      <w:r>
        <w:t xml:space="preserve">misclassified as inundated vegetation. This is likely to be the result of shadowing, resulting </w:t>
      </w:r>
      <w:r w:rsidR="004217B1">
        <w:t xml:space="preserve">in </w:t>
      </w:r>
      <w:r>
        <w:t xml:space="preserve">a spectral response that is </w:t>
      </w:r>
      <w:proofErr w:type="gramStart"/>
      <w:r>
        <w:t>similar to</w:t>
      </w:r>
      <w:proofErr w:type="gramEnd"/>
      <w:r>
        <w:t xml:space="preserve"> a mixed vegetation-water pixel. In some instances, this may be due to a failure in the </w:t>
      </w:r>
      <w:r w:rsidRPr="002B0877">
        <w:t>LaSRC</w:t>
      </w:r>
      <w:r>
        <w:t xml:space="preserve"> approach to adequately mask cloud shadow. For the main part, however, it is likely that higher vegetation canopies, particularly forests, </w:t>
      </w:r>
      <w:r w:rsidR="004217B1">
        <w:t>cast</w:t>
      </w:r>
      <w:r>
        <w:t xml:space="preserve"> shadows, again exhibiting a spectral response </w:t>
      </w:r>
      <w:proofErr w:type="gramStart"/>
      <w:r w:rsidR="004217B1">
        <w:t xml:space="preserve">similar </w:t>
      </w:r>
      <w:r>
        <w:t>to</w:t>
      </w:r>
      <w:proofErr w:type="gramEnd"/>
      <w:r>
        <w:t xml:space="preserve"> </w:t>
      </w:r>
      <w:r w:rsidR="004217B1">
        <w:t xml:space="preserve">that of </w:t>
      </w:r>
      <w:r>
        <w:t xml:space="preserve">a mixed vegetation-water pixel. </w:t>
      </w:r>
      <w:r w:rsidRPr="007E3EAA">
        <w:t>T</w:t>
      </w:r>
      <w:r>
        <w:t xml:space="preserve">his effect was reduced by relabelling inundated vegetation pixels as non-inundated where </w:t>
      </w:r>
      <w:r w:rsidRPr="007E3EAA">
        <w:t xml:space="preserve">the Hansen Global Forest Change v1.11 forest cover </w:t>
      </w:r>
      <w:r>
        <w:t xml:space="preserve">for 2000 </w:t>
      </w:r>
      <w:r w:rsidRPr="007E3EAA">
        <w:t>was greater than 50% coverage</w:t>
      </w:r>
      <w:r w:rsidR="0040144C">
        <w:t xml:space="preserve"> </w:t>
      </w:r>
      <w:r w:rsidR="0040144C">
        <w:fldChar w:fldCharType="begin"/>
      </w:r>
      <w:r w:rsidR="00E0175F">
        <w:instrText xml:space="preserve"> ADDIN ZOTERO_ITEM CSL_CITATION {"citationID":"qo04yfHz","properties":{"unsorted":false,"formattedCitation":"\\super 3\\nosupersub{}","plainCitation":"3","noteIndex":0},"citationItems":[{"id":2497,"uris":["http://zotero.org/users/11239995/items/TKY6IFT2"],"itemData":{"id":2497,"type":"article-journal","abstract":"Quantification of global forest change has been lacking despite the recognized importance of forest ecosystem services. In this study, Earth observation satellite data were used to map global forest loss (2.3 million square kilometers) and gain (0.8 million square kilometers) from 2000 to 2012 at a spatial resolution of 30 meters. The tropics were the only climate domain to exhibit a trend, with forest loss increasing by 2101 square kilometers per year. Brazil's well-documented reduction in deforestation was offset by increasing forest loss in Indonesia, Malaysia, Paraguay, Bolivia, Zambia, Angola, and elsewhere. Intensive forestry practiced within subtropical forests resulted in the highest rates of forest change globally. Boreal forest loss due largely to fire and forestry was second to that in the tropics in absolute and proportional terms. These results depict a globally consistent and locally relevant record of forest change.","container-title":"Science","DOI":"10.1126/science.1244693","ISSN":"0036-8075","issue":"6160","journalAbbreviation":"Science","page":"850-853","title":"High-resolution global maps of 21st-century forest cover change.","volume":"342","author":[{"family":"Hansen","given":"M C"},{"family":"Potapov","given":"P V"},{"family":"Moore","given":"R"},{"family":"Hancher","given":"M"},{"family":"Turubanova","given":"S A"},{"family":"Tyukavina","given":"A"},{"family":"Thau","given":"D"},{"family":"Stehman","given":"S V"},{"family":"Goetz","given":"S J"},{"family":"Loveland","given":"T R"},{"family":"Kommareddy","given":"A"},{"family":"Egorov","given":"A"},{"family":"Chini","given":"L"},{"family":"Justice","given":"C O"},{"family":"Townshend","given":"J R G"}],"issued":{"date-parts":[["2013",11,15]]}}}],"schema":"https://github.com/citation-style-language/schema/raw/master/csl-citation.json"} </w:instrText>
      </w:r>
      <w:r w:rsidR="0040144C">
        <w:fldChar w:fldCharType="separate"/>
      </w:r>
      <w:r w:rsidR="00E0175F" w:rsidRPr="00E0175F">
        <w:rPr>
          <w:szCs w:val="24"/>
          <w:vertAlign w:val="superscript"/>
        </w:rPr>
        <w:t>3</w:t>
      </w:r>
      <w:r w:rsidR="0040144C">
        <w:fldChar w:fldCharType="end"/>
      </w:r>
      <w:r>
        <w:t xml:space="preserve">. Analysis of this dataset indicated </w:t>
      </w:r>
      <w:r w:rsidR="00735F6E">
        <w:t xml:space="preserve">a </w:t>
      </w:r>
      <w:r>
        <w:t>negligible change in forest cover across the Sahel region</w:t>
      </w:r>
      <w:r w:rsidR="00735F6E">
        <w:t xml:space="preserve"> for the study period</w:t>
      </w:r>
      <w:r>
        <w:t xml:space="preserve">. </w:t>
      </w:r>
    </w:p>
    <w:p w14:paraId="3BD2643A" w14:textId="71D33763" w:rsidR="00B04E04" w:rsidRPr="00FD5DB9" w:rsidRDefault="00B04E04" w:rsidP="00765802">
      <w:r>
        <w:t xml:space="preserve">Remaining isolated areas of inundated vegetation were assumed to be erroneous or the result of temporal flooding </w:t>
      </w:r>
      <w:r w:rsidR="0086536D">
        <w:t xml:space="preserve">caused by </w:t>
      </w:r>
      <w:r>
        <w:t xml:space="preserve">localised rainfall events. To account for this, each serial classified image </w:t>
      </w:r>
      <w:r w:rsidR="0086536D">
        <w:t xml:space="preserve">was </w:t>
      </w:r>
      <w:r>
        <w:t xml:space="preserve">clumped to join neighbouring pixels with the same class value. These images are then used to generate a binary image </w:t>
      </w:r>
      <w:r w:rsidR="0086536D">
        <w:t>indicating</w:t>
      </w:r>
      <w:r>
        <w:t xml:space="preserve"> pixels mapped as inundated vegetation for more than 20% of the time. In this respect, these areas are assumed to be “hydrologically active”. Inundated vegetation pixels were relabelled as non-inundated where they are &gt;100 m from a hydrologically active area.</w:t>
      </w:r>
    </w:p>
    <w:p w14:paraId="115BCD14" w14:textId="6A7CB1C9" w:rsidR="00B04E04" w:rsidRDefault="00B04E04" w:rsidP="00063D9E">
      <w:r>
        <w:t xml:space="preserve">A summary of the post-classification refinement steps </w:t>
      </w:r>
      <w:r w:rsidR="0086536D">
        <w:t>is shown</w:t>
      </w:r>
      <w:r>
        <w:t xml:space="preserve"> in </w:t>
      </w:r>
      <w:r>
        <w:fldChar w:fldCharType="begin"/>
      </w:r>
      <w:r>
        <w:instrText xml:space="preserve"> REF _Ref207970014 \r \h </w:instrText>
      </w:r>
      <w:r>
        <w:fldChar w:fldCharType="separate"/>
      </w:r>
      <w:r w:rsidR="000E4A2D">
        <w:t>Figure S2</w:t>
      </w:r>
      <w:r>
        <w:fldChar w:fldCharType="end"/>
      </w:r>
      <w:r>
        <w:t>.</w:t>
      </w:r>
    </w:p>
    <w:p w14:paraId="09D74119" w14:textId="77777777" w:rsidR="00B04E04" w:rsidRDefault="00B04E04" w:rsidP="00063D9E">
      <w:pPr>
        <w:jc w:val="center"/>
      </w:pPr>
      <w:r>
        <w:rPr>
          <w:noProof/>
        </w:rPr>
        <w:lastRenderedPageBreak/>
        <w:drawing>
          <wp:inline distT="0" distB="0" distL="0" distR="0" wp14:anchorId="1D3099D3" wp14:editId="6C89E913">
            <wp:extent cx="4292607" cy="4532243"/>
            <wp:effectExtent l="0" t="0" r="0" b="0"/>
            <wp:docPr id="600621124"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621124" name="Graphic 600621124"/>
                    <pic:cNvPicPr/>
                  </pic:nvPicPr>
                  <pic:blipFill>
                    <a:blip r:embed="rId9">
                      <a:extLst>
                        <a:ext uri="{96DAC541-7B7A-43D3-8B79-37D633B846F1}">
                          <asvg:svgBlip xmlns:asvg="http://schemas.microsoft.com/office/drawing/2016/SVG/main" r:embed="rId10"/>
                        </a:ext>
                      </a:extLst>
                    </a:blip>
                    <a:stretch>
                      <a:fillRect/>
                    </a:stretch>
                  </pic:blipFill>
                  <pic:spPr>
                    <a:xfrm>
                      <a:off x="0" y="0"/>
                      <a:ext cx="4320571" cy="4561768"/>
                    </a:xfrm>
                    <a:prstGeom prst="rect">
                      <a:avLst/>
                    </a:prstGeom>
                  </pic:spPr>
                </pic:pic>
              </a:graphicData>
            </a:graphic>
          </wp:inline>
        </w:drawing>
      </w:r>
    </w:p>
    <w:p w14:paraId="21E924D7" w14:textId="77777777" w:rsidR="00B04E04" w:rsidRDefault="00B04E04" w:rsidP="00214916">
      <w:pPr>
        <w:pStyle w:val="figurelist"/>
      </w:pPr>
      <w:bookmarkStart w:id="2" w:name="_Ref207970014"/>
      <w:r>
        <w:t>Flow diagram summarising the overall post-classification refinement steps used in TropWet.V2.</w:t>
      </w:r>
      <w:bookmarkEnd w:id="2"/>
      <w:r>
        <w:t xml:space="preserve"> </w:t>
      </w:r>
    </w:p>
    <w:p w14:paraId="34EAF53A" w14:textId="2D711308" w:rsidR="00E47734" w:rsidRDefault="00E47734">
      <w:pPr>
        <w:rPr>
          <w:b/>
        </w:rPr>
      </w:pPr>
    </w:p>
    <w:p w14:paraId="6279E99A" w14:textId="0B7C26D8" w:rsidR="00E47734" w:rsidRDefault="00E47734" w:rsidP="007D6495">
      <w:pPr>
        <w:pStyle w:val="Heading1"/>
      </w:pPr>
      <w:r>
        <w:t>Ground-Truth Observations</w:t>
      </w:r>
    </w:p>
    <w:p w14:paraId="58608FDE" w14:textId="15D796D0" w:rsidR="00E47734" w:rsidRDefault="00EC5CA1" w:rsidP="00E47734">
      <w:r>
        <w:t>Ground truth data collection campaigns were carried out in two locations</w:t>
      </w:r>
      <w:r w:rsidR="00954450">
        <w:t>:</w:t>
      </w:r>
      <w:r>
        <w:t xml:space="preserve"> </w:t>
      </w:r>
      <w:r w:rsidR="00954450">
        <w:t>1. W</w:t>
      </w:r>
      <w:r>
        <w:t xml:space="preserve">ithin the Inner Niger Delta, Mali </w:t>
      </w:r>
      <w:r w:rsidR="00484E9D">
        <w:t>from 17-26</w:t>
      </w:r>
      <w:r>
        <w:t xml:space="preserve"> October 2025 and </w:t>
      </w:r>
      <w:r w:rsidR="0014512F">
        <w:t xml:space="preserve">2. </w:t>
      </w:r>
      <w:r w:rsidR="00BC2A6F">
        <w:t>T</w:t>
      </w:r>
      <w:r>
        <w:t>he area around Lake</w:t>
      </w:r>
      <w:r w:rsidRPr="00DC2450">
        <w:t xml:space="preserve"> </w:t>
      </w:r>
      <w:proofErr w:type="spellStart"/>
      <w:r>
        <w:t>O</w:t>
      </w:r>
      <w:r w:rsidRPr="00DC2450">
        <w:t>lbolosat</w:t>
      </w:r>
      <w:proofErr w:type="spellEnd"/>
      <w:r>
        <w:t xml:space="preserve">, Kenya </w:t>
      </w:r>
      <w:r w:rsidR="0014512F">
        <w:t>from 11-17</w:t>
      </w:r>
      <w:r>
        <w:t xml:space="preserve"> </w:t>
      </w:r>
      <w:r w:rsidR="0014512F">
        <w:t>October</w:t>
      </w:r>
      <w:r>
        <w:t xml:space="preserve"> 2025</w:t>
      </w:r>
      <w:r w:rsidR="00BC2A6F">
        <w:t xml:space="preserve"> (</w:t>
      </w:r>
      <w:r w:rsidR="00BC2A6F">
        <w:fldChar w:fldCharType="begin"/>
      </w:r>
      <w:r w:rsidR="00BC2A6F">
        <w:instrText xml:space="preserve"> REF _Ref222923450 \r \h </w:instrText>
      </w:r>
      <w:r w:rsidR="00BC2A6F">
        <w:fldChar w:fldCharType="separate"/>
      </w:r>
      <w:r w:rsidR="000E4A2D">
        <w:t>Figure S3</w:t>
      </w:r>
      <w:r w:rsidR="00BC2A6F">
        <w:fldChar w:fldCharType="end"/>
      </w:r>
      <w:r w:rsidR="00BC2A6F">
        <w:t>)</w:t>
      </w:r>
      <w:r>
        <w:t>.</w:t>
      </w:r>
    </w:p>
    <w:p w14:paraId="2673C50A" w14:textId="4F195205" w:rsidR="00304B4E" w:rsidRDefault="00A5466F" w:rsidP="00E47734">
      <w:r>
        <w:rPr>
          <w:noProof/>
        </w:rPr>
        <w:lastRenderedPageBreak/>
        <w:drawing>
          <wp:inline distT="0" distB="0" distL="0" distR="0" wp14:anchorId="196C64DB" wp14:editId="122255DA">
            <wp:extent cx="5943600" cy="3955415"/>
            <wp:effectExtent l="0" t="0" r="0" b="0"/>
            <wp:docPr id="446470587" name="Picture 1" descr="A map of the count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470587" name="Picture 1" descr="A map of the country&#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955415"/>
                    </a:xfrm>
                    <a:prstGeom prst="rect">
                      <a:avLst/>
                    </a:prstGeom>
                  </pic:spPr>
                </pic:pic>
              </a:graphicData>
            </a:graphic>
          </wp:inline>
        </w:drawing>
      </w:r>
    </w:p>
    <w:p w14:paraId="5D75F57F" w14:textId="607D0EE7" w:rsidR="0043370B" w:rsidRDefault="0043370B" w:rsidP="0043370B">
      <w:pPr>
        <w:pStyle w:val="figurelist"/>
      </w:pPr>
      <w:bookmarkStart w:id="3" w:name="_Ref222923450"/>
      <w:r>
        <w:t>Location of ground-truth sites in Mali and Kenya.</w:t>
      </w:r>
      <w:bookmarkEnd w:id="3"/>
      <w:r w:rsidR="00A95E20">
        <w:t xml:space="preserve"> Basemap imagery provided by Bing </w:t>
      </w:r>
      <w:r w:rsidR="00EC3EDF">
        <w:t>Im</w:t>
      </w:r>
      <w:r w:rsidR="0021755B">
        <w:t>agery and ESRI Ocean Basemap.</w:t>
      </w:r>
    </w:p>
    <w:p w14:paraId="716D01C9" w14:textId="7CFF19A1" w:rsidR="001D1F54" w:rsidRDefault="00707DD0" w:rsidP="001D1F54">
      <w:pPr>
        <w:rPr>
          <w:lang w:val="en-US"/>
        </w:rPr>
      </w:pPr>
      <w:r>
        <w:t xml:space="preserve">At each </w:t>
      </w:r>
      <w:r w:rsidR="00626FAE">
        <w:t>location</w:t>
      </w:r>
      <w:r>
        <w:t>, field teams were</w:t>
      </w:r>
      <w:r w:rsidR="001D1F54">
        <w:t xml:space="preserve"> tasked with </w:t>
      </w:r>
      <w:r w:rsidR="001D1F54">
        <w:rPr>
          <w:lang w:val="en-US"/>
        </w:rPr>
        <w:t>making</w:t>
      </w:r>
      <w:r w:rsidR="001D1F54" w:rsidRPr="001D1F54">
        <w:rPr>
          <w:lang w:val="en-US"/>
        </w:rPr>
        <w:t xml:space="preserve"> observation </w:t>
      </w:r>
      <w:r w:rsidR="001D1F54">
        <w:rPr>
          <w:lang w:val="en-US"/>
        </w:rPr>
        <w:t>within</w:t>
      </w:r>
      <w:r w:rsidR="001D1F54" w:rsidRPr="001D1F54">
        <w:rPr>
          <w:lang w:val="en-US"/>
        </w:rPr>
        <w:t xml:space="preserve"> a variety of inundation conditions, e.g. open water, water with emergent herbaceous vegetation (ranging from tall grasses to low grasses), wet soils, floating vegetation, cloudy/clear water, small/large extent water bodies, emergent vegetation with taller shrubs and/or trees, as well as recording observations where no water </w:t>
      </w:r>
      <w:r w:rsidR="00CC1190">
        <w:rPr>
          <w:lang w:val="en-US"/>
        </w:rPr>
        <w:t>was</w:t>
      </w:r>
      <w:r w:rsidR="00CC1190" w:rsidRPr="001D1F54">
        <w:rPr>
          <w:lang w:val="en-US"/>
        </w:rPr>
        <w:t xml:space="preserve"> </w:t>
      </w:r>
      <w:r w:rsidR="001D1F54" w:rsidRPr="001D1F54">
        <w:rPr>
          <w:lang w:val="en-US"/>
        </w:rPr>
        <w:t>present.</w:t>
      </w:r>
      <w:r w:rsidR="00B2200E">
        <w:rPr>
          <w:lang w:val="en-US"/>
        </w:rPr>
        <w:t xml:space="preserve"> </w:t>
      </w:r>
    </w:p>
    <w:p w14:paraId="42AEA85F" w14:textId="55EB3AAF" w:rsidR="00435056" w:rsidRDefault="00435056" w:rsidP="001D1F54">
      <w:pPr>
        <w:rPr>
          <w:lang w:val="en-US"/>
        </w:rPr>
      </w:pPr>
      <w:r w:rsidRPr="00435056">
        <w:rPr>
          <w:lang w:val="en-US"/>
        </w:rPr>
        <w:t>At each sampling point</w:t>
      </w:r>
      <w:r w:rsidR="00382DCB">
        <w:rPr>
          <w:lang w:val="en-US"/>
        </w:rPr>
        <w:t xml:space="preserve"> a</w:t>
      </w:r>
      <w:r w:rsidRPr="00435056">
        <w:rPr>
          <w:lang w:val="en-US"/>
        </w:rPr>
        <w:t xml:space="preserve"> record </w:t>
      </w:r>
      <w:r w:rsidR="00382DCB">
        <w:rPr>
          <w:lang w:val="en-US"/>
        </w:rPr>
        <w:t xml:space="preserve">of the </w:t>
      </w:r>
      <w:r w:rsidRPr="00435056">
        <w:rPr>
          <w:lang w:val="en-US"/>
        </w:rPr>
        <w:t xml:space="preserve">time, photo(s), </w:t>
      </w:r>
      <w:proofErr w:type="spellStart"/>
      <w:r w:rsidRPr="00435056">
        <w:rPr>
          <w:lang w:val="en-US"/>
        </w:rPr>
        <w:t>xy</w:t>
      </w:r>
      <w:proofErr w:type="spellEnd"/>
      <w:r w:rsidRPr="00435056">
        <w:rPr>
          <w:lang w:val="en-US"/>
        </w:rPr>
        <w:t xml:space="preserve"> coordinate and </w:t>
      </w:r>
      <w:proofErr w:type="spellStart"/>
      <w:r w:rsidR="00382DCB">
        <w:rPr>
          <w:lang w:val="en-US"/>
        </w:rPr>
        <w:t>characteri</w:t>
      </w:r>
      <w:r w:rsidR="00CC1190">
        <w:rPr>
          <w:lang w:val="en-US"/>
        </w:rPr>
        <w:t>s</w:t>
      </w:r>
      <w:r w:rsidR="00382DCB">
        <w:rPr>
          <w:lang w:val="en-US"/>
        </w:rPr>
        <w:t>ation</w:t>
      </w:r>
      <w:proofErr w:type="spellEnd"/>
      <w:r w:rsidR="00382DCB">
        <w:rPr>
          <w:lang w:val="en-US"/>
        </w:rPr>
        <w:t xml:space="preserve"> of</w:t>
      </w:r>
      <w:r w:rsidRPr="00435056">
        <w:rPr>
          <w:lang w:val="en-US"/>
        </w:rPr>
        <w:t xml:space="preserve"> inundation and land cover conditions</w:t>
      </w:r>
      <w:r w:rsidR="008F18FB">
        <w:rPr>
          <w:lang w:val="en-US"/>
        </w:rPr>
        <w:t xml:space="preserve"> was made</w:t>
      </w:r>
      <w:r w:rsidRPr="00435056">
        <w:rPr>
          <w:lang w:val="en-US"/>
        </w:rPr>
        <w:t xml:space="preserve"> (see the summary table below). </w:t>
      </w:r>
      <w:r w:rsidR="008F18FB">
        <w:rPr>
          <w:lang w:val="en-US"/>
        </w:rPr>
        <w:t>O</w:t>
      </w:r>
      <w:r w:rsidRPr="00435056">
        <w:rPr>
          <w:lang w:val="en-US"/>
        </w:rPr>
        <w:t xml:space="preserve">bservations </w:t>
      </w:r>
      <w:r w:rsidR="008F18FB">
        <w:rPr>
          <w:lang w:val="en-US"/>
        </w:rPr>
        <w:t>were made</w:t>
      </w:r>
      <w:r w:rsidRPr="00435056">
        <w:rPr>
          <w:lang w:val="en-US"/>
        </w:rPr>
        <w:t xml:space="preserve"> within a 30 x 30 m area, assuming </w:t>
      </w:r>
      <w:r w:rsidR="00234E76">
        <w:rPr>
          <w:lang w:val="en-US"/>
        </w:rPr>
        <w:t xml:space="preserve">the field surveyor </w:t>
      </w:r>
      <w:r w:rsidR="00CC1190">
        <w:rPr>
          <w:lang w:val="en-US"/>
        </w:rPr>
        <w:t>was</w:t>
      </w:r>
      <w:r w:rsidR="00CC1190" w:rsidRPr="00435056">
        <w:rPr>
          <w:lang w:val="en-US"/>
        </w:rPr>
        <w:t xml:space="preserve"> </w:t>
      </w:r>
      <w:r w:rsidRPr="00435056">
        <w:rPr>
          <w:lang w:val="en-US"/>
        </w:rPr>
        <w:t xml:space="preserve">positioned at the </w:t>
      </w:r>
      <w:proofErr w:type="spellStart"/>
      <w:r w:rsidRPr="00435056">
        <w:rPr>
          <w:lang w:val="en-US"/>
        </w:rPr>
        <w:t>cent</w:t>
      </w:r>
      <w:r w:rsidR="00CC1190">
        <w:rPr>
          <w:lang w:val="en-US"/>
        </w:rPr>
        <w:t>re</w:t>
      </w:r>
      <w:proofErr w:type="spellEnd"/>
      <w:r w:rsidRPr="00435056">
        <w:rPr>
          <w:lang w:val="en-US"/>
        </w:rPr>
        <w:t xml:space="preserve"> of the </w:t>
      </w:r>
      <w:r w:rsidR="00234E76">
        <w:rPr>
          <w:lang w:val="en-US"/>
        </w:rPr>
        <w:t>area</w:t>
      </w:r>
      <w:r w:rsidRPr="00435056">
        <w:rPr>
          <w:lang w:val="en-US"/>
        </w:rPr>
        <w:t>.</w:t>
      </w:r>
      <w:r w:rsidR="008A2DF9">
        <w:rPr>
          <w:lang w:val="en-US"/>
        </w:rPr>
        <w:t xml:space="preserve"> Data was recorded using a bespoke </w:t>
      </w:r>
      <w:proofErr w:type="spellStart"/>
      <w:r w:rsidR="008A2DF9">
        <w:rPr>
          <w:lang w:val="en-US"/>
        </w:rPr>
        <w:t>EpiCollect</w:t>
      </w:r>
      <w:proofErr w:type="spellEnd"/>
      <w:r w:rsidR="007F3879">
        <w:rPr>
          <w:lang w:val="en-US"/>
        </w:rPr>
        <w:t xml:space="preserve"> (</w:t>
      </w:r>
      <w:hyperlink r:id="rId12" w:tgtFrame="_blank" w:history="1">
        <w:r w:rsidR="007F3879">
          <w:rPr>
            <w:rStyle w:val="Hyperlink"/>
            <w:color w:val="1558D6"/>
            <w:shd w:val="clear" w:color="auto" w:fill="FFFFFF"/>
          </w:rPr>
          <w:t>https://five.epicollect.net/</w:t>
        </w:r>
      </w:hyperlink>
      <w:r w:rsidR="007F3879">
        <w:rPr>
          <w:lang w:val="en-US"/>
        </w:rPr>
        <w:t>)</w:t>
      </w:r>
      <w:r w:rsidR="008A2DF9">
        <w:rPr>
          <w:lang w:val="en-US"/>
        </w:rPr>
        <w:t xml:space="preserve"> data collection form.</w:t>
      </w:r>
    </w:p>
    <w:p w14:paraId="3C9400B4" w14:textId="4AA9C335" w:rsidR="00B05804" w:rsidRDefault="00B05804" w:rsidP="00B05804">
      <w:pPr>
        <w:pStyle w:val="tablelist"/>
      </w:pPr>
      <w:r>
        <w:t>List of the data recorded at each sample point</w:t>
      </w:r>
    </w:p>
    <w:tbl>
      <w:tblPr>
        <w:tblStyle w:val="TableGrid"/>
        <w:tblW w:w="0" w:type="auto"/>
        <w:tblCellMar>
          <w:top w:w="57" w:type="dxa"/>
          <w:bottom w:w="57" w:type="dxa"/>
        </w:tblCellMar>
        <w:tblLook w:val="04A0" w:firstRow="1" w:lastRow="0" w:firstColumn="1" w:lastColumn="0" w:noHBand="0" w:noVBand="1"/>
      </w:tblPr>
      <w:tblGrid>
        <w:gridCol w:w="4248"/>
      </w:tblGrid>
      <w:tr w:rsidR="004D0589" w:rsidRPr="008535C2" w14:paraId="03AD31B6" w14:textId="77777777" w:rsidTr="00487EA3">
        <w:tc>
          <w:tcPr>
            <w:tcW w:w="4248" w:type="dxa"/>
            <w:hideMark/>
          </w:tcPr>
          <w:p w14:paraId="7C8B3640" w14:textId="39370207" w:rsidR="004D0589" w:rsidRPr="008535C2" w:rsidRDefault="003C3F31" w:rsidP="003C3F31">
            <w:pPr>
              <w:rPr>
                <w:rFonts w:eastAsia="Times New Roman"/>
                <w:b/>
                <w:bCs/>
                <w:color w:val="333333"/>
                <w:spacing w:val="2"/>
                <w:sz w:val="20"/>
                <w:szCs w:val="20"/>
              </w:rPr>
            </w:pPr>
            <w:r>
              <w:rPr>
                <w:rFonts w:eastAsia="Times New Roman"/>
                <w:b/>
                <w:bCs/>
                <w:color w:val="333333"/>
                <w:spacing w:val="2"/>
                <w:sz w:val="20"/>
                <w:szCs w:val="20"/>
              </w:rPr>
              <w:t>Question</w:t>
            </w:r>
          </w:p>
        </w:tc>
      </w:tr>
      <w:tr w:rsidR="004D0589" w:rsidRPr="008535C2" w14:paraId="35185A4A" w14:textId="77777777" w:rsidTr="00487EA3">
        <w:tc>
          <w:tcPr>
            <w:tcW w:w="4248" w:type="dxa"/>
            <w:hideMark/>
          </w:tcPr>
          <w:p w14:paraId="2658BB5B" w14:textId="77777777" w:rsidR="004D0589" w:rsidRPr="008535C2" w:rsidRDefault="004D0589" w:rsidP="006D47AD">
            <w:pPr>
              <w:rPr>
                <w:rFonts w:eastAsia="Times New Roman"/>
                <w:color w:val="333333"/>
                <w:spacing w:val="2"/>
                <w:sz w:val="20"/>
                <w:szCs w:val="20"/>
              </w:rPr>
            </w:pPr>
            <w:r w:rsidRPr="008535C2">
              <w:rPr>
                <w:rFonts w:eastAsia="Times New Roman"/>
                <w:color w:val="333333"/>
                <w:spacing w:val="2"/>
                <w:sz w:val="20"/>
                <w:szCs w:val="20"/>
              </w:rPr>
              <w:t>Date</w:t>
            </w:r>
          </w:p>
        </w:tc>
      </w:tr>
      <w:tr w:rsidR="004D0589" w:rsidRPr="008535C2" w14:paraId="51A0DE27" w14:textId="77777777" w:rsidTr="00487EA3">
        <w:tc>
          <w:tcPr>
            <w:tcW w:w="4248" w:type="dxa"/>
            <w:hideMark/>
          </w:tcPr>
          <w:p w14:paraId="024CA69F" w14:textId="77777777" w:rsidR="004D0589" w:rsidRPr="008535C2" w:rsidRDefault="004D0589" w:rsidP="006D47AD">
            <w:pPr>
              <w:rPr>
                <w:rFonts w:eastAsia="Times New Roman"/>
                <w:color w:val="333333"/>
                <w:spacing w:val="2"/>
                <w:sz w:val="20"/>
                <w:szCs w:val="20"/>
              </w:rPr>
            </w:pPr>
            <w:r w:rsidRPr="008535C2">
              <w:rPr>
                <w:rFonts w:eastAsia="Times New Roman"/>
                <w:color w:val="333333"/>
                <w:spacing w:val="2"/>
                <w:sz w:val="20"/>
                <w:szCs w:val="20"/>
              </w:rPr>
              <w:t>Time</w:t>
            </w:r>
          </w:p>
        </w:tc>
      </w:tr>
      <w:tr w:rsidR="004D0589" w:rsidRPr="008535C2" w14:paraId="36C852C3" w14:textId="77777777" w:rsidTr="00487EA3">
        <w:tc>
          <w:tcPr>
            <w:tcW w:w="4248" w:type="dxa"/>
            <w:hideMark/>
          </w:tcPr>
          <w:p w14:paraId="23776772" w14:textId="77777777" w:rsidR="004D0589" w:rsidRPr="008535C2" w:rsidRDefault="004D0589" w:rsidP="006D47AD">
            <w:pPr>
              <w:rPr>
                <w:rFonts w:eastAsia="Times New Roman"/>
                <w:color w:val="333333"/>
                <w:spacing w:val="2"/>
                <w:sz w:val="20"/>
                <w:szCs w:val="20"/>
              </w:rPr>
            </w:pPr>
            <w:r w:rsidRPr="008535C2">
              <w:rPr>
                <w:rFonts w:eastAsia="Times New Roman"/>
                <w:color w:val="333333"/>
                <w:spacing w:val="2"/>
                <w:sz w:val="20"/>
                <w:szCs w:val="20"/>
              </w:rPr>
              <w:t>Site ID</w:t>
            </w:r>
          </w:p>
        </w:tc>
      </w:tr>
      <w:tr w:rsidR="004D0589" w:rsidRPr="008535C2" w14:paraId="4BC309D8" w14:textId="77777777" w:rsidTr="00487EA3">
        <w:tc>
          <w:tcPr>
            <w:tcW w:w="4248" w:type="dxa"/>
            <w:hideMark/>
          </w:tcPr>
          <w:p w14:paraId="3E1BCE38" w14:textId="77777777" w:rsidR="004D0589" w:rsidRPr="008535C2" w:rsidRDefault="004D0589" w:rsidP="006D47AD">
            <w:pPr>
              <w:rPr>
                <w:rFonts w:eastAsia="Times New Roman"/>
                <w:color w:val="333333"/>
                <w:spacing w:val="2"/>
                <w:sz w:val="20"/>
                <w:szCs w:val="20"/>
              </w:rPr>
            </w:pPr>
            <w:r w:rsidRPr="008535C2">
              <w:rPr>
                <w:rFonts w:eastAsia="Times New Roman"/>
                <w:color w:val="333333"/>
                <w:spacing w:val="2"/>
                <w:sz w:val="20"/>
                <w:szCs w:val="20"/>
              </w:rPr>
              <w:t>Mobile coordinates</w:t>
            </w:r>
          </w:p>
        </w:tc>
      </w:tr>
      <w:tr w:rsidR="004D0589" w:rsidRPr="008535C2" w14:paraId="600203DD" w14:textId="77777777" w:rsidTr="00487EA3">
        <w:tc>
          <w:tcPr>
            <w:tcW w:w="4248" w:type="dxa"/>
            <w:hideMark/>
          </w:tcPr>
          <w:p w14:paraId="145D7299" w14:textId="77777777" w:rsidR="004D0589" w:rsidRPr="008535C2" w:rsidRDefault="004D0589" w:rsidP="006D47AD">
            <w:pPr>
              <w:rPr>
                <w:rFonts w:eastAsia="Times New Roman"/>
                <w:color w:val="333333"/>
                <w:spacing w:val="2"/>
                <w:sz w:val="20"/>
                <w:szCs w:val="20"/>
              </w:rPr>
            </w:pPr>
            <w:r w:rsidRPr="008535C2">
              <w:rPr>
                <w:rFonts w:eastAsia="Times New Roman"/>
                <w:color w:val="333333"/>
                <w:spacing w:val="2"/>
                <w:sz w:val="20"/>
                <w:szCs w:val="20"/>
              </w:rPr>
              <w:lastRenderedPageBreak/>
              <w:t>Photo North</w:t>
            </w:r>
          </w:p>
        </w:tc>
      </w:tr>
      <w:tr w:rsidR="004D0589" w:rsidRPr="008535C2" w14:paraId="6A629925" w14:textId="77777777" w:rsidTr="00487EA3">
        <w:tc>
          <w:tcPr>
            <w:tcW w:w="4248" w:type="dxa"/>
            <w:hideMark/>
          </w:tcPr>
          <w:p w14:paraId="485B1C89" w14:textId="77777777" w:rsidR="004D0589" w:rsidRPr="008535C2" w:rsidRDefault="004D0589" w:rsidP="006D47AD">
            <w:pPr>
              <w:rPr>
                <w:rFonts w:eastAsia="Times New Roman"/>
                <w:color w:val="333333"/>
                <w:spacing w:val="2"/>
                <w:sz w:val="20"/>
                <w:szCs w:val="20"/>
              </w:rPr>
            </w:pPr>
            <w:r w:rsidRPr="008535C2">
              <w:rPr>
                <w:rFonts w:eastAsia="Times New Roman"/>
                <w:color w:val="333333"/>
                <w:spacing w:val="2"/>
                <w:sz w:val="20"/>
                <w:szCs w:val="20"/>
              </w:rPr>
              <w:t>Photo East</w:t>
            </w:r>
          </w:p>
        </w:tc>
      </w:tr>
      <w:tr w:rsidR="004D0589" w:rsidRPr="008535C2" w14:paraId="29819B86" w14:textId="77777777" w:rsidTr="00487EA3">
        <w:tc>
          <w:tcPr>
            <w:tcW w:w="4248" w:type="dxa"/>
            <w:hideMark/>
          </w:tcPr>
          <w:p w14:paraId="639A176D" w14:textId="77777777" w:rsidR="004D0589" w:rsidRPr="008535C2" w:rsidRDefault="004D0589" w:rsidP="006D47AD">
            <w:pPr>
              <w:rPr>
                <w:rFonts w:eastAsia="Times New Roman"/>
                <w:color w:val="333333"/>
                <w:spacing w:val="2"/>
                <w:sz w:val="20"/>
                <w:szCs w:val="20"/>
              </w:rPr>
            </w:pPr>
            <w:r w:rsidRPr="008535C2">
              <w:rPr>
                <w:rFonts w:eastAsia="Times New Roman"/>
                <w:color w:val="333333"/>
                <w:spacing w:val="2"/>
                <w:sz w:val="20"/>
                <w:szCs w:val="20"/>
              </w:rPr>
              <w:t>Photo South</w:t>
            </w:r>
          </w:p>
        </w:tc>
      </w:tr>
      <w:tr w:rsidR="004D0589" w:rsidRPr="008535C2" w14:paraId="40053DE2" w14:textId="77777777" w:rsidTr="00487EA3">
        <w:tc>
          <w:tcPr>
            <w:tcW w:w="4248" w:type="dxa"/>
            <w:hideMark/>
          </w:tcPr>
          <w:p w14:paraId="6C381EDF" w14:textId="77777777" w:rsidR="004D0589" w:rsidRPr="008535C2" w:rsidRDefault="004D0589" w:rsidP="006D47AD">
            <w:pPr>
              <w:rPr>
                <w:rFonts w:eastAsia="Times New Roman"/>
                <w:color w:val="333333"/>
                <w:spacing w:val="2"/>
                <w:sz w:val="20"/>
                <w:szCs w:val="20"/>
              </w:rPr>
            </w:pPr>
            <w:r w:rsidRPr="008535C2">
              <w:rPr>
                <w:rFonts w:eastAsia="Times New Roman"/>
                <w:color w:val="333333"/>
                <w:spacing w:val="2"/>
                <w:sz w:val="20"/>
                <w:szCs w:val="20"/>
              </w:rPr>
              <w:t>Photo West</w:t>
            </w:r>
          </w:p>
        </w:tc>
      </w:tr>
      <w:tr w:rsidR="004D0589" w:rsidRPr="008535C2" w14:paraId="0F0C1424" w14:textId="77777777" w:rsidTr="00487EA3">
        <w:tc>
          <w:tcPr>
            <w:tcW w:w="4248" w:type="dxa"/>
            <w:hideMark/>
          </w:tcPr>
          <w:p w14:paraId="2423DE18" w14:textId="77777777" w:rsidR="004D0589" w:rsidRPr="008535C2" w:rsidRDefault="004D0589" w:rsidP="006D47AD">
            <w:pPr>
              <w:rPr>
                <w:rFonts w:eastAsia="Times New Roman"/>
                <w:color w:val="333333"/>
                <w:spacing w:val="2"/>
                <w:sz w:val="20"/>
                <w:szCs w:val="20"/>
              </w:rPr>
            </w:pPr>
            <w:r w:rsidRPr="008535C2">
              <w:rPr>
                <w:rFonts w:eastAsia="Times New Roman"/>
                <w:color w:val="333333"/>
                <w:spacing w:val="2"/>
                <w:sz w:val="20"/>
                <w:szCs w:val="20"/>
              </w:rPr>
              <w:t>Land cover type</w:t>
            </w:r>
          </w:p>
        </w:tc>
      </w:tr>
      <w:tr w:rsidR="004D0589" w:rsidRPr="008535C2" w14:paraId="18B3CD9E" w14:textId="77777777" w:rsidTr="00487EA3">
        <w:tc>
          <w:tcPr>
            <w:tcW w:w="4248" w:type="dxa"/>
            <w:hideMark/>
          </w:tcPr>
          <w:p w14:paraId="5D6D5F40" w14:textId="77777777" w:rsidR="004D0589" w:rsidRPr="00D86734" w:rsidRDefault="004D0589" w:rsidP="006D47AD">
            <w:pPr>
              <w:jc w:val="right"/>
              <w:rPr>
                <w:rFonts w:eastAsia="Times New Roman"/>
                <w:i/>
                <w:iCs/>
                <w:color w:val="333333"/>
                <w:spacing w:val="2"/>
                <w:sz w:val="20"/>
                <w:szCs w:val="20"/>
              </w:rPr>
            </w:pPr>
            <w:r w:rsidRPr="00D86734">
              <w:rPr>
                <w:rFonts w:eastAsia="Times New Roman"/>
                <w:i/>
                <w:iCs/>
                <w:color w:val="333333"/>
                <w:spacing w:val="2"/>
                <w:sz w:val="20"/>
                <w:szCs w:val="20"/>
              </w:rPr>
              <w:t>Waterbody</w:t>
            </w:r>
          </w:p>
          <w:p w14:paraId="47EC009A" w14:textId="77777777" w:rsidR="004D0589" w:rsidRPr="00D86734" w:rsidRDefault="004D0589" w:rsidP="006D47AD">
            <w:pPr>
              <w:jc w:val="right"/>
              <w:rPr>
                <w:rFonts w:eastAsia="Times New Roman"/>
                <w:i/>
                <w:iCs/>
                <w:color w:val="333333"/>
                <w:spacing w:val="2"/>
                <w:sz w:val="20"/>
                <w:szCs w:val="20"/>
              </w:rPr>
            </w:pPr>
            <w:r w:rsidRPr="00D86734">
              <w:rPr>
                <w:rFonts w:eastAsia="Times New Roman"/>
                <w:i/>
                <w:iCs/>
                <w:color w:val="333333"/>
                <w:spacing w:val="2"/>
                <w:sz w:val="20"/>
                <w:szCs w:val="20"/>
              </w:rPr>
              <w:t>Marsh</w:t>
            </w:r>
          </w:p>
          <w:p w14:paraId="43DFF26E" w14:textId="77777777" w:rsidR="004D0589" w:rsidRPr="00D86734" w:rsidRDefault="004D0589" w:rsidP="006D47AD">
            <w:pPr>
              <w:jc w:val="right"/>
              <w:rPr>
                <w:rFonts w:eastAsia="Times New Roman"/>
                <w:i/>
                <w:iCs/>
                <w:color w:val="333333"/>
                <w:spacing w:val="2"/>
                <w:sz w:val="20"/>
                <w:szCs w:val="20"/>
              </w:rPr>
            </w:pPr>
            <w:r w:rsidRPr="00D86734">
              <w:rPr>
                <w:rFonts w:eastAsia="Times New Roman"/>
                <w:i/>
                <w:iCs/>
                <w:color w:val="333333"/>
                <w:spacing w:val="2"/>
                <w:sz w:val="20"/>
                <w:szCs w:val="20"/>
              </w:rPr>
              <w:t>Grassland/pasture</w:t>
            </w:r>
          </w:p>
          <w:p w14:paraId="016441AD" w14:textId="77777777" w:rsidR="004D0589" w:rsidRPr="00D86734" w:rsidRDefault="004D0589" w:rsidP="006D47AD">
            <w:pPr>
              <w:jc w:val="right"/>
              <w:rPr>
                <w:rFonts w:eastAsia="Times New Roman"/>
                <w:i/>
                <w:iCs/>
                <w:color w:val="333333"/>
                <w:spacing w:val="2"/>
                <w:sz w:val="20"/>
                <w:szCs w:val="20"/>
              </w:rPr>
            </w:pPr>
            <w:r w:rsidRPr="00D86734">
              <w:rPr>
                <w:rFonts w:eastAsia="Times New Roman"/>
                <w:i/>
                <w:iCs/>
                <w:color w:val="333333"/>
                <w:spacing w:val="2"/>
                <w:sz w:val="20"/>
                <w:szCs w:val="20"/>
              </w:rPr>
              <w:t>Artificial</w:t>
            </w:r>
          </w:p>
          <w:p w14:paraId="7E3849E8" w14:textId="77777777" w:rsidR="004D0589" w:rsidRPr="00D86734" w:rsidRDefault="004D0589" w:rsidP="006D47AD">
            <w:pPr>
              <w:jc w:val="right"/>
              <w:rPr>
                <w:rFonts w:eastAsia="Times New Roman"/>
                <w:i/>
                <w:iCs/>
                <w:color w:val="333333"/>
                <w:spacing w:val="2"/>
                <w:sz w:val="20"/>
                <w:szCs w:val="20"/>
              </w:rPr>
            </w:pPr>
            <w:r w:rsidRPr="00D86734">
              <w:rPr>
                <w:rFonts w:eastAsia="Times New Roman"/>
                <w:i/>
                <w:iCs/>
                <w:color w:val="333333"/>
                <w:spacing w:val="2"/>
                <w:sz w:val="20"/>
                <w:szCs w:val="20"/>
              </w:rPr>
              <w:t>Crops: rice</w:t>
            </w:r>
          </w:p>
          <w:p w14:paraId="50785519" w14:textId="77777777" w:rsidR="004D0589" w:rsidRPr="00D86734" w:rsidRDefault="004D0589" w:rsidP="006D47AD">
            <w:pPr>
              <w:jc w:val="right"/>
              <w:rPr>
                <w:rFonts w:eastAsia="Times New Roman"/>
                <w:i/>
                <w:iCs/>
                <w:color w:val="333333"/>
                <w:spacing w:val="2"/>
                <w:sz w:val="20"/>
                <w:szCs w:val="20"/>
              </w:rPr>
            </w:pPr>
            <w:r w:rsidRPr="00D86734">
              <w:rPr>
                <w:rFonts w:eastAsia="Times New Roman"/>
                <w:i/>
                <w:iCs/>
                <w:color w:val="333333"/>
                <w:spacing w:val="2"/>
                <w:sz w:val="20"/>
                <w:szCs w:val="20"/>
              </w:rPr>
              <w:t>Crops: other</w:t>
            </w:r>
          </w:p>
          <w:p w14:paraId="33658337" w14:textId="77777777" w:rsidR="004D0589" w:rsidRPr="00D86734" w:rsidRDefault="004D0589" w:rsidP="006D47AD">
            <w:pPr>
              <w:jc w:val="right"/>
              <w:rPr>
                <w:rFonts w:eastAsia="Times New Roman"/>
                <w:i/>
                <w:iCs/>
                <w:color w:val="333333"/>
                <w:spacing w:val="2"/>
                <w:sz w:val="20"/>
                <w:szCs w:val="20"/>
              </w:rPr>
            </w:pPr>
            <w:r w:rsidRPr="00D86734">
              <w:rPr>
                <w:rFonts w:eastAsia="Times New Roman"/>
                <w:i/>
                <w:iCs/>
                <w:color w:val="333333"/>
                <w:spacing w:val="2"/>
                <w:sz w:val="20"/>
                <w:szCs w:val="20"/>
              </w:rPr>
              <w:t>Bare sand/soil</w:t>
            </w:r>
          </w:p>
          <w:p w14:paraId="5867945E" w14:textId="77777777" w:rsidR="004D0589" w:rsidRPr="008535C2" w:rsidRDefault="004D0589" w:rsidP="006D47AD">
            <w:pPr>
              <w:jc w:val="right"/>
              <w:rPr>
                <w:rFonts w:eastAsia="Times New Roman"/>
                <w:color w:val="333333"/>
                <w:spacing w:val="2"/>
                <w:sz w:val="20"/>
                <w:szCs w:val="20"/>
              </w:rPr>
            </w:pPr>
            <w:r w:rsidRPr="00D86734">
              <w:rPr>
                <w:rFonts w:eastAsia="Times New Roman"/>
                <w:i/>
                <w:iCs/>
                <w:color w:val="333333"/>
                <w:spacing w:val="2"/>
                <w:sz w:val="20"/>
                <w:szCs w:val="20"/>
              </w:rPr>
              <w:t>Other</w:t>
            </w:r>
          </w:p>
        </w:tc>
      </w:tr>
      <w:tr w:rsidR="004D0589" w:rsidRPr="008535C2" w14:paraId="73A31E1F" w14:textId="77777777" w:rsidTr="00487EA3">
        <w:tc>
          <w:tcPr>
            <w:tcW w:w="4248" w:type="dxa"/>
            <w:hideMark/>
          </w:tcPr>
          <w:p w14:paraId="44E3D65A" w14:textId="77777777" w:rsidR="004D0589" w:rsidRPr="008535C2" w:rsidRDefault="004D0589" w:rsidP="006D47AD">
            <w:pPr>
              <w:rPr>
                <w:rFonts w:eastAsia="Times New Roman"/>
                <w:color w:val="333333"/>
                <w:spacing w:val="2"/>
                <w:sz w:val="20"/>
                <w:szCs w:val="20"/>
              </w:rPr>
            </w:pPr>
            <w:r w:rsidRPr="008535C2">
              <w:rPr>
                <w:rFonts w:eastAsia="Times New Roman"/>
                <w:color w:val="333333"/>
                <w:spacing w:val="2"/>
                <w:sz w:val="20"/>
                <w:szCs w:val="20"/>
              </w:rPr>
              <w:t>Standing water?</w:t>
            </w:r>
          </w:p>
        </w:tc>
      </w:tr>
      <w:tr w:rsidR="004D0589" w:rsidRPr="008535C2" w14:paraId="7F7AC43A" w14:textId="77777777" w:rsidTr="00487EA3">
        <w:tc>
          <w:tcPr>
            <w:tcW w:w="4248" w:type="dxa"/>
            <w:hideMark/>
          </w:tcPr>
          <w:p w14:paraId="53C78CE3" w14:textId="77777777" w:rsidR="004D0589" w:rsidRPr="00D86734" w:rsidRDefault="004D0589" w:rsidP="006D47AD">
            <w:pPr>
              <w:jc w:val="right"/>
              <w:rPr>
                <w:rFonts w:eastAsia="Times New Roman"/>
                <w:i/>
                <w:iCs/>
                <w:color w:val="333333"/>
                <w:spacing w:val="2"/>
                <w:sz w:val="20"/>
                <w:szCs w:val="20"/>
              </w:rPr>
            </w:pPr>
            <w:r w:rsidRPr="00D86734">
              <w:rPr>
                <w:rFonts w:eastAsia="Times New Roman"/>
                <w:i/>
                <w:iCs/>
                <w:color w:val="333333"/>
                <w:spacing w:val="2"/>
                <w:sz w:val="20"/>
                <w:szCs w:val="20"/>
              </w:rPr>
              <w:t>Yes</w:t>
            </w:r>
          </w:p>
          <w:p w14:paraId="2974C372" w14:textId="77777777" w:rsidR="004D0589" w:rsidRPr="008535C2" w:rsidRDefault="004D0589" w:rsidP="006D47AD">
            <w:pPr>
              <w:jc w:val="right"/>
              <w:rPr>
                <w:rFonts w:eastAsia="Times New Roman"/>
                <w:color w:val="333333"/>
                <w:spacing w:val="2"/>
                <w:sz w:val="20"/>
                <w:szCs w:val="20"/>
              </w:rPr>
            </w:pPr>
            <w:r w:rsidRPr="00D86734">
              <w:rPr>
                <w:rFonts w:eastAsia="Times New Roman"/>
                <w:i/>
                <w:iCs/>
                <w:color w:val="333333"/>
                <w:spacing w:val="2"/>
                <w:sz w:val="20"/>
                <w:szCs w:val="20"/>
              </w:rPr>
              <w:t>No</w:t>
            </w:r>
          </w:p>
        </w:tc>
      </w:tr>
      <w:tr w:rsidR="004D0589" w:rsidRPr="008535C2" w14:paraId="1FAA07F0" w14:textId="77777777" w:rsidTr="00487EA3">
        <w:tc>
          <w:tcPr>
            <w:tcW w:w="4248" w:type="dxa"/>
            <w:hideMark/>
          </w:tcPr>
          <w:p w14:paraId="23C6E0C7" w14:textId="77777777" w:rsidR="004D0589" w:rsidRPr="008535C2" w:rsidRDefault="004D0589" w:rsidP="006D47AD">
            <w:pPr>
              <w:rPr>
                <w:rFonts w:eastAsia="Times New Roman"/>
                <w:color w:val="333333"/>
                <w:spacing w:val="2"/>
                <w:sz w:val="20"/>
                <w:szCs w:val="20"/>
              </w:rPr>
            </w:pPr>
            <w:r w:rsidRPr="008535C2">
              <w:rPr>
                <w:rFonts w:eastAsia="Times New Roman"/>
                <w:color w:val="333333"/>
                <w:spacing w:val="2"/>
                <w:sz w:val="20"/>
                <w:szCs w:val="20"/>
              </w:rPr>
              <w:t>Waterbody type</w:t>
            </w:r>
          </w:p>
        </w:tc>
      </w:tr>
      <w:tr w:rsidR="004D0589" w:rsidRPr="008535C2" w14:paraId="53B8D121" w14:textId="77777777" w:rsidTr="00487EA3">
        <w:tc>
          <w:tcPr>
            <w:tcW w:w="4248" w:type="dxa"/>
            <w:hideMark/>
          </w:tcPr>
          <w:p w14:paraId="58FF4D44" w14:textId="77777777" w:rsidR="004D0589" w:rsidRPr="00D86734" w:rsidRDefault="004D0589" w:rsidP="006D47AD">
            <w:pPr>
              <w:jc w:val="right"/>
              <w:rPr>
                <w:rFonts w:eastAsia="Times New Roman"/>
                <w:i/>
                <w:iCs/>
                <w:color w:val="333333"/>
                <w:spacing w:val="2"/>
                <w:sz w:val="20"/>
                <w:szCs w:val="20"/>
              </w:rPr>
            </w:pPr>
            <w:r w:rsidRPr="00D86734">
              <w:rPr>
                <w:rFonts w:eastAsia="Times New Roman"/>
                <w:i/>
                <w:iCs/>
                <w:color w:val="333333"/>
                <w:spacing w:val="2"/>
                <w:sz w:val="20"/>
                <w:szCs w:val="20"/>
              </w:rPr>
              <w:t>River</w:t>
            </w:r>
          </w:p>
          <w:p w14:paraId="554403B1" w14:textId="77777777" w:rsidR="004D0589" w:rsidRPr="00D86734" w:rsidRDefault="004D0589" w:rsidP="006D47AD">
            <w:pPr>
              <w:jc w:val="right"/>
              <w:rPr>
                <w:rFonts w:eastAsia="Times New Roman"/>
                <w:i/>
                <w:iCs/>
                <w:color w:val="333333"/>
                <w:spacing w:val="2"/>
                <w:sz w:val="20"/>
                <w:szCs w:val="20"/>
              </w:rPr>
            </w:pPr>
            <w:r w:rsidRPr="00D86734">
              <w:rPr>
                <w:rFonts w:eastAsia="Times New Roman"/>
                <w:i/>
                <w:iCs/>
                <w:color w:val="333333"/>
                <w:spacing w:val="2"/>
                <w:sz w:val="20"/>
                <w:szCs w:val="20"/>
              </w:rPr>
              <w:t>Pond</w:t>
            </w:r>
          </w:p>
          <w:p w14:paraId="2D4E7CE9" w14:textId="77777777" w:rsidR="004D0589" w:rsidRPr="00D86734" w:rsidRDefault="004D0589" w:rsidP="006D47AD">
            <w:pPr>
              <w:jc w:val="right"/>
              <w:rPr>
                <w:rFonts w:eastAsia="Times New Roman"/>
                <w:i/>
                <w:iCs/>
                <w:color w:val="333333"/>
                <w:spacing w:val="2"/>
                <w:sz w:val="20"/>
                <w:szCs w:val="20"/>
              </w:rPr>
            </w:pPr>
            <w:r w:rsidRPr="00D86734">
              <w:rPr>
                <w:rFonts w:eastAsia="Times New Roman"/>
                <w:i/>
                <w:iCs/>
                <w:color w:val="333333"/>
                <w:spacing w:val="2"/>
                <w:sz w:val="20"/>
                <w:szCs w:val="20"/>
              </w:rPr>
              <w:t>Stream</w:t>
            </w:r>
          </w:p>
          <w:p w14:paraId="371AC7CB" w14:textId="77777777" w:rsidR="004D0589" w:rsidRPr="00D86734" w:rsidRDefault="004D0589" w:rsidP="006D47AD">
            <w:pPr>
              <w:jc w:val="right"/>
              <w:rPr>
                <w:rFonts w:eastAsia="Times New Roman"/>
                <w:i/>
                <w:iCs/>
                <w:color w:val="333333"/>
                <w:spacing w:val="2"/>
                <w:sz w:val="20"/>
                <w:szCs w:val="20"/>
              </w:rPr>
            </w:pPr>
            <w:r w:rsidRPr="00D86734">
              <w:rPr>
                <w:rFonts w:eastAsia="Times New Roman"/>
                <w:i/>
                <w:iCs/>
                <w:color w:val="333333"/>
                <w:spacing w:val="2"/>
                <w:sz w:val="20"/>
                <w:szCs w:val="20"/>
              </w:rPr>
              <w:t>Spring</w:t>
            </w:r>
          </w:p>
          <w:p w14:paraId="196F85B9" w14:textId="77777777" w:rsidR="004D0589" w:rsidRPr="00D86734" w:rsidRDefault="004D0589" w:rsidP="006D47AD">
            <w:pPr>
              <w:jc w:val="right"/>
              <w:rPr>
                <w:rFonts w:eastAsia="Times New Roman"/>
                <w:i/>
                <w:iCs/>
                <w:color w:val="333333"/>
                <w:spacing w:val="2"/>
                <w:sz w:val="20"/>
                <w:szCs w:val="20"/>
              </w:rPr>
            </w:pPr>
            <w:r w:rsidRPr="00D86734">
              <w:rPr>
                <w:rFonts w:eastAsia="Times New Roman"/>
                <w:i/>
                <w:iCs/>
                <w:color w:val="333333"/>
                <w:spacing w:val="2"/>
                <w:sz w:val="20"/>
                <w:szCs w:val="20"/>
              </w:rPr>
              <w:t>Floodplain</w:t>
            </w:r>
          </w:p>
          <w:p w14:paraId="6669CEEA" w14:textId="77777777" w:rsidR="004D0589" w:rsidRPr="00D86734" w:rsidRDefault="004D0589" w:rsidP="006D47AD">
            <w:pPr>
              <w:jc w:val="right"/>
              <w:rPr>
                <w:rFonts w:eastAsia="Times New Roman"/>
                <w:i/>
                <w:iCs/>
                <w:color w:val="333333"/>
                <w:spacing w:val="2"/>
                <w:sz w:val="20"/>
                <w:szCs w:val="20"/>
              </w:rPr>
            </w:pPr>
            <w:r w:rsidRPr="00D86734">
              <w:rPr>
                <w:rFonts w:eastAsia="Times New Roman"/>
                <w:i/>
                <w:iCs/>
                <w:color w:val="333333"/>
                <w:spacing w:val="2"/>
                <w:sz w:val="20"/>
                <w:szCs w:val="20"/>
              </w:rPr>
              <w:t>Rain-fed temporary</w:t>
            </w:r>
          </w:p>
          <w:p w14:paraId="0433D681" w14:textId="77777777" w:rsidR="004D0589" w:rsidRPr="008535C2" w:rsidRDefault="004D0589" w:rsidP="006D47AD">
            <w:pPr>
              <w:jc w:val="right"/>
              <w:rPr>
                <w:rFonts w:eastAsia="Times New Roman"/>
                <w:color w:val="333333"/>
                <w:spacing w:val="2"/>
                <w:sz w:val="20"/>
                <w:szCs w:val="20"/>
              </w:rPr>
            </w:pPr>
            <w:r w:rsidRPr="00D86734">
              <w:rPr>
                <w:rFonts w:eastAsia="Times New Roman"/>
                <w:i/>
                <w:iCs/>
                <w:color w:val="333333"/>
                <w:spacing w:val="2"/>
                <w:sz w:val="20"/>
                <w:szCs w:val="20"/>
              </w:rPr>
              <w:t>Other</w:t>
            </w:r>
          </w:p>
        </w:tc>
      </w:tr>
      <w:tr w:rsidR="004D0589" w:rsidRPr="008535C2" w14:paraId="31DB1270" w14:textId="77777777" w:rsidTr="00487EA3">
        <w:tc>
          <w:tcPr>
            <w:tcW w:w="4248" w:type="dxa"/>
            <w:hideMark/>
          </w:tcPr>
          <w:p w14:paraId="743BB6A7" w14:textId="77777777" w:rsidR="004D0589" w:rsidRPr="008535C2" w:rsidRDefault="004D0589" w:rsidP="006D47AD">
            <w:pPr>
              <w:rPr>
                <w:rFonts w:eastAsia="Times New Roman"/>
                <w:color w:val="333333"/>
                <w:spacing w:val="2"/>
                <w:sz w:val="20"/>
                <w:szCs w:val="20"/>
              </w:rPr>
            </w:pPr>
            <w:r w:rsidRPr="008535C2">
              <w:rPr>
                <w:rFonts w:eastAsia="Times New Roman"/>
                <w:color w:val="333333"/>
                <w:spacing w:val="2"/>
                <w:sz w:val="20"/>
                <w:szCs w:val="20"/>
              </w:rPr>
              <w:t>Size of waterbody</w:t>
            </w:r>
          </w:p>
        </w:tc>
      </w:tr>
      <w:tr w:rsidR="004D0589" w:rsidRPr="008535C2" w14:paraId="11CF99C6" w14:textId="77777777" w:rsidTr="00487EA3">
        <w:tc>
          <w:tcPr>
            <w:tcW w:w="4248" w:type="dxa"/>
            <w:hideMark/>
          </w:tcPr>
          <w:p w14:paraId="3C5F3093" w14:textId="77777777" w:rsidR="004D0589" w:rsidRPr="00D86734" w:rsidRDefault="004D0589" w:rsidP="006D47AD">
            <w:pPr>
              <w:jc w:val="right"/>
              <w:rPr>
                <w:rFonts w:eastAsia="Times New Roman"/>
                <w:i/>
                <w:iCs/>
                <w:color w:val="333333"/>
                <w:spacing w:val="2"/>
                <w:sz w:val="20"/>
                <w:szCs w:val="20"/>
              </w:rPr>
            </w:pPr>
            <w:r w:rsidRPr="00D86734">
              <w:rPr>
                <w:rFonts w:eastAsia="Apple Symbols"/>
                <w:i/>
                <w:iCs/>
                <w:color w:val="333333"/>
                <w:spacing w:val="2"/>
                <w:sz w:val="20"/>
                <w:szCs w:val="20"/>
              </w:rPr>
              <w:t>﹤</w:t>
            </w:r>
            <w:r w:rsidRPr="00D86734">
              <w:rPr>
                <w:rFonts w:eastAsia="Times New Roman"/>
                <w:i/>
                <w:iCs/>
                <w:color w:val="333333"/>
                <w:spacing w:val="2"/>
                <w:sz w:val="20"/>
                <w:szCs w:val="20"/>
              </w:rPr>
              <w:t>5m</w:t>
            </w:r>
          </w:p>
          <w:p w14:paraId="2AD741BC" w14:textId="77777777" w:rsidR="004D0589" w:rsidRPr="00D86734" w:rsidRDefault="004D0589" w:rsidP="006D47AD">
            <w:pPr>
              <w:jc w:val="right"/>
              <w:rPr>
                <w:rFonts w:eastAsia="Times New Roman"/>
                <w:i/>
                <w:iCs/>
                <w:color w:val="333333"/>
                <w:spacing w:val="2"/>
                <w:sz w:val="20"/>
                <w:szCs w:val="20"/>
              </w:rPr>
            </w:pPr>
            <w:r w:rsidRPr="00D86734">
              <w:rPr>
                <w:rFonts w:eastAsia="Times New Roman"/>
                <w:i/>
                <w:iCs/>
                <w:color w:val="333333"/>
                <w:spacing w:val="2"/>
                <w:sz w:val="20"/>
                <w:szCs w:val="20"/>
              </w:rPr>
              <w:t>5-10m</w:t>
            </w:r>
          </w:p>
          <w:p w14:paraId="1F0183F8" w14:textId="77777777" w:rsidR="004D0589" w:rsidRPr="00D86734" w:rsidRDefault="004D0589" w:rsidP="006D47AD">
            <w:pPr>
              <w:jc w:val="right"/>
              <w:rPr>
                <w:rFonts w:eastAsia="Times New Roman"/>
                <w:i/>
                <w:iCs/>
                <w:color w:val="333333"/>
                <w:spacing w:val="2"/>
                <w:sz w:val="20"/>
                <w:szCs w:val="20"/>
              </w:rPr>
            </w:pPr>
            <w:r w:rsidRPr="00D86734">
              <w:rPr>
                <w:rFonts w:eastAsia="Times New Roman"/>
                <w:i/>
                <w:iCs/>
                <w:color w:val="333333"/>
                <w:spacing w:val="2"/>
                <w:sz w:val="20"/>
                <w:szCs w:val="20"/>
              </w:rPr>
              <w:t>10-30m</w:t>
            </w:r>
          </w:p>
          <w:p w14:paraId="18307D30" w14:textId="77777777" w:rsidR="004D0589" w:rsidRPr="00D86734" w:rsidRDefault="004D0589" w:rsidP="006D47AD">
            <w:pPr>
              <w:jc w:val="right"/>
              <w:rPr>
                <w:rFonts w:eastAsia="Times New Roman"/>
                <w:i/>
                <w:iCs/>
                <w:color w:val="333333"/>
                <w:spacing w:val="2"/>
                <w:sz w:val="20"/>
                <w:szCs w:val="20"/>
              </w:rPr>
            </w:pPr>
            <w:r w:rsidRPr="00D86734">
              <w:rPr>
                <w:rFonts w:eastAsia="Apple Symbols"/>
                <w:i/>
                <w:iCs/>
                <w:color w:val="333333"/>
                <w:spacing w:val="2"/>
                <w:sz w:val="20"/>
                <w:szCs w:val="20"/>
              </w:rPr>
              <w:t>﹥</w:t>
            </w:r>
            <w:r w:rsidRPr="00D86734">
              <w:rPr>
                <w:rFonts w:eastAsia="Times New Roman"/>
                <w:i/>
                <w:iCs/>
                <w:color w:val="333333"/>
                <w:spacing w:val="2"/>
                <w:sz w:val="20"/>
                <w:szCs w:val="20"/>
              </w:rPr>
              <w:t>30m</w:t>
            </w:r>
          </w:p>
          <w:p w14:paraId="173F67D7" w14:textId="77777777" w:rsidR="004D0589" w:rsidRPr="00D86734" w:rsidRDefault="004D0589" w:rsidP="006D47AD">
            <w:pPr>
              <w:jc w:val="right"/>
              <w:rPr>
                <w:rFonts w:eastAsia="Times New Roman"/>
                <w:i/>
                <w:iCs/>
                <w:color w:val="333333"/>
                <w:spacing w:val="2"/>
                <w:sz w:val="20"/>
                <w:szCs w:val="20"/>
              </w:rPr>
            </w:pPr>
            <w:r w:rsidRPr="00D86734">
              <w:rPr>
                <w:rFonts w:eastAsia="Times New Roman"/>
                <w:i/>
                <w:iCs/>
                <w:color w:val="333333"/>
                <w:spacing w:val="2"/>
                <w:sz w:val="20"/>
                <w:szCs w:val="20"/>
              </w:rPr>
              <w:t>Multiple small (</w:t>
            </w:r>
            <w:r w:rsidRPr="00D86734">
              <w:rPr>
                <w:rFonts w:eastAsia="Apple Symbols"/>
                <w:i/>
                <w:iCs/>
                <w:color w:val="333333"/>
                <w:spacing w:val="2"/>
                <w:sz w:val="20"/>
                <w:szCs w:val="20"/>
              </w:rPr>
              <w:t>﹤</w:t>
            </w:r>
            <w:r w:rsidRPr="00D86734">
              <w:rPr>
                <w:rFonts w:eastAsia="Times New Roman"/>
                <w:i/>
                <w:iCs/>
                <w:color w:val="333333"/>
                <w:spacing w:val="2"/>
                <w:sz w:val="20"/>
                <w:szCs w:val="20"/>
              </w:rPr>
              <w:t>5m)</w:t>
            </w:r>
          </w:p>
          <w:p w14:paraId="767F6EEE" w14:textId="77777777" w:rsidR="004D0589" w:rsidRPr="00D86734" w:rsidRDefault="004D0589" w:rsidP="006D47AD">
            <w:pPr>
              <w:jc w:val="right"/>
              <w:rPr>
                <w:rFonts w:eastAsia="Times New Roman"/>
                <w:i/>
                <w:iCs/>
                <w:color w:val="333333"/>
                <w:spacing w:val="2"/>
                <w:sz w:val="20"/>
                <w:szCs w:val="20"/>
              </w:rPr>
            </w:pPr>
            <w:r w:rsidRPr="00D86734">
              <w:rPr>
                <w:rFonts w:eastAsia="Times New Roman"/>
                <w:i/>
                <w:iCs/>
                <w:color w:val="333333"/>
                <w:spacing w:val="2"/>
                <w:sz w:val="20"/>
                <w:szCs w:val="20"/>
              </w:rPr>
              <w:t>Multiple large (</w:t>
            </w:r>
            <w:r w:rsidRPr="00D86734">
              <w:rPr>
                <w:rFonts w:eastAsia="Apple Symbols"/>
                <w:i/>
                <w:iCs/>
                <w:color w:val="333333"/>
                <w:spacing w:val="2"/>
                <w:sz w:val="20"/>
                <w:szCs w:val="20"/>
              </w:rPr>
              <w:t>﹥</w:t>
            </w:r>
            <w:r w:rsidRPr="00D86734">
              <w:rPr>
                <w:rFonts w:eastAsia="Times New Roman"/>
                <w:i/>
                <w:iCs/>
                <w:color w:val="333333"/>
                <w:spacing w:val="2"/>
                <w:sz w:val="20"/>
                <w:szCs w:val="20"/>
              </w:rPr>
              <w:t>5m)</w:t>
            </w:r>
          </w:p>
        </w:tc>
      </w:tr>
      <w:tr w:rsidR="004D0589" w:rsidRPr="008535C2" w14:paraId="2B020648" w14:textId="77777777" w:rsidTr="00487EA3">
        <w:tc>
          <w:tcPr>
            <w:tcW w:w="4248" w:type="dxa"/>
            <w:hideMark/>
          </w:tcPr>
          <w:p w14:paraId="644AF767" w14:textId="77777777" w:rsidR="004D0589" w:rsidRPr="008535C2" w:rsidRDefault="004D0589" w:rsidP="006D47AD">
            <w:pPr>
              <w:rPr>
                <w:rFonts w:eastAsia="Times New Roman"/>
                <w:color w:val="333333"/>
                <w:spacing w:val="2"/>
                <w:sz w:val="20"/>
                <w:szCs w:val="20"/>
              </w:rPr>
            </w:pPr>
            <w:r w:rsidRPr="008535C2">
              <w:rPr>
                <w:rFonts w:eastAsia="Times New Roman"/>
                <w:color w:val="333333"/>
                <w:spacing w:val="2"/>
                <w:sz w:val="20"/>
                <w:szCs w:val="20"/>
              </w:rPr>
              <w:t>Depth of water</w:t>
            </w:r>
          </w:p>
        </w:tc>
      </w:tr>
      <w:tr w:rsidR="004D0589" w:rsidRPr="008535C2" w14:paraId="18E70D8C" w14:textId="77777777" w:rsidTr="00487EA3">
        <w:tc>
          <w:tcPr>
            <w:tcW w:w="4248" w:type="dxa"/>
            <w:hideMark/>
          </w:tcPr>
          <w:p w14:paraId="07B7C629" w14:textId="77777777" w:rsidR="004D0589" w:rsidRPr="00D86734" w:rsidRDefault="004D0589" w:rsidP="006D47AD">
            <w:pPr>
              <w:jc w:val="right"/>
              <w:rPr>
                <w:rFonts w:eastAsia="Times New Roman"/>
                <w:i/>
                <w:iCs/>
                <w:color w:val="333333"/>
                <w:spacing w:val="2"/>
                <w:sz w:val="20"/>
                <w:szCs w:val="20"/>
              </w:rPr>
            </w:pPr>
            <w:r w:rsidRPr="00D86734">
              <w:rPr>
                <w:rFonts w:eastAsia="Times New Roman"/>
                <w:i/>
                <w:iCs/>
                <w:color w:val="333333"/>
                <w:spacing w:val="2"/>
                <w:sz w:val="20"/>
                <w:szCs w:val="20"/>
              </w:rPr>
              <w:t>Shallow (less than ankle depth)</w:t>
            </w:r>
          </w:p>
          <w:p w14:paraId="3039C9BE" w14:textId="77777777" w:rsidR="004D0589" w:rsidRPr="00D86734" w:rsidRDefault="004D0589" w:rsidP="006D47AD">
            <w:pPr>
              <w:jc w:val="right"/>
              <w:rPr>
                <w:rFonts w:eastAsia="Times New Roman"/>
                <w:i/>
                <w:iCs/>
                <w:color w:val="333333"/>
                <w:spacing w:val="2"/>
                <w:sz w:val="20"/>
                <w:szCs w:val="20"/>
              </w:rPr>
            </w:pPr>
            <w:r w:rsidRPr="00D86734">
              <w:rPr>
                <w:rFonts w:eastAsia="Times New Roman"/>
                <w:i/>
                <w:iCs/>
                <w:color w:val="333333"/>
                <w:spacing w:val="2"/>
                <w:sz w:val="20"/>
                <w:szCs w:val="20"/>
              </w:rPr>
              <w:t>Deep</w:t>
            </w:r>
          </w:p>
          <w:p w14:paraId="33FD565D" w14:textId="77777777" w:rsidR="004D0589" w:rsidRPr="008535C2" w:rsidRDefault="004D0589" w:rsidP="006D47AD">
            <w:pPr>
              <w:jc w:val="right"/>
              <w:rPr>
                <w:rFonts w:eastAsia="Times New Roman"/>
                <w:color w:val="333333"/>
                <w:spacing w:val="2"/>
                <w:sz w:val="20"/>
                <w:szCs w:val="20"/>
              </w:rPr>
            </w:pPr>
            <w:r w:rsidRPr="00D86734">
              <w:rPr>
                <w:rFonts w:eastAsia="Times New Roman"/>
                <w:i/>
                <w:iCs/>
                <w:color w:val="333333"/>
                <w:spacing w:val="2"/>
                <w:sz w:val="20"/>
                <w:szCs w:val="20"/>
              </w:rPr>
              <w:t>Wet soil</w:t>
            </w:r>
          </w:p>
        </w:tc>
      </w:tr>
      <w:tr w:rsidR="004D0589" w:rsidRPr="008535C2" w14:paraId="4BF556DC" w14:textId="77777777" w:rsidTr="00487EA3">
        <w:tc>
          <w:tcPr>
            <w:tcW w:w="4248" w:type="dxa"/>
            <w:hideMark/>
          </w:tcPr>
          <w:p w14:paraId="72FF6C94" w14:textId="77777777" w:rsidR="004D0589" w:rsidRPr="008535C2" w:rsidRDefault="004D0589" w:rsidP="006D47AD">
            <w:pPr>
              <w:rPr>
                <w:rFonts w:eastAsia="Times New Roman"/>
                <w:color w:val="333333"/>
                <w:spacing w:val="2"/>
                <w:sz w:val="20"/>
                <w:szCs w:val="20"/>
              </w:rPr>
            </w:pPr>
            <w:r w:rsidRPr="008535C2">
              <w:rPr>
                <w:rFonts w:eastAsia="Times New Roman"/>
                <w:color w:val="333333"/>
                <w:spacing w:val="2"/>
                <w:sz w:val="20"/>
                <w:szCs w:val="20"/>
              </w:rPr>
              <w:t>Turbidity/cloudiness</w:t>
            </w:r>
          </w:p>
        </w:tc>
      </w:tr>
      <w:tr w:rsidR="004D0589" w:rsidRPr="008535C2" w14:paraId="421C1313" w14:textId="77777777" w:rsidTr="00487EA3">
        <w:tc>
          <w:tcPr>
            <w:tcW w:w="4248" w:type="dxa"/>
            <w:hideMark/>
          </w:tcPr>
          <w:p w14:paraId="1E1221BF" w14:textId="77777777" w:rsidR="004D0589" w:rsidRPr="00D86734" w:rsidRDefault="004D0589" w:rsidP="006D47AD">
            <w:pPr>
              <w:jc w:val="right"/>
              <w:rPr>
                <w:rFonts w:eastAsia="Times New Roman"/>
                <w:i/>
                <w:iCs/>
                <w:color w:val="333333"/>
                <w:spacing w:val="2"/>
                <w:sz w:val="20"/>
                <w:szCs w:val="20"/>
              </w:rPr>
            </w:pPr>
            <w:r w:rsidRPr="00D86734">
              <w:rPr>
                <w:rFonts w:eastAsia="Times New Roman"/>
                <w:i/>
                <w:iCs/>
                <w:color w:val="333333"/>
                <w:spacing w:val="2"/>
                <w:sz w:val="20"/>
                <w:szCs w:val="20"/>
              </w:rPr>
              <w:t>Fully clear</w:t>
            </w:r>
          </w:p>
          <w:p w14:paraId="38A55E79" w14:textId="77777777" w:rsidR="004D0589" w:rsidRPr="00D86734" w:rsidRDefault="004D0589" w:rsidP="006D47AD">
            <w:pPr>
              <w:jc w:val="right"/>
              <w:rPr>
                <w:rFonts w:eastAsia="Times New Roman"/>
                <w:i/>
                <w:iCs/>
                <w:color w:val="333333"/>
                <w:spacing w:val="2"/>
                <w:sz w:val="20"/>
                <w:szCs w:val="20"/>
              </w:rPr>
            </w:pPr>
            <w:r w:rsidRPr="00D86734">
              <w:rPr>
                <w:rFonts w:eastAsia="Times New Roman"/>
                <w:i/>
                <w:iCs/>
                <w:color w:val="333333"/>
                <w:spacing w:val="2"/>
                <w:sz w:val="20"/>
                <w:szCs w:val="20"/>
              </w:rPr>
              <w:t>Partially clear</w:t>
            </w:r>
          </w:p>
          <w:p w14:paraId="3B2629BD" w14:textId="77777777" w:rsidR="004D0589" w:rsidRPr="008535C2" w:rsidRDefault="004D0589" w:rsidP="006D47AD">
            <w:pPr>
              <w:jc w:val="right"/>
              <w:rPr>
                <w:rFonts w:eastAsia="Times New Roman"/>
                <w:color w:val="333333"/>
                <w:spacing w:val="2"/>
                <w:sz w:val="20"/>
                <w:szCs w:val="20"/>
              </w:rPr>
            </w:pPr>
            <w:r w:rsidRPr="00D86734">
              <w:rPr>
                <w:rFonts w:eastAsia="Times New Roman"/>
                <w:i/>
                <w:iCs/>
                <w:color w:val="333333"/>
                <w:spacing w:val="2"/>
                <w:sz w:val="20"/>
                <w:szCs w:val="20"/>
              </w:rPr>
              <w:t>Fully cloudy/muddy</w:t>
            </w:r>
          </w:p>
        </w:tc>
      </w:tr>
      <w:tr w:rsidR="004D0589" w:rsidRPr="008535C2" w14:paraId="11107A15" w14:textId="77777777" w:rsidTr="00487EA3">
        <w:tc>
          <w:tcPr>
            <w:tcW w:w="4248" w:type="dxa"/>
            <w:hideMark/>
          </w:tcPr>
          <w:p w14:paraId="4A148A75" w14:textId="77777777" w:rsidR="004D0589" w:rsidRPr="008535C2" w:rsidRDefault="004D0589" w:rsidP="006D47AD">
            <w:pPr>
              <w:rPr>
                <w:rFonts w:eastAsia="Times New Roman"/>
                <w:color w:val="333333"/>
                <w:spacing w:val="2"/>
                <w:sz w:val="20"/>
                <w:szCs w:val="20"/>
              </w:rPr>
            </w:pPr>
            <w:r w:rsidRPr="008535C2">
              <w:rPr>
                <w:rFonts w:eastAsia="Times New Roman"/>
                <w:color w:val="333333"/>
                <w:spacing w:val="2"/>
                <w:sz w:val="20"/>
                <w:szCs w:val="20"/>
              </w:rPr>
              <w:t>Presence of flooded vegetation?</w:t>
            </w:r>
          </w:p>
        </w:tc>
      </w:tr>
      <w:tr w:rsidR="004D0589" w:rsidRPr="008535C2" w14:paraId="0395A58B" w14:textId="77777777" w:rsidTr="00487EA3">
        <w:tc>
          <w:tcPr>
            <w:tcW w:w="4248" w:type="dxa"/>
            <w:hideMark/>
          </w:tcPr>
          <w:p w14:paraId="4028275C" w14:textId="77777777" w:rsidR="004D0589" w:rsidRPr="00D86734" w:rsidRDefault="004D0589" w:rsidP="006D47AD">
            <w:pPr>
              <w:jc w:val="right"/>
              <w:rPr>
                <w:rFonts w:eastAsia="Times New Roman"/>
                <w:i/>
                <w:iCs/>
                <w:color w:val="333333"/>
                <w:spacing w:val="2"/>
                <w:sz w:val="20"/>
                <w:szCs w:val="20"/>
              </w:rPr>
            </w:pPr>
            <w:r w:rsidRPr="00D86734">
              <w:rPr>
                <w:rFonts w:eastAsia="Times New Roman"/>
                <w:i/>
                <w:iCs/>
                <w:color w:val="333333"/>
                <w:spacing w:val="2"/>
                <w:sz w:val="20"/>
                <w:szCs w:val="20"/>
              </w:rPr>
              <w:t>Yes</w:t>
            </w:r>
          </w:p>
          <w:p w14:paraId="5F7AC2F2" w14:textId="77777777" w:rsidR="004D0589" w:rsidRPr="008535C2" w:rsidRDefault="004D0589" w:rsidP="006D47AD">
            <w:pPr>
              <w:jc w:val="right"/>
              <w:rPr>
                <w:rFonts w:eastAsia="Times New Roman"/>
                <w:color w:val="333333"/>
                <w:spacing w:val="2"/>
                <w:sz w:val="20"/>
                <w:szCs w:val="20"/>
              </w:rPr>
            </w:pPr>
            <w:r w:rsidRPr="00D86734">
              <w:rPr>
                <w:rFonts w:eastAsia="Times New Roman"/>
                <w:i/>
                <w:iCs/>
                <w:color w:val="333333"/>
                <w:spacing w:val="2"/>
                <w:sz w:val="20"/>
                <w:szCs w:val="20"/>
              </w:rPr>
              <w:t>No</w:t>
            </w:r>
          </w:p>
        </w:tc>
      </w:tr>
      <w:tr w:rsidR="004D0589" w:rsidRPr="008535C2" w14:paraId="57ED4C4A" w14:textId="77777777" w:rsidTr="00487EA3">
        <w:tc>
          <w:tcPr>
            <w:tcW w:w="4248" w:type="dxa"/>
            <w:hideMark/>
          </w:tcPr>
          <w:p w14:paraId="1EFC80FE" w14:textId="77777777" w:rsidR="004D0589" w:rsidRPr="008535C2" w:rsidRDefault="004D0589" w:rsidP="006D47AD">
            <w:pPr>
              <w:rPr>
                <w:rFonts w:eastAsia="Times New Roman"/>
                <w:color w:val="333333"/>
                <w:spacing w:val="2"/>
                <w:sz w:val="20"/>
                <w:szCs w:val="20"/>
              </w:rPr>
            </w:pPr>
            <w:r w:rsidRPr="008535C2">
              <w:rPr>
                <w:rFonts w:eastAsia="Times New Roman"/>
                <w:color w:val="333333"/>
                <w:spacing w:val="2"/>
                <w:sz w:val="20"/>
                <w:szCs w:val="20"/>
              </w:rPr>
              <w:t>Flooded vegetation type</w:t>
            </w:r>
          </w:p>
        </w:tc>
      </w:tr>
      <w:tr w:rsidR="004D0589" w:rsidRPr="008535C2" w14:paraId="0BCE7918" w14:textId="77777777" w:rsidTr="00487EA3">
        <w:tc>
          <w:tcPr>
            <w:tcW w:w="4248" w:type="dxa"/>
            <w:hideMark/>
          </w:tcPr>
          <w:p w14:paraId="45949FAE" w14:textId="77777777" w:rsidR="004D0589" w:rsidRPr="00D86734" w:rsidRDefault="004D0589" w:rsidP="006D47AD">
            <w:pPr>
              <w:jc w:val="right"/>
              <w:rPr>
                <w:rFonts w:eastAsia="Times New Roman"/>
                <w:i/>
                <w:iCs/>
                <w:color w:val="333333"/>
                <w:spacing w:val="2"/>
                <w:sz w:val="20"/>
                <w:szCs w:val="20"/>
              </w:rPr>
            </w:pPr>
            <w:r w:rsidRPr="00D86734">
              <w:rPr>
                <w:rFonts w:eastAsia="Times New Roman"/>
                <w:i/>
                <w:iCs/>
                <w:color w:val="333333"/>
                <w:spacing w:val="2"/>
                <w:sz w:val="20"/>
                <w:szCs w:val="20"/>
              </w:rPr>
              <w:t>Grasses</w:t>
            </w:r>
          </w:p>
          <w:p w14:paraId="71BEA628" w14:textId="77777777" w:rsidR="004D0589" w:rsidRPr="00D86734" w:rsidRDefault="004D0589" w:rsidP="006D47AD">
            <w:pPr>
              <w:jc w:val="right"/>
              <w:rPr>
                <w:rFonts w:eastAsia="Times New Roman"/>
                <w:i/>
                <w:iCs/>
                <w:color w:val="333333"/>
                <w:spacing w:val="2"/>
                <w:sz w:val="20"/>
                <w:szCs w:val="20"/>
              </w:rPr>
            </w:pPr>
            <w:r w:rsidRPr="00D86734">
              <w:rPr>
                <w:rFonts w:eastAsia="Times New Roman"/>
                <w:i/>
                <w:iCs/>
                <w:color w:val="333333"/>
                <w:spacing w:val="2"/>
                <w:sz w:val="20"/>
                <w:szCs w:val="20"/>
              </w:rPr>
              <w:t>Shrubs/trees</w:t>
            </w:r>
          </w:p>
          <w:p w14:paraId="39F94577" w14:textId="77777777" w:rsidR="004D0589" w:rsidRPr="00D86734" w:rsidRDefault="004D0589" w:rsidP="006D47AD">
            <w:pPr>
              <w:jc w:val="right"/>
              <w:rPr>
                <w:rFonts w:eastAsia="Times New Roman"/>
                <w:i/>
                <w:iCs/>
                <w:color w:val="333333"/>
                <w:spacing w:val="2"/>
                <w:sz w:val="20"/>
                <w:szCs w:val="20"/>
              </w:rPr>
            </w:pPr>
            <w:r w:rsidRPr="00D86734">
              <w:rPr>
                <w:rFonts w:eastAsia="Times New Roman"/>
                <w:i/>
                <w:iCs/>
                <w:color w:val="333333"/>
                <w:spacing w:val="2"/>
                <w:sz w:val="20"/>
                <w:szCs w:val="20"/>
              </w:rPr>
              <w:lastRenderedPageBreak/>
              <w:t>Marsh/reeds</w:t>
            </w:r>
          </w:p>
          <w:p w14:paraId="2AEAC684" w14:textId="77777777" w:rsidR="004D0589" w:rsidRPr="008535C2" w:rsidRDefault="004D0589" w:rsidP="006D47AD">
            <w:pPr>
              <w:jc w:val="right"/>
              <w:rPr>
                <w:rFonts w:eastAsia="Times New Roman"/>
                <w:color w:val="333333"/>
                <w:spacing w:val="2"/>
                <w:sz w:val="20"/>
                <w:szCs w:val="20"/>
              </w:rPr>
            </w:pPr>
            <w:r w:rsidRPr="00D86734">
              <w:rPr>
                <w:rFonts w:eastAsia="Times New Roman"/>
                <w:i/>
                <w:iCs/>
                <w:color w:val="333333"/>
                <w:spacing w:val="2"/>
                <w:sz w:val="20"/>
                <w:szCs w:val="20"/>
              </w:rPr>
              <w:t>Floating</w:t>
            </w:r>
          </w:p>
        </w:tc>
      </w:tr>
      <w:tr w:rsidR="004D0589" w:rsidRPr="008535C2" w14:paraId="5549FD63" w14:textId="77777777" w:rsidTr="00487EA3">
        <w:tc>
          <w:tcPr>
            <w:tcW w:w="4248" w:type="dxa"/>
            <w:hideMark/>
          </w:tcPr>
          <w:p w14:paraId="0B08379B" w14:textId="77777777" w:rsidR="004D0589" w:rsidRPr="008535C2" w:rsidRDefault="004D0589" w:rsidP="006D47AD">
            <w:pPr>
              <w:rPr>
                <w:rFonts w:eastAsia="Times New Roman"/>
                <w:color w:val="333333"/>
                <w:spacing w:val="2"/>
                <w:sz w:val="20"/>
                <w:szCs w:val="20"/>
              </w:rPr>
            </w:pPr>
            <w:r w:rsidRPr="008535C2">
              <w:rPr>
                <w:rFonts w:eastAsia="Times New Roman"/>
                <w:color w:val="333333"/>
                <w:spacing w:val="2"/>
                <w:sz w:val="20"/>
                <w:szCs w:val="20"/>
              </w:rPr>
              <w:lastRenderedPageBreak/>
              <w:t>% cover of flooded vegetation</w:t>
            </w:r>
          </w:p>
        </w:tc>
      </w:tr>
      <w:tr w:rsidR="004D0589" w:rsidRPr="008535C2" w14:paraId="4F2BE83D" w14:textId="77777777" w:rsidTr="00487EA3">
        <w:tc>
          <w:tcPr>
            <w:tcW w:w="4248" w:type="dxa"/>
            <w:hideMark/>
          </w:tcPr>
          <w:p w14:paraId="128AB521" w14:textId="77777777" w:rsidR="004D0589" w:rsidRPr="00D86734" w:rsidRDefault="004D0589" w:rsidP="006D47AD">
            <w:pPr>
              <w:jc w:val="right"/>
              <w:rPr>
                <w:rFonts w:eastAsia="Times New Roman"/>
                <w:i/>
                <w:iCs/>
                <w:color w:val="333333"/>
                <w:spacing w:val="2"/>
                <w:sz w:val="20"/>
                <w:szCs w:val="20"/>
              </w:rPr>
            </w:pPr>
            <w:r w:rsidRPr="00D86734">
              <w:rPr>
                <w:rFonts w:eastAsia="Times New Roman"/>
                <w:i/>
                <w:iCs/>
                <w:color w:val="333333"/>
                <w:spacing w:val="2"/>
                <w:sz w:val="20"/>
                <w:szCs w:val="20"/>
              </w:rPr>
              <w:t>0-20 %</w:t>
            </w:r>
          </w:p>
          <w:p w14:paraId="6E53779F" w14:textId="77777777" w:rsidR="004D0589" w:rsidRPr="00D86734" w:rsidRDefault="004D0589" w:rsidP="006D47AD">
            <w:pPr>
              <w:jc w:val="right"/>
              <w:rPr>
                <w:rFonts w:eastAsia="Times New Roman"/>
                <w:i/>
                <w:iCs/>
                <w:color w:val="333333"/>
                <w:spacing w:val="2"/>
                <w:sz w:val="20"/>
                <w:szCs w:val="20"/>
              </w:rPr>
            </w:pPr>
            <w:r w:rsidRPr="00D86734">
              <w:rPr>
                <w:rFonts w:eastAsia="Times New Roman"/>
                <w:i/>
                <w:iCs/>
                <w:color w:val="333333"/>
                <w:spacing w:val="2"/>
                <w:sz w:val="20"/>
                <w:szCs w:val="20"/>
              </w:rPr>
              <w:t>20-40 %</w:t>
            </w:r>
          </w:p>
          <w:p w14:paraId="1320F74A" w14:textId="77777777" w:rsidR="004D0589" w:rsidRPr="00D86734" w:rsidRDefault="004D0589" w:rsidP="006D47AD">
            <w:pPr>
              <w:jc w:val="right"/>
              <w:rPr>
                <w:rFonts w:eastAsia="Times New Roman"/>
                <w:i/>
                <w:iCs/>
                <w:color w:val="333333"/>
                <w:spacing w:val="2"/>
                <w:sz w:val="20"/>
                <w:szCs w:val="20"/>
              </w:rPr>
            </w:pPr>
            <w:r w:rsidRPr="00D86734">
              <w:rPr>
                <w:rFonts w:eastAsia="Times New Roman"/>
                <w:i/>
                <w:iCs/>
                <w:color w:val="333333"/>
                <w:spacing w:val="2"/>
                <w:sz w:val="20"/>
                <w:szCs w:val="20"/>
              </w:rPr>
              <w:t>40-60 %</w:t>
            </w:r>
          </w:p>
          <w:p w14:paraId="72BB9457" w14:textId="77777777" w:rsidR="004D0589" w:rsidRPr="00D86734" w:rsidRDefault="004D0589" w:rsidP="006D47AD">
            <w:pPr>
              <w:jc w:val="right"/>
              <w:rPr>
                <w:rFonts w:eastAsia="Times New Roman"/>
                <w:i/>
                <w:iCs/>
                <w:color w:val="333333"/>
                <w:spacing w:val="2"/>
                <w:sz w:val="20"/>
                <w:szCs w:val="20"/>
              </w:rPr>
            </w:pPr>
            <w:r w:rsidRPr="00D86734">
              <w:rPr>
                <w:rFonts w:eastAsia="Times New Roman"/>
                <w:i/>
                <w:iCs/>
                <w:color w:val="333333"/>
                <w:spacing w:val="2"/>
                <w:sz w:val="20"/>
                <w:szCs w:val="20"/>
              </w:rPr>
              <w:t>60-80%</w:t>
            </w:r>
          </w:p>
          <w:p w14:paraId="2136D23B" w14:textId="77777777" w:rsidR="004D0589" w:rsidRPr="008535C2" w:rsidRDefault="004D0589" w:rsidP="006D47AD">
            <w:pPr>
              <w:jc w:val="right"/>
              <w:rPr>
                <w:rFonts w:eastAsia="Times New Roman"/>
                <w:color w:val="333333"/>
                <w:spacing w:val="2"/>
                <w:sz w:val="20"/>
                <w:szCs w:val="20"/>
              </w:rPr>
            </w:pPr>
            <w:r w:rsidRPr="00D86734">
              <w:rPr>
                <w:rFonts w:eastAsia="Times New Roman"/>
                <w:i/>
                <w:iCs/>
                <w:color w:val="333333"/>
                <w:spacing w:val="2"/>
                <w:sz w:val="20"/>
                <w:szCs w:val="20"/>
              </w:rPr>
              <w:t>80-100%</w:t>
            </w:r>
          </w:p>
        </w:tc>
      </w:tr>
      <w:tr w:rsidR="004D0589" w:rsidRPr="008535C2" w14:paraId="653C749B" w14:textId="77777777" w:rsidTr="00487EA3">
        <w:tc>
          <w:tcPr>
            <w:tcW w:w="4248" w:type="dxa"/>
            <w:hideMark/>
          </w:tcPr>
          <w:p w14:paraId="62795EF3" w14:textId="77777777" w:rsidR="004D0589" w:rsidRPr="008535C2" w:rsidRDefault="004D0589" w:rsidP="006D47AD">
            <w:pPr>
              <w:rPr>
                <w:rFonts w:eastAsia="Times New Roman"/>
                <w:color w:val="333333"/>
                <w:spacing w:val="2"/>
                <w:sz w:val="20"/>
                <w:szCs w:val="20"/>
              </w:rPr>
            </w:pPr>
            <w:r w:rsidRPr="008535C2">
              <w:rPr>
                <w:rFonts w:eastAsia="Times New Roman"/>
                <w:color w:val="333333"/>
                <w:spacing w:val="2"/>
                <w:sz w:val="20"/>
                <w:szCs w:val="20"/>
              </w:rPr>
              <w:t>Flooded vegetation canopy height</w:t>
            </w:r>
          </w:p>
        </w:tc>
      </w:tr>
      <w:tr w:rsidR="004D0589" w:rsidRPr="008535C2" w14:paraId="3636B51A" w14:textId="77777777" w:rsidTr="00487EA3">
        <w:tc>
          <w:tcPr>
            <w:tcW w:w="4248" w:type="dxa"/>
            <w:hideMark/>
          </w:tcPr>
          <w:p w14:paraId="5B524077" w14:textId="77777777" w:rsidR="004D0589" w:rsidRPr="00487EA3" w:rsidRDefault="004D0589" w:rsidP="006D47AD">
            <w:pPr>
              <w:jc w:val="right"/>
              <w:rPr>
                <w:rFonts w:eastAsia="Times New Roman"/>
                <w:i/>
                <w:iCs/>
                <w:color w:val="333333"/>
                <w:spacing w:val="2"/>
                <w:sz w:val="20"/>
                <w:szCs w:val="20"/>
              </w:rPr>
            </w:pPr>
            <w:r w:rsidRPr="00487EA3">
              <w:rPr>
                <w:rFonts w:eastAsia="Apple Symbols"/>
                <w:i/>
                <w:iCs/>
                <w:color w:val="333333"/>
                <w:spacing w:val="2"/>
                <w:sz w:val="20"/>
                <w:szCs w:val="20"/>
              </w:rPr>
              <w:t>﹤</w:t>
            </w:r>
            <w:r w:rsidRPr="00487EA3">
              <w:rPr>
                <w:rFonts w:eastAsia="Times New Roman"/>
                <w:i/>
                <w:iCs/>
                <w:color w:val="333333"/>
                <w:spacing w:val="2"/>
                <w:sz w:val="20"/>
                <w:szCs w:val="20"/>
              </w:rPr>
              <w:t>20 cm</w:t>
            </w:r>
          </w:p>
          <w:p w14:paraId="7D7FED1E" w14:textId="77777777" w:rsidR="004D0589" w:rsidRPr="00487EA3" w:rsidRDefault="004D0589" w:rsidP="006D47AD">
            <w:pPr>
              <w:jc w:val="right"/>
              <w:rPr>
                <w:rFonts w:eastAsia="Times New Roman"/>
                <w:i/>
                <w:iCs/>
                <w:color w:val="333333"/>
                <w:spacing w:val="2"/>
                <w:sz w:val="20"/>
                <w:szCs w:val="20"/>
              </w:rPr>
            </w:pPr>
            <w:r w:rsidRPr="00487EA3">
              <w:rPr>
                <w:rFonts w:eastAsia="Times New Roman"/>
                <w:i/>
                <w:iCs/>
                <w:color w:val="333333"/>
                <w:spacing w:val="2"/>
                <w:sz w:val="20"/>
                <w:szCs w:val="20"/>
              </w:rPr>
              <w:t>20-50 cm</w:t>
            </w:r>
          </w:p>
          <w:p w14:paraId="2FB89A93" w14:textId="77777777" w:rsidR="004D0589" w:rsidRPr="00487EA3" w:rsidRDefault="004D0589" w:rsidP="006D47AD">
            <w:pPr>
              <w:jc w:val="right"/>
              <w:rPr>
                <w:rFonts w:eastAsia="Times New Roman"/>
                <w:i/>
                <w:iCs/>
                <w:color w:val="333333"/>
                <w:spacing w:val="2"/>
                <w:sz w:val="20"/>
                <w:szCs w:val="20"/>
              </w:rPr>
            </w:pPr>
            <w:r w:rsidRPr="00487EA3">
              <w:rPr>
                <w:rFonts w:eastAsia="Times New Roman"/>
                <w:i/>
                <w:iCs/>
                <w:color w:val="333333"/>
                <w:spacing w:val="2"/>
                <w:sz w:val="20"/>
                <w:szCs w:val="20"/>
              </w:rPr>
              <w:t>50-100 cm</w:t>
            </w:r>
          </w:p>
          <w:p w14:paraId="580ECAD9" w14:textId="77777777" w:rsidR="004D0589" w:rsidRPr="00487EA3" w:rsidRDefault="004D0589" w:rsidP="006D47AD">
            <w:pPr>
              <w:jc w:val="right"/>
              <w:rPr>
                <w:rFonts w:eastAsia="Times New Roman"/>
                <w:i/>
                <w:iCs/>
                <w:color w:val="333333"/>
                <w:spacing w:val="2"/>
                <w:sz w:val="20"/>
                <w:szCs w:val="20"/>
              </w:rPr>
            </w:pPr>
            <w:r w:rsidRPr="00487EA3">
              <w:rPr>
                <w:rFonts w:eastAsia="Times New Roman"/>
                <w:i/>
                <w:iCs/>
                <w:color w:val="333333"/>
                <w:spacing w:val="2"/>
                <w:sz w:val="20"/>
                <w:szCs w:val="20"/>
              </w:rPr>
              <w:t>1-2 m</w:t>
            </w:r>
          </w:p>
          <w:p w14:paraId="4A88D1AE" w14:textId="77777777" w:rsidR="004D0589" w:rsidRPr="00487EA3" w:rsidRDefault="004D0589" w:rsidP="006D47AD">
            <w:pPr>
              <w:jc w:val="right"/>
              <w:rPr>
                <w:rFonts w:eastAsia="Times New Roman"/>
                <w:i/>
                <w:iCs/>
                <w:color w:val="333333"/>
                <w:spacing w:val="2"/>
                <w:sz w:val="20"/>
                <w:szCs w:val="20"/>
              </w:rPr>
            </w:pPr>
            <w:r w:rsidRPr="00487EA3">
              <w:rPr>
                <w:rFonts w:eastAsia="Times New Roman"/>
                <w:i/>
                <w:iCs/>
                <w:color w:val="333333"/>
                <w:spacing w:val="2"/>
                <w:sz w:val="20"/>
                <w:szCs w:val="20"/>
              </w:rPr>
              <w:t>2-5 m</w:t>
            </w:r>
          </w:p>
          <w:p w14:paraId="7DE0DACC" w14:textId="77777777" w:rsidR="004D0589" w:rsidRPr="00487EA3" w:rsidRDefault="004D0589" w:rsidP="006D47AD">
            <w:pPr>
              <w:jc w:val="right"/>
              <w:rPr>
                <w:rFonts w:eastAsia="Times New Roman"/>
                <w:i/>
                <w:iCs/>
                <w:color w:val="333333"/>
                <w:spacing w:val="2"/>
                <w:sz w:val="20"/>
                <w:szCs w:val="20"/>
              </w:rPr>
            </w:pPr>
            <w:r w:rsidRPr="00487EA3">
              <w:rPr>
                <w:rFonts w:eastAsia="Apple Symbols"/>
                <w:i/>
                <w:iCs/>
                <w:color w:val="333333"/>
                <w:spacing w:val="2"/>
                <w:sz w:val="20"/>
                <w:szCs w:val="20"/>
              </w:rPr>
              <w:t>﹥</w:t>
            </w:r>
            <w:r w:rsidRPr="00487EA3">
              <w:rPr>
                <w:rFonts w:eastAsia="Times New Roman"/>
                <w:i/>
                <w:iCs/>
                <w:color w:val="333333"/>
                <w:spacing w:val="2"/>
                <w:sz w:val="20"/>
                <w:szCs w:val="20"/>
              </w:rPr>
              <w:t xml:space="preserve"> 5 m</w:t>
            </w:r>
          </w:p>
        </w:tc>
      </w:tr>
      <w:tr w:rsidR="004D0589" w:rsidRPr="008535C2" w14:paraId="6B9DC7E1" w14:textId="77777777" w:rsidTr="00487EA3">
        <w:tc>
          <w:tcPr>
            <w:tcW w:w="4248" w:type="dxa"/>
            <w:hideMark/>
          </w:tcPr>
          <w:p w14:paraId="6BCE7CFC" w14:textId="220B5B30" w:rsidR="004D0589" w:rsidRPr="008535C2" w:rsidRDefault="004D0589" w:rsidP="006D47AD">
            <w:pPr>
              <w:rPr>
                <w:rFonts w:eastAsia="Times New Roman"/>
                <w:color w:val="333333"/>
                <w:spacing w:val="2"/>
                <w:sz w:val="20"/>
                <w:szCs w:val="20"/>
              </w:rPr>
            </w:pPr>
            <w:r w:rsidRPr="008535C2">
              <w:rPr>
                <w:rFonts w:eastAsia="Times New Roman"/>
                <w:color w:val="333333"/>
                <w:spacing w:val="2"/>
                <w:sz w:val="20"/>
                <w:szCs w:val="20"/>
              </w:rPr>
              <w:t>Photo(s) of dominant flooded vegetatio</w:t>
            </w:r>
            <w:r w:rsidR="003C3F31">
              <w:rPr>
                <w:rFonts w:eastAsia="Times New Roman"/>
                <w:color w:val="333333"/>
                <w:spacing w:val="2"/>
                <w:sz w:val="20"/>
                <w:szCs w:val="20"/>
              </w:rPr>
              <w:t>n</w:t>
            </w:r>
            <w:r w:rsidRPr="008535C2">
              <w:rPr>
                <w:rFonts w:eastAsia="Times New Roman"/>
                <w:color w:val="333333"/>
                <w:spacing w:val="2"/>
                <w:sz w:val="20"/>
                <w:szCs w:val="20"/>
              </w:rPr>
              <w:t xml:space="preserve"> type</w:t>
            </w:r>
          </w:p>
        </w:tc>
      </w:tr>
      <w:tr w:rsidR="004D0589" w:rsidRPr="008535C2" w14:paraId="5C7BFC2D" w14:textId="77777777" w:rsidTr="00487EA3">
        <w:tc>
          <w:tcPr>
            <w:tcW w:w="4248" w:type="dxa"/>
            <w:hideMark/>
          </w:tcPr>
          <w:p w14:paraId="1F09F801" w14:textId="77777777" w:rsidR="004D0589" w:rsidRPr="008535C2" w:rsidRDefault="004D0589" w:rsidP="006D47AD">
            <w:pPr>
              <w:rPr>
                <w:rFonts w:eastAsia="Times New Roman"/>
                <w:color w:val="333333"/>
                <w:spacing w:val="2"/>
                <w:sz w:val="20"/>
                <w:szCs w:val="20"/>
              </w:rPr>
            </w:pPr>
            <w:r w:rsidRPr="008535C2">
              <w:rPr>
                <w:rFonts w:eastAsia="Times New Roman"/>
                <w:color w:val="333333"/>
                <w:spacing w:val="2"/>
                <w:sz w:val="20"/>
                <w:szCs w:val="20"/>
              </w:rPr>
              <w:t>Evidence of previous standing water?</w:t>
            </w:r>
          </w:p>
        </w:tc>
      </w:tr>
      <w:tr w:rsidR="004D0589" w:rsidRPr="008535C2" w14:paraId="60E65925" w14:textId="77777777" w:rsidTr="00487EA3">
        <w:tc>
          <w:tcPr>
            <w:tcW w:w="4248" w:type="dxa"/>
            <w:hideMark/>
          </w:tcPr>
          <w:p w14:paraId="1B8644EF" w14:textId="77777777" w:rsidR="004D0589" w:rsidRPr="00487EA3" w:rsidRDefault="004D0589" w:rsidP="006D47AD">
            <w:pPr>
              <w:jc w:val="right"/>
              <w:rPr>
                <w:rFonts w:eastAsia="Times New Roman"/>
                <w:i/>
                <w:iCs/>
                <w:color w:val="333333"/>
                <w:spacing w:val="2"/>
                <w:sz w:val="20"/>
                <w:szCs w:val="20"/>
              </w:rPr>
            </w:pPr>
            <w:r w:rsidRPr="00487EA3">
              <w:rPr>
                <w:rFonts w:eastAsia="Times New Roman"/>
                <w:i/>
                <w:iCs/>
                <w:color w:val="333333"/>
                <w:spacing w:val="2"/>
                <w:sz w:val="20"/>
                <w:szCs w:val="20"/>
              </w:rPr>
              <w:t>Yes</w:t>
            </w:r>
          </w:p>
          <w:p w14:paraId="090F3E99" w14:textId="77777777" w:rsidR="004D0589" w:rsidRPr="00487EA3" w:rsidRDefault="004D0589" w:rsidP="006D47AD">
            <w:pPr>
              <w:jc w:val="right"/>
              <w:rPr>
                <w:rFonts w:eastAsia="Times New Roman"/>
                <w:i/>
                <w:iCs/>
                <w:color w:val="333333"/>
                <w:spacing w:val="2"/>
                <w:sz w:val="20"/>
                <w:szCs w:val="20"/>
              </w:rPr>
            </w:pPr>
            <w:r w:rsidRPr="00487EA3">
              <w:rPr>
                <w:rFonts w:eastAsia="Times New Roman"/>
                <w:i/>
                <w:iCs/>
                <w:color w:val="333333"/>
                <w:spacing w:val="2"/>
                <w:sz w:val="20"/>
                <w:szCs w:val="20"/>
              </w:rPr>
              <w:t>No</w:t>
            </w:r>
          </w:p>
          <w:p w14:paraId="28E128C8" w14:textId="77777777" w:rsidR="004D0589" w:rsidRPr="008535C2" w:rsidRDefault="004D0589" w:rsidP="006D47AD">
            <w:pPr>
              <w:jc w:val="right"/>
              <w:rPr>
                <w:rFonts w:eastAsia="Times New Roman"/>
                <w:color w:val="333333"/>
                <w:spacing w:val="2"/>
                <w:sz w:val="20"/>
                <w:szCs w:val="20"/>
              </w:rPr>
            </w:pPr>
            <w:r w:rsidRPr="00487EA3">
              <w:rPr>
                <w:rFonts w:eastAsia="Times New Roman"/>
                <w:i/>
                <w:iCs/>
                <w:color w:val="333333"/>
                <w:spacing w:val="2"/>
                <w:sz w:val="20"/>
                <w:szCs w:val="20"/>
              </w:rPr>
              <w:t>Maybe</w:t>
            </w:r>
          </w:p>
        </w:tc>
      </w:tr>
      <w:tr w:rsidR="004D0589" w:rsidRPr="008535C2" w14:paraId="3A4EEB8F" w14:textId="77777777" w:rsidTr="00487EA3">
        <w:tc>
          <w:tcPr>
            <w:tcW w:w="4248" w:type="dxa"/>
            <w:hideMark/>
          </w:tcPr>
          <w:p w14:paraId="7FF6CE22" w14:textId="77777777" w:rsidR="004D0589" w:rsidRPr="008535C2" w:rsidRDefault="004D0589" w:rsidP="006D47AD">
            <w:pPr>
              <w:rPr>
                <w:rFonts w:eastAsia="Times New Roman"/>
                <w:color w:val="333333"/>
                <w:spacing w:val="2"/>
                <w:sz w:val="20"/>
                <w:szCs w:val="20"/>
              </w:rPr>
            </w:pPr>
            <w:r w:rsidRPr="008535C2">
              <w:rPr>
                <w:rFonts w:eastAsia="Times New Roman"/>
                <w:color w:val="333333"/>
                <w:spacing w:val="2"/>
                <w:sz w:val="20"/>
                <w:szCs w:val="20"/>
              </w:rPr>
              <w:t>Presence of non-flooded vegetation?</w:t>
            </w:r>
          </w:p>
        </w:tc>
      </w:tr>
      <w:tr w:rsidR="004D0589" w:rsidRPr="00487EA3" w14:paraId="557AB627" w14:textId="77777777" w:rsidTr="00487EA3">
        <w:tc>
          <w:tcPr>
            <w:tcW w:w="4248" w:type="dxa"/>
            <w:hideMark/>
          </w:tcPr>
          <w:p w14:paraId="00AF9483" w14:textId="77777777" w:rsidR="004D0589" w:rsidRPr="00487EA3" w:rsidRDefault="004D0589" w:rsidP="006D47AD">
            <w:pPr>
              <w:jc w:val="right"/>
              <w:rPr>
                <w:rFonts w:eastAsia="Times New Roman"/>
                <w:i/>
                <w:iCs/>
                <w:color w:val="333333"/>
                <w:spacing w:val="2"/>
                <w:sz w:val="20"/>
                <w:szCs w:val="20"/>
              </w:rPr>
            </w:pPr>
            <w:r w:rsidRPr="00487EA3">
              <w:rPr>
                <w:rFonts w:eastAsia="Times New Roman"/>
                <w:i/>
                <w:iCs/>
                <w:color w:val="333333"/>
                <w:spacing w:val="2"/>
                <w:sz w:val="20"/>
                <w:szCs w:val="20"/>
              </w:rPr>
              <w:t>Yes</w:t>
            </w:r>
          </w:p>
          <w:p w14:paraId="6AE1049C" w14:textId="77777777" w:rsidR="004D0589" w:rsidRPr="00487EA3" w:rsidRDefault="004D0589" w:rsidP="006D47AD">
            <w:pPr>
              <w:jc w:val="right"/>
              <w:rPr>
                <w:rFonts w:eastAsia="Times New Roman"/>
                <w:i/>
                <w:iCs/>
                <w:color w:val="333333"/>
                <w:spacing w:val="2"/>
                <w:sz w:val="20"/>
                <w:szCs w:val="20"/>
              </w:rPr>
            </w:pPr>
            <w:r w:rsidRPr="00487EA3">
              <w:rPr>
                <w:rFonts w:eastAsia="Times New Roman"/>
                <w:i/>
                <w:iCs/>
                <w:color w:val="333333"/>
                <w:spacing w:val="2"/>
                <w:sz w:val="20"/>
                <w:szCs w:val="20"/>
              </w:rPr>
              <w:t>No</w:t>
            </w:r>
          </w:p>
        </w:tc>
      </w:tr>
      <w:tr w:rsidR="004D0589" w:rsidRPr="008535C2" w14:paraId="3A8145CA" w14:textId="77777777" w:rsidTr="00487EA3">
        <w:tc>
          <w:tcPr>
            <w:tcW w:w="4248" w:type="dxa"/>
            <w:hideMark/>
          </w:tcPr>
          <w:p w14:paraId="5FAAE788" w14:textId="77777777" w:rsidR="004D0589" w:rsidRPr="008535C2" w:rsidRDefault="004D0589" w:rsidP="006D47AD">
            <w:pPr>
              <w:rPr>
                <w:rFonts w:eastAsia="Times New Roman"/>
                <w:color w:val="333333"/>
                <w:spacing w:val="2"/>
                <w:sz w:val="20"/>
                <w:szCs w:val="20"/>
              </w:rPr>
            </w:pPr>
            <w:r w:rsidRPr="008535C2">
              <w:rPr>
                <w:rFonts w:eastAsia="Times New Roman"/>
                <w:color w:val="333333"/>
                <w:spacing w:val="2"/>
                <w:sz w:val="20"/>
                <w:szCs w:val="20"/>
              </w:rPr>
              <w:t>Dominant Vegetation (non-flooded)</w:t>
            </w:r>
          </w:p>
        </w:tc>
      </w:tr>
      <w:tr w:rsidR="004D0589" w:rsidRPr="00487EA3" w14:paraId="6D00A8F0" w14:textId="77777777" w:rsidTr="00487EA3">
        <w:tc>
          <w:tcPr>
            <w:tcW w:w="4248" w:type="dxa"/>
            <w:hideMark/>
          </w:tcPr>
          <w:p w14:paraId="0C5F3A1E" w14:textId="77777777" w:rsidR="004D0589" w:rsidRPr="00487EA3" w:rsidRDefault="004D0589" w:rsidP="006D47AD">
            <w:pPr>
              <w:jc w:val="right"/>
              <w:rPr>
                <w:rFonts w:eastAsia="Times New Roman"/>
                <w:i/>
                <w:iCs/>
                <w:color w:val="333333"/>
                <w:spacing w:val="2"/>
                <w:sz w:val="20"/>
                <w:szCs w:val="20"/>
              </w:rPr>
            </w:pPr>
            <w:r w:rsidRPr="00487EA3">
              <w:rPr>
                <w:rFonts w:eastAsia="Times New Roman"/>
                <w:i/>
                <w:iCs/>
                <w:color w:val="333333"/>
                <w:spacing w:val="2"/>
                <w:sz w:val="20"/>
                <w:szCs w:val="20"/>
              </w:rPr>
              <w:t>Grass</w:t>
            </w:r>
          </w:p>
          <w:p w14:paraId="3C453B4F" w14:textId="77777777" w:rsidR="004D0589" w:rsidRPr="00487EA3" w:rsidRDefault="004D0589" w:rsidP="006D47AD">
            <w:pPr>
              <w:jc w:val="right"/>
              <w:rPr>
                <w:rFonts w:eastAsia="Times New Roman"/>
                <w:i/>
                <w:iCs/>
                <w:color w:val="333333"/>
                <w:spacing w:val="2"/>
                <w:sz w:val="20"/>
                <w:szCs w:val="20"/>
              </w:rPr>
            </w:pPr>
            <w:r w:rsidRPr="00487EA3">
              <w:rPr>
                <w:rFonts w:eastAsia="Times New Roman"/>
                <w:i/>
                <w:iCs/>
                <w:color w:val="333333"/>
                <w:spacing w:val="2"/>
                <w:sz w:val="20"/>
                <w:szCs w:val="20"/>
              </w:rPr>
              <w:t>Shrubs</w:t>
            </w:r>
          </w:p>
          <w:p w14:paraId="47011832" w14:textId="77777777" w:rsidR="004D0589" w:rsidRPr="00487EA3" w:rsidRDefault="004D0589" w:rsidP="006D47AD">
            <w:pPr>
              <w:jc w:val="right"/>
              <w:rPr>
                <w:rFonts w:eastAsia="Times New Roman"/>
                <w:i/>
                <w:iCs/>
                <w:color w:val="333333"/>
                <w:spacing w:val="2"/>
                <w:sz w:val="20"/>
                <w:szCs w:val="20"/>
              </w:rPr>
            </w:pPr>
            <w:r w:rsidRPr="00487EA3">
              <w:rPr>
                <w:rFonts w:eastAsia="Times New Roman"/>
                <w:i/>
                <w:iCs/>
                <w:color w:val="333333"/>
                <w:spacing w:val="2"/>
                <w:sz w:val="20"/>
                <w:szCs w:val="20"/>
              </w:rPr>
              <w:t>Trees</w:t>
            </w:r>
          </w:p>
          <w:p w14:paraId="100A0F7B" w14:textId="77777777" w:rsidR="004D0589" w:rsidRPr="00487EA3" w:rsidRDefault="004D0589" w:rsidP="006D47AD">
            <w:pPr>
              <w:jc w:val="right"/>
              <w:rPr>
                <w:rFonts w:eastAsia="Times New Roman"/>
                <w:i/>
                <w:iCs/>
                <w:color w:val="333333"/>
                <w:spacing w:val="2"/>
                <w:sz w:val="20"/>
                <w:szCs w:val="20"/>
              </w:rPr>
            </w:pPr>
            <w:r w:rsidRPr="00487EA3">
              <w:rPr>
                <w:rFonts w:eastAsia="Times New Roman"/>
                <w:i/>
                <w:iCs/>
                <w:color w:val="333333"/>
                <w:spacing w:val="2"/>
                <w:sz w:val="20"/>
                <w:szCs w:val="20"/>
              </w:rPr>
              <w:t>Crops</w:t>
            </w:r>
          </w:p>
        </w:tc>
      </w:tr>
      <w:tr w:rsidR="004D0589" w:rsidRPr="008535C2" w14:paraId="289D2234" w14:textId="77777777" w:rsidTr="00487EA3">
        <w:tc>
          <w:tcPr>
            <w:tcW w:w="4248" w:type="dxa"/>
            <w:hideMark/>
          </w:tcPr>
          <w:p w14:paraId="4D5DF56D" w14:textId="77777777" w:rsidR="004D0589" w:rsidRPr="008535C2" w:rsidRDefault="004D0589" w:rsidP="006D47AD">
            <w:pPr>
              <w:rPr>
                <w:rFonts w:eastAsia="Times New Roman"/>
                <w:color w:val="333333"/>
                <w:spacing w:val="2"/>
                <w:sz w:val="20"/>
                <w:szCs w:val="20"/>
              </w:rPr>
            </w:pPr>
            <w:r w:rsidRPr="008535C2">
              <w:rPr>
                <w:rFonts w:eastAsia="Times New Roman"/>
                <w:color w:val="333333"/>
                <w:spacing w:val="2"/>
                <w:sz w:val="20"/>
                <w:szCs w:val="20"/>
              </w:rPr>
              <w:t>Photo of Dominant vegetation</w:t>
            </w:r>
          </w:p>
        </w:tc>
      </w:tr>
      <w:tr w:rsidR="004D0589" w:rsidRPr="008535C2" w14:paraId="414FAD96" w14:textId="77777777" w:rsidTr="00487EA3">
        <w:tc>
          <w:tcPr>
            <w:tcW w:w="4248" w:type="dxa"/>
            <w:hideMark/>
          </w:tcPr>
          <w:p w14:paraId="2F35E2EF" w14:textId="77777777" w:rsidR="004D0589" w:rsidRPr="008535C2" w:rsidRDefault="004D0589" w:rsidP="006D47AD">
            <w:pPr>
              <w:rPr>
                <w:rFonts w:eastAsia="Times New Roman"/>
                <w:color w:val="333333"/>
                <w:spacing w:val="2"/>
                <w:sz w:val="20"/>
                <w:szCs w:val="20"/>
              </w:rPr>
            </w:pPr>
            <w:r w:rsidRPr="008535C2">
              <w:rPr>
                <w:rFonts w:eastAsia="Times New Roman"/>
                <w:color w:val="333333"/>
                <w:spacing w:val="2"/>
                <w:sz w:val="20"/>
                <w:szCs w:val="20"/>
              </w:rPr>
              <w:t>Leaf moisture</w:t>
            </w:r>
          </w:p>
        </w:tc>
      </w:tr>
      <w:tr w:rsidR="004D0589" w:rsidRPr="00487EA3" w14:paraId="6B5125D5" w14:textId="77777777" w:rsidTr="00487EA3">
        <w:tc>
          <w:tcPr>
            <w:tcW w:w="4248" w:type="dxa"/>
            <w:hideMark/>
          </w:tcPr>
          <w:p w14:paraId="28C32744" w14:textId="77777777" w:rsidR="004D0589" w:rsidRPr="00487EA3" w:rsidRDefault="004D0589" w:rsidP="006D47AD">
            <w:pPr>
              <w:jc w:val="right"/>
              <w:rPr>
                <w:rFonts w:eastAsia="Times New Roman"/>
                <w:i/>
                <w:iCs/>
                <w:color w:val="333333"/>
                <w:spacing w:val="2"/>
                <w:sz w:val="20"/>
                <w:szCs w:val="20"/>
              </w:rPr>
            </w:pPr>
            <w:r w:rsidRPr="00487EA3">
              <w:rPr>
                <w:rFonts w:eastAsia="Times New Roman"/>
                <w:i/>
                <w:iCs/>
                <w:color w:val="333333"/>
                <w:spacing w:val="2"/>
                <w:sz w:val="20"/>
                <w:szCs w:val="20"/>
              </w:rPr>
              <w:t>Low (dry/brown grass)</w:t>
            </w:r>
          </w:p>
          <w:p w14:paraId="61C61206" w14:textId="77777777" w:rsidR="004D0589" w:rsidRPr="00487EA3" w:rsidRDefault="004D0589" w:rsidP="006D47AD">
            <w:pPr>
              <w:jc w:val="right"/>
              <w:rPr>
                <w:rFonts w:eastAsia="Times New Roman"/>
                <w:i/>
                <w:iCs/>
                <w:color w:val="333333"/>
                <w:spacing w:val="2"/>
                <w:sz w:val="20"/>
                <w:szCs w:val="20"/>
              </w:rPr>
            </w:pPr>
            <w:r w:rsidRPr="00487EA3">
              <w:rPr>
                <w:rFonts w:eastAsia="Times New Roman"/>
                <w:i/>
                <w:iCs/>
                <w:color w:val="333333"/>
                <w:spacing w:val="2"/>
                <w:sz w:val="20"/>
                <w:szCs w:val="20"/>
              </w:rPr>
              <w:t>Medium (grass green &amp; brown mixed)</w:t>
            </w:r>
          </w:p>
          <w:p w14:paraId="06AE6479" w14:textId="77777777" w:rsidR="004D0589" w:rsidRPr="00487EA3" w:rsidRDefault="004D0589" w:rsidP="006D47AD">
            <w:pPr>
              <w:jc w:val="right"/>
              <w:rPr>
                <w:rFonts w:eastAsia="Times New Roman"/>
                <w:i/>
                <w:iCs/>
                <w:color w:val="333333"/>
                <w:spacing w:val="2"/>
                <w:sz w:val="20"/>
                <w:szCs w:val="20"/>
              </w:rPr>
            </w:pPr>
            <w:r w:rsidRPr="00487EA3">
              <w:rPr>
                <w:rFonts w:eastAsia="Times New Roman"/>
                <w:i/>
                <w:iCs/>
                <w:color w:val="333333"/>
                <w:spacing w:val="2"/>
                <w:sz w:val="20"/>
                <w:szCs w:val="20"/>
              </w:rPr>
              <w:t>High (grass is green)</w:t>
            </w:r>
          </w:p>
        </w:tc>
      </w:tr>
      <w:tr w:rsidR="004D0589" w:rsidRPr="008535C2" w14:paraId="6BC22D46" w14:textId="77777777" w:rsidTr="00487EA3">
        <w:tc>
          <w:tcPr>
            <w:tcW w:w="4248" w:type="dxa"/>
            <w:hideMark/>
          </w:tcPr>
          <w:p w14:paraId="23255F35" w14:textId="77777777" w:rsidR="004D0589" w:rsidRPr="008535C2" w:rsidRDefault="004D0589" w:rsidP="006D47AD">
            <w:pPr>
              <w:rPr>
                <w:rFonts w:eastAsia="Times New Roman"/>
                <w:color w:val="333333"/>
                <w:spacing w:val="2"/>
                <w:sz w:val="20"/>
                <w:szCs w:val="20"/>
              </w:rPr>
            </w:pPr>
            <w:r w:rsidRPr="008535C2">
              <w:rPr>
                <w:rFonts w:eastAsia="Times New Roman"/>
                <w:color w:val="333333"/>
                <w:spacing w:val="2"/>
                <w:sz w:val="20"/>
                <w:szCs w:val="20"/>
              </w:rPr>
              <w:t>Evidence of burning (i.e. charred ground/burnt vegetation)</w:t>
            </w:r>
          </w:p>
        </w:tc>
      </w:tr>
      <w:tr w:rsidR="004D0589" w:rsidRPr="00487EA3" w14:paraId="17324943" w14:textId="77777777" w:rsidTr="00487EA3">
        <w:tc>
          <w:tcPr>
            <w:tcW w:w="4248" w:type="dxa"/>
            <w:hideMark/>
          </w:tcPr>
          <w:p w14:paraId="134FB90A" w14:textId="77777777" w:rsidR="004D0589" w:rsidRPr="00487EA3" w:rsidRDefault="004D0589" w:rsidP="006D47AD">
            <w:pPr>
              <w:jc w:val="right"/>
              <w:rPr>
                <w:rFonts w:eastAsia="Times New Roman"/>
                <w:i/>
                <w:iCs/>
                <w:color w:val="333333"/>
                <w:spacing w:val="2"/>
                <w:sz w:val="20"/>
                <w:szCs w:val="20"/>
              </w:rPr>
            </w:pPr>
            <w:r w:rsidRPr="00487EA3">
              <w:rPr>
                <w:rFonts w:eastAsia="Times New Roman"/>
                <w:i/>
                <w:iCs/>
                <w:color w:val="333333"/>
                <w:spacing w:val="2"/>
                <w:sz w:val="20"/>
                <w:szCs w:val="20"/>
              </w:rPr>
              <w:t>Yes</w:t>
            </w:r>
          </w:p>
          <w:p w14:paraId="747A699B" w14:textId="77777777" w:rsidR="004D0589" w:rsidRPr="00487EA3" w:rsidRDefault="004D0589" w:rsidP="006D47AD">
            <w:pPr>
              <w:jc w:val="right"/>
              <w:rPr>
                <w:rFonts w:eastAsia="Times New Roman"/>
                <w:i/>
                <w:iCs/>
                <w:color w:val="333333"/>
                <w:spacing w:val="2"/>
                <w:sz w:val="20"/>
                <w:szCs w:val="20"/>
              </w:rPr>
            </w:pPr>
            <w:r w:rsidRPr="00487EA3">
              <w:rPr>
                <w:rFonts w:eastAsia="Times New Roman"/>
                <w:i/>
                <w:iCs/>
                <w:color w:val="333333"/>
                <w:spacing w:val="2"/>
                <w:sz w:val="20"/>
                <w:szCs w:val="20"/>
              </w:rPr>
              <w:t>No</w:t>
            </w:r>
          </w:p>
        </w:tc>
      </w:tr>
      <w:tr w:rsidR="004D0589" w:rsidRPr="008535C2" w14:paraId="1EF16834" w14:textId="77777777" w:rsidTr="00487EA3">
        <w:tc>
          <w:tcPr>
            <w:tcW w:w="4248" w:type="dxa"/>
            <w:hideMark/>
          </w:tcPr>
          <w:p w14:paraId="7F313CAB" w14:textId="77777777" w:rsidR="004D0589" w:rsidRPr="008535C2" w:rsidRDefault="004D0589" w:rsidP="006D47AD">
            <w:pPr>
              <w:rPr>
                <w:rFonts w:eastAsia="Times New Roman"/>
                <w:color w:val="333333"/>
                <w:spacing w:val="2"/>
                <w:sz w:val="20"/>
                <w:szCs w:val="20"/>
              </w:rPr>
            </w:pPr>
            <w:r w:rsidRPr="008535C2">
              <w:rPr>
                <w:rFonts w:eastAsia="Times New Roman"/>
                <w:color w:val="333333"/>
                <w:spacing w:val="2"/>
                <w:sz w:val="20"/>
                <w:szCs w:val="20"/>
              </w:rPr>
              <w:t>Wetland position (e.g. edge of floodplain, non-wetland escarpment, lake shore etc.)</w:t>
            </w:r>
          </w:p>
        </w:tc>
      </w:tr>
      <w:tr w:rsidR="004D0589" w:rsidRPr="008535C2" w14:paraId="1E28210F" w14:textId="77777777" w:rsidTr="00487EA3">
        <w:tc>
          <w:tcPr>
            <w:tcW w:w="4248" w:type="dxa"/>
            <w:hideMark/>
          </w:tcPr>
          <w:p w14:paraId="2E3764F0" w14:textId="77777777" w:rsidR="004D0589" w:rsidRPr="008535C2" w:rsidRDefault="004D0589" w:rsidP="006D47AD">
            <w:pPr>
              <w:rPr>
                <w:rFonts w:eastAsia="Times New Roman"/>
                <w:color w:val="333333"/>
                <w:spacing w:val="2"/>
                <w:sz w:val="20"/>
                <w:szCs w:val="20"/>
              </w:rPr>
            </w:pPr>
            <w:r w:rsidRPr="008535C2">
              <w:rPr>
                <w:rFonts w:eastAsia="Times New Roman"/>
                <w:color w:val="333333"/>
                <w:spacing w:val="2"/>
                <w:sz w:val="20"/>
                <w:szCs w:val="20"/>
              </w:rPr>
              <w:t>Addition comments?</w:t>
            </w:r>
          </w:p>
        </w:tc>
      </w:tr>
    </w:tbl>
    <w:p w14:paraId="443F07C2" w14:textId="77777777" w:rsidR="00B318EE" w:rsidRDefault="00B318EE">
      <w:pPr>
        <w:rPr>
          <w:b/>
        </w:rPr>
      </w:pPr>
      <w:r>
        <w:br w:type="page"/>
      </w:r>
    </w:p>
    <w:p w14:paraId="4432986A" w14:textId="7C1B7406" w:rsidR="00BC085A" w:rsidRPr="007D6495" w:rsidRDefault="00B04E04" w:rsidP="007D6495">
      <w:pPr>
        <w:pStyle w:val="Heading1"/>
      </w:pPr>
      <w:r>
        <w:lastRenderedPageBreak/>
        <w:t>References</w:t>
      </w:r>
    </w:p>
    <w:p w14:paraId="4D3FC8AE" w14:textId="77777777" w:rsidR="00E0175F" w:rsidRPr="00E0175F" w:rsidRDefault="009D0EF3" w:rsidP="00E0175F">
      <w:pPr>
        <w:pStyle w:val="Bibliography"/>
        <w:rPr>
          <w:color w:val="000000"/>
        </w:rPr>
      </w:pPr>
      <w:r>
        <w:rPr>
          <w:color w:val="000000"/>
        </w:rPr>
        <w:fldChar w:fldCharType="begin"/>
      </w:r>
      <w:r w:rsidR="00E0175F">
        <w:rPr>
          <w:color w:val="000000"/>
        </w:rPr>
        <w:instrText xml:space="preserve"> ADDIN ZOTERO_BIBL {"uncited":[],"omitted":[],"custom":[]} CSL_BIBLIOGRAPHY </w:instrText>
      </w:r>
      <w:r>
        <w:rPr>
          <w:color w:val="000000"/>
        </w:rPr>
        <w:fldChar w:fldCharType="separate"/>
      </w:r>
      <w:r w:rsidR="00E0175F" w:rsidRPr="00E0175F">
        <w:rPr>
          <w:color w:val="000000"/>
        </w:rPr>
        <w:t>1.</w:t>
      </w:r>
      <w:r w:rsidR="00E0175F" w:rsidRPr="00E0175F">
        <w:rPr>
          <w:color w:val="000000"/>
        </w:rPr>
        <w:tab/>
        <w:t xml:space="preserve">Hardy, A., Oakes, G. &amp; </w:t>
      </w:r>
      <w:proofErr w:type="spellStart"/>
      <w:r w:rsidR="00E0175F" w:rsidRPr="00E0175F">
        <w:rPr>
          <w:color w:val="000000"/>
        </w:rPr>
        <w:t>Ettritch</w:t>
      </w:r>
      <w:proofErr w:type="spellEnd"/>
      <w:r w:rsidR="00E0175F" w:rsidRPr="00E0175F">
        <w:rPr>
          <w:color w:val="000000"/>
        </w:rPr>
        <w:t>, G. Tropical wetland (</w:t>
      </w:r>
      <w:proofErr w:type="spellStart"/>
      <w:r w:rsidR="00E0175F" w:rsidRPr="00E0175F">
        <w:rPr>
          <w:color w:val="000000"/>
        </w:rPr>
        <w:t>tropwet</w:t>
      </w:r>
      <w:proofErr w:type="spellEnd"/>
      <w:r w:rsidR="00E0175F" w:rsidRPr="00E0175F">
        <w:rPr>
          <w:color w:val="000000"/>
        </w:rPr>
        <w:t xml:space="preserve">) mapping tool: the automatic detection of open and vegetated waterbodies in google earth engine for tropical wetlands. </w:t>
      </w:r>
      <w:r w:rsidR="00E0175F" w:rsidRPr="00E0175F">
        <w:rPr>
          <w:i/>
          <w:iCs/>
          <w:color w:val="000000"/>
        </w:rPr>
        <w:t>Remote Sens (Basel)</w:t>
      </w:r>
      <w:r w:rsidR="00E0175F" w:rsidRPr="00E0175F">
        <w:rPr>
          <w:color w:val="000000"/>
        </w:rPr>
        <w:t xml:space="preserve"> </w:t>
      </w:r>
      <w:r w:rsidR="00E0175F" w:rsidRPr="00E0175F">
        <w:rPr>
          <w:b/>
          <w:bCs/>
          <w:color w:val="000000"/>
        </w:rPr>
        <w:t>12</w:t>
      </w:r>
      <w:r w:rsidR="00E0175F" w:rsidRPr="00E0175F">
        <w:rPr>
          <w:color w:val="000000"/>
        </w:rPr>
        <w:t>, 1182 (2020).</w:t>
      </w:r>
    </w:p>
    <w:p w14:paraId="23028D69" w14:textId="77777777" w:rsidR="00E0175F" w:rsidRPr="00E0175F" w:rsidRDefault="00E0175F" w:rsidP="00E0175F">
      <w:pPr>
        <w:pStyle w:val="Bibliography"/>
        <w:rPr>
          <w:color w:val="000000"/>
        </w:rPr>
      </w:pPr>
      <w:r w:rsidRPr="00E0175F">
        <w:rPr>
          <w:color w:val="000000"/>
        </w:rPr>
        <w:t>2.</w:t>
      </w:r>
      <w:r w:rsidRPr="00E0175F">
        <w:rPr>
          <w:color w:val="000000"/>
        </w:rPr>
        <w:tab/>
        <w:t xml:space="preserve">Pekel, J.-F., Cottam, A., Gorelick, N. &amp; </w:t>
      </w:r>
      <w:proofErr w:type="spellStart"/>
      <w:r w:rsidRPr="00E0175F">
        <w:rPr>
          <w:color w:val="000000"/>
        </w:rPr>
        <w:t>Belward</w:t>
      </w:r>
      <w:proofErr w:type="spellEnd"/>
      <w:r w:rsidRPr="00E0175F">
        <w:rPr>
          <w:color w:val="000000"/>
        </w:rPr>
        <w:t xml:space="preserve">, A. S. High-resolution mapping of global surface water and its long-term changes. </w:t>
      </w:r>
      <w:r w:rsidRPr="00E0175F">
        <w:rPr>
          <w:i/>
          <w:iCs/>
          <w:color w:val="000000"/>
        </w:rPr>
        <w:t>Nature</w:t>
      </w:r>
      <w:r w:rsidRPr="00E0175F">
        <w:rPr>
          <w:color w:val="000000"/>
        </w:rPr>
        <w:t xml:space="preserve"> </w:t>
      </w:r>
      <w:r w:rsidRPr="00E0175F">
        <w:rPr>
          <w:b/>
          <w:bCs/>
          <w:color w:val="000000"/>
        </w:rPr>
        <w:t>540</w:t>
      </w:r>
      <w:r w:rsidRPr="00E0175F">
        <w:rPr>
          <w:color w:val="000000"/>
        </w:rPr>
        <w:t>, 418–422 (2016).</w:t>
      </w:r>
    </w:p>
    <w:p w14:paraId="33F7B296" w14:textId="77777777" w:rsidR="00E0175F" w:rsidRPr="00E0175F" w:rsidRDefault="00E0175F" w:rsidP="00E0175F">
      <w:pPr>
        <w:pStyle w:val="Bibliography"/>
        <w:rPr>
          <w:color w:val="000000"/>
        </w:rPr>
      </w:pPr>
      <w:r w:rsidRPr="00E0175F">
        <w:rPr>
          <w:color w:val="000000"/>
        </w:rPr>
        <w:t>3.</w:t>
      </w:r>
      <w:r w:rsidRPr="00E0175F">
        <w:rPr>
          <w:color w:val="000000"/>
        </w:rPr>
        <w:tab/>
        <w:t xml:space="preserve">Hansen, M. C. </w:t>
      </w:r>
      <w:r w:rsidRPr="00E0175F">
        <w:rPr>
          <w:i/>
          <w:iCs/>
          <w:color w:val="000000"/>
        </w:rPr>
        <w:t>et al.</w:t>
      </w:r>
      <w:r w:rsidRPr="00E0175F">
        <w:rPr>
          <w:color w:val="000000"/>
        </w:rPr>
        <w:t xml:space="preserve"> High-resolution global maps of 21st-century forest cover change. </w:t>
      </w:r>
      <w:r w:rsidRPr="00E0175F">
        <w:rPr>
          <w:i/>
          <w:iCs/>
          <w:color w:val="000000"/>
        </w:rPr>
        <w:t>Science</w:t>
      </w:r>
      <w:r w:rsidRPr="00E0175F">
        <w:rPr>
          <w:color w:val="000000"/>
        </w:rPr>
        <w:t xml:space="preserve"> </w:t>
      </w:r>
      <w:r w:rsidRPr="00E0175F">
        <w:rPr>
          <w:b/>
          <w:bCs/>
          <w:color w:val="000000"/>
        </w:rPr>
        <w:t>342</w:t>
      </w:r>
      <w:r w:rsidRPr="00E0175F">
        <w:rPr>
          <w:color w:val="000000"/>
        </w:rPr>
        <w:t>, 850–853 (2013).</w:t>
      </w:r>
    </w:p>
    <w:p w14:paraId="431CD01A" w14:textId="408AFC3C" w:rsidR="00B04E04" w:rsidRPr="00B04E04" w:rsidRDefault="009D0EF3" w:rsidP="00E0175F">
      <w:pPr>
        <w:pStyle w:val="Bibliography"/>
      </w:pPr>
      <w:r>
        <w:rPr>
          <w:color w:val="000000"/>
        </w:rPr>
        <w:fldChar w:fldCharType="end"/>
      </w:r>
      <w:r w:rsidR="00BC085A" w:rsidRPr="00BC085A">
        <w:rPr>
          <w:color w:val="000000"/>
        </w:rPr>
        <w:t xml:space="preserve"> </w:t>
      </w:r>
    </w:p>
    <w:sectPr w:rsidR="00B04E04" w:rsidRPr="00B04E04">
      <w:footerReference w:type="even" r:id="rId13"/>
      <w:footerReference w:type="defaul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D3589" w14:textId="77777777" w:rsidR="00450E7D" w:rsidRDefault="00450E7D" w:rsidP="00B04E04">
      <w:pPr>
        <w:spacing w:after="0" w:line="240" w:lineRule="auto"/>
      </w:pPr>
      <w:r>
        <w:separator/>
      </w:r>
    </w:p>
  </w:endnote>
  <w:endnote w:type="continuationSeparator" w:id="0">
    <w:p w14:paraId="182A88BA" w14:textId="77777777" w:rsidR="00450E7D" w:rsidRDefault="00450E7D" w:rsidP="00B04E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ple Symbols">
    <w:panose1 w:val="02000000000000000000"/>
    <w:charset w:val="B1"/>
    <w:family w:val="auto"/>
    <w:pitch w:val="variable"/>
    <w:sig w:usb0="800008A3" w:usb1="08007BEB" w:usb2="01840034" w:usb3="00000000" w:csb0="000001F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66661864"/>
      <w:docPartObj>
        <w:docPartGallery w:val="Page Numbers (Bottom of Page)"/>
        <w:docPartUnique/>
      </w:docPartObj>
    </w:sdtPr>
    <w:sdtEndPr>
      <w:rPr>
        <w:rStyle w:val="PageNumber"/>
      </w:rPr>
    </w:sdtEndPr>
    <w:sdtContent>
      <w:p w14:paraId="19161A9E" w14:textId="4AA71C38" w:rsidR="00B04E04" w:rsidRDefault="00B04E04" w:rsidP="0046293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31D60C5" w14:textId="77777777" w:rsidR="00B04E04" w:rsidRDefault="00B04E04" w:rsidP="00B04E0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65911798"/>
      <w:docPartObj>
        <w:docPartGallery w:val="Page Numbers (Bottom of Page)"/>
        <w:docPartUnique/>
      </w:docPartObj>
    </w:sdtPr>
    <w:sdtEndPr>
      <w:rPr>
        <w:rStyle w:val="PageNumber"/>
      </w:rPr>
    </w:sdtEndPr>
    <w:sdtContent>
      <w:p w14:paraId="562710E0" w14:textId="0706DF8A" w:rsidR="00B04E04" w:rsidRDefault="00B04E04" w:rsidP="0046293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4BB0BBF2" w14:textId="77777777" w:rsidR="00B04E04" w:rsidRDefault="00B04E04" w:rsidP="00B04E0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B4495" w14:textId="77777777" w:rsidR="00450E7D" w:rsidRDefault="00450E7D" w:rsidP="00B04E04">
      <w:pPr>
        <w:spacing w:after="0" w:line="240" w:lineRule="auto"/>
      </w:pPr>
      <w:r>
        <w:separator/>
      </w:r>
    </w:p>
  </w:footnote>
  <w:footnote w:type="continuationSeparator" w:id="0">
    <w:p w14:paraId="7FE415EF" w14:textId="77777777" w:rsidR="00450E7D" w:rsidRDefault="00450E7D" w:rsidP="00B04E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A67657"/>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2C1146BE"/>
    <w:multiLevelType w:val="hybridMultilevel"/>
    <w:tmpl w:val="63D69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4C02192"/>
    <w:multiLevelType w:val="multilevel"/>
    <w:tmpl w:val="48F8DC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17471F4"/>
    <w:multiLevelType w:val="hybridMultilevel"/>
    <w:tmpl w:val="12466F78"/>
    <w:lvl w:ilvl="0" w:tplc="058414BC">
      <w:start w:val="1"/>
      <w:numFmt w:val="decimal"/>
      <w:pStyle w:val="figurelist"/>
      <w:lvlText w:val="Figure S%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8833E0F"/>
    <w:multiLevelType w:val="hybridMultilevel"/>
    <w:tmpl w:val="62781F5E"/>
    <w:lvl w:ilvl="0" w:tplc="63E6F956">
      <w:start w:val="1"/>
      <w:numFmt w:val="decimal"/>
      <w:pStyle w:val="tablelist"/>
      <w:lvlText w:val="Table %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BEE2F5B"/>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343975350">
    <w:abstractNumId w:val="4"/>
  </w:num>
  <w:num w:numId="2" w16cid:durableId="1688947015">
    <w:abstractNumId w:val="5"/>
  </w:num>
  <w:num w:numId="3" w16cid:durableId="1761219116">
    <w:abstractNumId w:val="3"/>
  </w:num>
  <w:num w:numId="4" w16cid:durableId="1575628367">
    <w:abstractNumId w:val="3"/>
    <w:lvlOverride w:ilvl="0">
      <w:startOverride w:val="1"/>
    </w:lvlOverride>
  </w:num>
  <w:num w:numId="5" w16cid:durableId="1818909942">
    <w:abstractNumId w:val="3"/>
    <w:lvlOverride w:ilvl="0">
      <w:startOverride w:val="1"/>
    </w:lvlOverride>
  </w:num>
  <w:num w:numId="6" w16cid:durableId="774716739">
    <w:abstractNumId w:val="4"/>
    <w:lvlOverride w:ilvl="0">
      <w:startOverride w:val="1"/>
    </w:lvlOverride>
  </w:num>
  <w:num w:numId="7" w16cid:durableId="1956133942">
    <w:abstractNumId w:val="1"/>
  </w:num>
  <w:num w:numId="8" w16cid:durableId="2050957608">
    <w:abstractNumId w:val="2"/>
  </w:num>
  <w:num w:numId="9" w16cid:durableId="43213496">
    <w:abstractNumId w:val="3"/>
    <w:lvlOverride w:ilvl="0">
      <w:startOverride w:val="1"/>
    </w:lvlOverride>
  </w:num>
  <w:num w:numId="10" w16cid:durableId="609702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2C6"/>
    <w:rsid w:val="0000598F"/>
    <w:rsid w:val="00006D6D"/>
    <w:rsid w:val="00017A6E"/>
    <w:rsid w:val="00017BA1"/>
    <w:rsid w:val="000204BF"/>
    <w:rsid w:val="0002457D"/>
    <w:rsid w:val="00024A48"/>
    <w:rsid w:val="00024C9B"/>
    <w:rsid w:val="00036C1F"/>
    <w:rsid w:val="00036E68"/>
    <w:rsid w:val="0004186A"/>
    <w:rsid w:val="00047174"/>
    <w:rsid w:val="0005275C"/>
    <w:rsid w:val="00053497"/>
    <w:rsid w:val="00061A2B"/>
    <w:rsid w:val="00063D9E"/>
    <w:rsid w:val="00063E9C"/>
    <w:rsid w:val="00065EAF"/>
    <w:rsid w:val="000673CD"/>
    <w:rsid w:val="00073EC8"/>
    <w:rsid w:val="00074EB5"/>
    <w:rsid w:val="00076580"/>
    <w:rsid w:val="00082DAC"/>
    <w:rsid w:val="00083C9C"/>
    <w:rsid w:val="000918A1"/>
    <w:rsid w:val="00092763"/>
    <w:rsid w:val="00094860"/>
    <w:rsid w:val="000A43DB"/>
    <w:rsid w:val="000B3371"/>
    <w:rsid w:val="000B37C4"/>
    <w:rsid w:val="000B3C73"/>
    <w:rsid w:val="000B4766"/>
    <w:rsid w:val="000B7C37"/>
    <w:rsid w:val="000C1154"/>
    <w:rsid w:val="000C2F59"/>
    <w:rsid w:val="000D185F"/>
    <w:rsid w:val="000D1986"/>
    <w:rsid w:val="000D1E46"/>
    <w:rsid w:val="000D48C8"/>
    <w:rsid w:val="000D5220"/>
    <w:rsid w:val="000D5730"/>
    <w:rsid w:val="000D5C2D"/>
    <w:rsid w:val="000E10F1"/>
    <w:rsid w:val="000E145F"/>
    <w:rsid w:val="000E4A2D"/>
    <w:rsid w:val="000E65DC"/>
    <w:rsid w:val="000F000C"/>
    <w:rsid w:val="000F4637"/>
    <w:rsid w:val="000F6FD7"/>
    <w:rsid w:val="000F75DF"/>
    <w:rsid w:val="00105C70"/>
    <w:rsid w:val="00106FBD"/>
    <w:rsid w:val="00115710"/>
    <w:rsid w:val="001165AC"/>
    <w:rsid w:val="001166B8"/>
    <w:rsid w:val="0012520A"/>
    <w:rsid w:val="001254F4"/>
    <w:rsid w:val="00125D27"/>
    <w:rsid w:val="00134E13"/>
    <w:rsid w:val="00136EA5"/>
    <w:rsid w:val="001415FC"/>
    <w:rsid w:val="001422D1"/>
    <w:rsid w:val="0014512F"/>
    <w:rsid w:val="00147D95"/>
    <w:rsid w:val="00150E3F"/>
    <w:rsid w:val="00152D44"/>
    <w:rsid w:val="001611FE"/>
    <w:rsid w:val="001640D8"/>
    <w:rsid w:val="00170CA0"/>
    <w:rsid w:val="001710C2"/>
    <w:rsid w:val="00171ECA"/>
    <w:rsid w:val="00172A3F"/>
    <w:rsid w:val="00174E2C"/>
    <w:rsid w:val="00197D8F"/>
    <w:rsid w:val="001A44C3"/>
    <w:rsid w:val="001A5720"/>
    <w:rsid w:val="001A59B9"/>
    <w:rsid w:val="001D1F54"/>
    <w:rsid w:val="001D2943"/>
    <w:rsid w:val="001E326E"/>
    <w:rsid w:val="001E3E07"/>
    <w:rsid w:val="001E56F7"/>
    <w:rsid w:val="001E6669"/>
    <w:rsid w:val="001E6DAA"/>
    <w:rsid w:val="001E6DAC"/>
    <w:rsid w:val="001F1E74"/>
    <w:rsid w:val="001F7E16"/>
    <w:rsid w:val="00200597"/>
    <w:rsid w:val="002023B0"/>
    <w:rsid w:val="0020453D"/>
    <w:rsid w:val="002047B9"/>
    <w:rsid w:val="00204B3B"/>
    <w:rsid w:val="00206D98"/>
    <w:rsid w:val="00207034"/>
    <w:rsid w:val="00210232"/>
    <w:rsid w:val="002110B8"/>
    <w:rsid w:val="00212BA9"/>
    <w:rsid w:val="00214916"/>
    <w:rsid w:val="0021755B"/>
    <w:rsid w:val="002227FD"/>
    <w:rsid w:val="002241A6"/>
    <w:rsid w:val="00231B28"/>
    <w:rsid w:val="0023238E"/>
    <w:rsid w:val="00233859"/>
    <w:rsid w:val="00233A7F"/>
    <w:rsid w:val="00233B23"/>
    <w:rsid w:val="00234E76"/>
    <w:rsid w:val="00235876"/>
    <w:rsid w:val="00236432"/>
    <w:rsid w:val="00236EBF"/>
    <w:rsid w:val="002430AE"/>
    <w:rsid w:val="002456E4"/>
    <w:rsid w:val="00247470"/>
    <w:rsid w:val="00252045"/>
    <w:rsid w:val="002604F0"/>
    <w:rsid w:val="00264F00"/>
    <w:rsid w:val="00265CE9"/>
    <w:rsid w:val="00283782"/>
    <w:rsid w:val="00293FF3"/>
    <w:rsid w:val="0029678A"/>
    <w:rsid w:val="002B0877"/>
    <w:rsid w:val="002B1455"/>
    <w:rsid w:val="002B25CA"/>
    <w:rsid w:val="002B29F9"/>
    <w:rsid w:val="002C6150"/>
    <w:rsid w:val="002C67D5"/>
    <w:rsid w:val="002D6ED9"/>
    <w:rsid w:val="002E1747"/>
    <w:rsid w:val="002F20A9"/>
    <w:rsid w:val="003005B4"/>
    <w:rsid w:val="00304B4E"/>
    <w:rsid w:val="0031224B"/>
    <w:rsid w:val="0031286A"/>
    <w:rsid w:val="00312CFF"/>
    <w:rsid w:val="00314D50"/>
    <w:rsid w:val="00320FF6"/>
    <w:rsid w:val="0032278A"/>
    <w:rsid w:val="0032298D"/>
    <w:rsid w:val="00324979"/>
    <w:rsid w:val="003266AB"/>
    <w:rsid w:val="0033490D"/>
    <w:rsid w:val="00334B49"/>
    <w:rsid w:val="00340E22"/>
    <w:rsid w:val="003452C6"/>
    <w:rsid w:val="00346527"/>
    <w:rsid w:val="00352DA8"/>
    <w:rsid w:val="00353C25"/>
    <w:rsid w:val="00354418"/>
    <w:rsid w:val="003643D0"/>
    <w:rsid w:val="00364CB1"/>
    <w:rsid w:val="00366A36"/>
    <w:rsid w:val="00374CF8"/>
    <w:rsid w:val="0038013E"/>
    <w:rsid w:val="003801C6"/>
    <w:rsid w:val="00382DCB"/>
    <w:rsid w:val="003847BF"/>
    <w:rsid w:val="003A743E"/>
    <w:rsid w:val="003A74C1"/>
    <w:rsid w:val="003A7B8A"/>
    <w:rsid w:val="003B2432"/>
    <w:rsid w:val="003B4B44"/>
    <w:rsid w:val="003B4EF4"/>
    <w:rsid w:val="003C3F31"/>
    <w:rsid w:val="003C4F8B"/>
    <w:rsid w:val="003C6554"/>
    <w:rsid w:val="003D2A47"/>
    <w:rsid w:val="003D46C7"/>
    <w:rsid w:val="003D5A9B"/>
    <w:rsid w:val="003D7EFC"/>
    <w:rsid w:val="003E29CD"/>
    <w:rsid w:val="003E4EA7"/>
    <w:rsid w:val="003F07B4"/>
    <w:rsid w:val="003F2941"/>
    <w:rsid w:val="003F56EF"/>
    <w:rsid w:val="0040144C"/>
    <w:rsid w:val="00402204"/>
    <w:rsid w:val="0040329C"/>
    <w:rsid w:val="004055DC"/>
    <w:rsid w:val="00411E7C"/>
    <w:rsid w:val="004172C6"/>
    <w:rsid w:val="004206C3"/>
    <w:rsid w:val="004207DC"/>
    <w:rsid w:val="004217B1"/>
    <w:rsid w:val="00423A7D"/>
    <w:rsid w:val="00423FBD"/>
    <w:rsid w:val="00426DE4"/>
    <w:rsid w:val="00431A0A"/>
    <w:rsid w:val="0043370B"/>
    <w:rsid w:val="00435056"/>
    <w:rsid w:val="004350DA"/>
    <w:rsid w:val="00435E65"/>
    <w:rsid w:val="00441663"/>
    <w:rsid w:val="004462AD"/>
    <w:rsid w:val="00450E7D"/>
    <w:rsid w:val="00456522"/>
    <w:rsid w:val="00460745"/>
    <w:rsid w:val="00461772"/>
    <w:rsid w:val="00465650"/>
    <w:rsid w:val="0046589A"/>
    <w:rsid w:val="00470FBE"/>
    <w:rsid w:val="004730CC"/>
    <w:rsid w:val="00474D49"/>
    <w:rsid w:val="00476B81"/>
    <w:rsid w:val="00484607"/>
    <w:rsid w:val="004849EF"/>
    <w:rsid w:val="00484E9D"/>
    <w:rsid w:val="0048627F"/>
    <w:rsid w:val="00487EA3"/>
    <w:rsid w:val="00495DBB"/>
    <w:rsid w:val="004A03E8"/>
    <w:rsid w:val="004A0A18"/>
    <w:rsid w:val="004B421F"/>
    <w:rsid w:val="004C4C43"/>
    <w:rsid w:val="004D0589"/>
    <w:rsid w:val="004D101F"/>
    <w:rsid w:val="004D1C35"/>
    <w:rsid w:val="004D31C3"/>
    <w:rsid w:val="004D3AC2"/>
    <w:rsid w:val="004D4C3E"/>
    <w:rsid w:val="004D7E1C"/>
    <w:rsid w:val="004E1088"/>
    <w:rsid w:val="004E4F5D"/>
    <w:rsid w:val="004E5B95"/>
    <w:rsid w:val="004E7644"/>
    <w:rsid w:val="004F1E8F"/>
    <w:rsid w:val="004F26E8"/>
    <w:rsid w:val="004F40F9"/>
    <w:rsid w:val="004F4B26"/>
    <w:rsid w:val="004F57A2"/>
    <w:rsid w:val="004F7C56"/>
    <w:rsid w:val="00500766"/>
    <w:rsid w:val="00504872"/>
    <w:rsid w:val="00504CFD"/>
    <w:rsid w:val="005050B2"/>
    <w:rsid w:val="005072A2"/>
    <w:rsid w:val="005270AA"/>
    <w:rsid w:val="005446A7"/>
    <w:rsid w:val="00544F4C"/>
    <w:rsid w:val="00552ADB"/>
    <w:rsid w:val="005562E9"/>
    <w:rsid w:val="00557D8A"/>
    <w:rsid w:val="00560900"/>
    <w:rsid w:val="00564DBC"/>
    <w:rsid w:val="00571524"/>
    <w:rsid w:val="0057627B"/>
    <w:rsid w:val="0058566A"/>
    <w:rsid w:val="00591A46"/>
    <w:rsid w:val="005938D7"/>
    <w:rsid w:val="00594693"/>
    <w:rsid w:val="00594D7E"/>
    <w:rsid w:val="00595F10"/>
    <w:rsid w:val="00597899"/>
    <w:rsid w:val="005A1BF6"/>
    <w:rsid w:val="005A2010"/>
    <w:rsid w:val="005A6EC9"/>
    <w:rsid w:val="005B394F"/>
    <w:rsid w:val="005B4301"/>
    <w:rsid w:val="005B50E4"/>
    <w:rsid w:val="005D689C"/>
    <w:rsid w:val="005D74FE"/>
    <w:rsid w:val="005E3C45"/>
    <w:rsid w:val="005E4852"/>
    <w:rsid w:val="005E531A"/>
    <w:rsid w:val="005E7595"/>
    <w:rsid w:val="005F0744"/>
    <w:rsid w:val="005F40C5"/>
    <w:rsid w:val="005F4511"/>
    <w:rsid w:val="00604FBF"/>
    <w:rsid w:val="006101F2"/>
    <w:rsid w:val="00610F8F"/>
    <w:rsid w:val="006134B6"/>
    <w:rsid w:val="006145EC"/>
    <w:rsid w:val="006161B1"/>
    <w:rsid w:val="00620F5E"/>
    <w:rsid w:val="00621BD0"/>
    <w:rsid w:val="00626FAE"/>
    <w:rsid w:val="00633A26"/>
    <w:rsid w:val="00636C0E"/>
    <w:rsid w:val="00671C11"/>
    <w:rsid w:val="00673D27"/>
    <w:rsid w:val="00687169"/>
    <w:rsid w:val="00696598"/>
    <w:rsid w:val="00696736"/>
    <w:rsid w:val="006A64FA"/>
    <w:rsid w:val="006A679B"/>
    <w:rsid w:val="006A6ED1"/>
    <w:rsid w:val="006B2268"/>
    <w:rsid w:val="006B7362"/>
    <w:rsid w:val="006C2A69"/>
    <w:rsid w:val="006C30A0"/>
    <w:rsid w:val="006D106E"/>
    <w:rsid w:val="006D222E"/>
    <w:rsid w:val="006D3E06"/>
    <w:rsid w:val="006E02F5"/>
    <w:rsid w:val="006E34E1"/>
    <w:rsid w:val="006E6914"/>
    <w:rsid w:val="006F33D7"/>
    <w:rsid w:val="006F5CCC"/>
    <w:rsid w:val="00703F1E"/>
    <w:rsid w:val="007041F3"/>
    <w:rsid w:val="00707DD0"/>
    <w:rsid w:val="00710316"/>
    <w:rsid w:val="0072387E"/>
    <w:rsid w:val="00725808"/>
    <w:rsid w:val="00732DDD"/>
    <w:rsid w:val="00734C37"/>
    <w:rsid w:val="00735F6E"/>
    <w:rsid w:val="00736DA8"/>
    <w:rsid w:val="00737266"/>
    <w:rsid w:val="007509C7"/>
    <w:rsid w:val="00752C75"/>
    <w:rsid w:val="00754F8E"/>
    <w:rsid w:val="00755FF5"/>
    <w:rsid w:val="00756E00"/>
    <w:rsid w:val="007575B3"/>
    <w:rsid w:val="00765802"/>
    <w:rsid w:val="007672DA"/>
    <w:rsid w:val="007732C3"/>
    <w:rsid w:val="00776323"/>
    <w:rsid w:val="00776931"/>
    <w:rsid w:val="007771BF"/>
    <w:rsid w:val="007838C1"/>
    <w:rsid w:val="007855F7"/>
    <w:rsid w:val="007957F9"/>
    <w:rsid w:val="00795D2A"/>
    <w:rsid w:val="007A00ED"/>
    <w:rsid w:val="007A4ECF"/>
    <w:rsid w:val="007B1991"/>
    <w:rsid w:val="007B4B05"/>
    <w:rsid w:val="007C1A1E"/>
    <w:rsid w:val="007C2D12"/>
    <w:rsid w:val="007C7BF3"/>
    <w:rsid w:val="007C7C2C"/>
    <w:rsid w:val="007D048A"/>
    <w:rsid w:val="007D0926"/>
    <w:rsid w:val="007D098B"/>
    <w:rsid w:val="007D6495"/>
    <w:rsid w:val="007E3EAA"/>
    <w:rsid w:val="007E7D82"/>
    <w:rsid w:val="007E7F3C"/>
    <w:rsid w:val="007F3879"/>
    <w:rsid w:val="007F4F6C"/>
    <w:rsid w:val="008013CF"/>
    <w:rsid w:val="008017B0"/>
    <w:rsid w:val="0081784E"/>
    <w:rsid w:val="00842B36"/>
    <w:rsid w:val="0084361E"/>
    <w:rsid w:val="00844FEF"/>
    <w:rsid w:val="0084690A"/>
    <w:rsid w:val="008506BE"/>
    <w:rsid w:val="008575CC"/>
    <w:rsid w:val="008646DC"/>
    <w:rsid w:val="00864FC6"/>
    <w:rsid w:val="0086536D"/>
    <w:rsid w:val="008659C9"/>
    <w:rsid w:val="0087273E"/>
    <w:rsid w:val="0087360B"/>
    <w:rsid w:val="0087489F"/>
    <w:rsid w:val="008750D6"/>
    <w:rsid w:val="00875121"/>
    <w:rsid w:val="00875AA3"/>
    <w:rsid w:val="00886CEA"/>
    <w:rsid w:val="00895CE9"/>
    <w:rsid w:val="0089636E"/>
    <w:rsid w:val="008A0930"/>
    <w:rsid w:val="008A2DF9"/>
    <w:rsid w:val="008A3215"/>
    <w:rsid w:val="008B02E4"/>
    <w:rsid w:val="008B11E6"/>
    <w:rsid w:val="008B4497"/>
    <w:rsid w:val="008B5DEE"/>
    <w:rsid w:val="008C1A99"/>
    <w:rsid w:val="008D2E33"/>
    <w:rsid w:val="008D4ED3"/>
    <w:rsid w:val="008D63BF"/>
    <w:rsid w:val="008E06C0"/>
    <w:rsid w:val="008E5BA6"/>
    <w:rsid w:val="008E6277"/>
    <w:rsid w:val="008E6AAA"/>
    <w:rsid w:val="008E7352"/>
    <w:rsid w:val="008F18FB"/>
    <w:rsid w:val="008F1CB6"/>
    <w:rsid w:val="008F416B"/>
    <w:rsid w:val="008F664A"/>
    <w:rsid w:val="00902300"/>
    <w:rsid w:val="00907CE0"/>
    <w:rsid w:val="00911544"/>
    <w:rsid w:val="00914D1E"/>
    <w:rsid w:val="0091724C"/>
    <w:rsid w:val="00921013"/>
    <w:rsid w:val="0092497A"/>
    <w:rsid w:val="009251B1"/>
    <w:rsid w:val="00931378"/>
    <w:rsid w:val="009359CA"/>
    <w:rsid w:val="0094272E"/>
    <w:rsid w:val="009449D2"/>
    <w:rsid w:val="0095236F"/>
    <w:rsid w:val="00952E55"/>
    <w:rsid w:val="00954450"/>
    <w:rsid w:val="00955B29"/>
    <w:rsid w:val="00962094"/>
    <w:rsid w:val="009647B0"/>
    <w:rsid w:val="00967AA5"/>
    <w:rsid w:val="009709BD"/>
    <w:rsid w:val="0098114F"/>
    <w:rsid w:val="00982190"/>
    <w:rsid w:val="00984D69"/>
    <w:rsid w:val="0098588F"/>
    <w:rsid w:val="00991B7C"/>
    <w:rsid w:val="00991E98"/>
    <w:rsid w:val="009A5013"/>
    <w:rsid w:val="009B23CA"/>
    <w:rsid w:val="009B2ACC"/>
    <w:rsid w:val="009B38AF"/>
    <w:rsid w:val="009B45B3"/>
    <w:rsid w:val="009B4BFD"/>
    <w:rsid w:val="009B552C"/>
    <w:rsid w:val="009B5DA0"/>
    <w:rsid w:val="009C5FB9"/>
    <w:rsid w:val="009D0EF3"/>
    <w:rsid w:val="009D1E40"/>
    <w:rsid w:val="009D7B3B"/>
    <w:rsid w:val="009D7E89"/>
    <w:rsid w:val="009E25A5"/>
    <w:rsid w:val="009E5A77"/>
    <w:rsid w:val="009E5E42"/>
    <w:rsid w:val="009E72DF"/>
    <w:rsid w:val="009F0554"/>
    <w:rsid w:val="009F201D"/>
    <w:rsid w:val="009F5490"/>
    <w:rsid w:val="00A00F6E"/>
    <w:rsid w:val="00A0272F"/>
    <w:rsid w:val="00A152CD"/>
    <w:rsid w:val="00A1719B"/>
    <w:rsid w:val="00A22A4E"/>
    <w:rsid w:val="00A24DEF"/>
    <w:rsid w:val="00A24ED1"/>
    <w:rsid w:val="00A26CB1"/>
    <w:rsid w:val="00A46359"/>
    <w:rsid w:val="00A50298"/>
    <w:rsid w:val="00A50984"/>
    <w:rsid w:val="00A52873"/>
    <w:rsid w:val="00A5466F"/>
    <w:rsid w:val="00A565E3"/>
    <w:rsid w:val="00A63A97"/>
    <w:rsid w:val="00A65AE0"/>
    <w:rsid w:val="00A678DE"/>
    <w:rsid w:val="00A67DD3"/>
    <w:rsid w:val="00A707F6"/>
    <w:rsid w:val="00A731CC"/>
    <w:rsid w:val="00A84916"/>
    <w:rsid w:val="00A85DE9"/>
    <w:rsid w:val="00A86731"/>
    <w:rsid w:val="00A9381A"/>
    <w:rsid w:val="00A95E20"/>
    <w:rsid w:val="00AA4479"/>
    <w:rsid w:val="00AA6C91"/>
    <w:rsid w:val="00AB2617"/>
    <w:rsid w:val="00AB2EAB"/>
    <w:rsid w:val="00AB2F43"/>
    <w:rsid w:val="00AB421E"/>
    <w:rsid w:val="00AB7D4C"/>
    <w:rsid w:val="00AC6637"/>
    <w:rsid w:val="00AD0D76"/>
    <w:rsid w:val="00AD38CB"/>
    <w:rsid w:val="00AD5649"/>
    <w:rsid w:val="00AE3003"/>
    <w:rsid w:val="00AE4419"/>
    <w:rsid w:val="00AE482B"/>
    <w:rsid w:val="00AF538A"/>
    <w:rsid w:val="00AF6574"/>
    <w:rsid w:val="00B03E4C"/>
    <w:rsid w:val="00B04E04"/>
    <w:rsid w:val="00B05804"/>
    <w:rsid w:val="00B1037D"/>
    <w:rsid w:val="00B10A93"/>
    <w:rsid w:val="00B1491D"/>
    <w:rsid w:val="00B20D57"/>
    <w:rsid w:val="00B2200E"/>
    <w:rsid w:val="00B318EE"/>
    <w:rsid w:val="00B36401"/>
    <w:rsid w:val="00B563F8"/>
    <w:rsid w:val="00B67D42"/>
    <w:rsid w:val="00B720C7"/>
    <w:rsid w:val="00B75B14"/>
    <w:rsid w:val="00B77F3C"/>
    <w:rsid w:val="00B94127"/>
    <w:rsid w:val="00B96200"/>
    <w:rsid w:val="00B97806"/>
    <w:rsid w:val="00BA16B7"/>
    <w:rsid w:val="00BA401B"/>
    <w:rsid w:val="00BA7654"/>
    <w:rsid w:val="00BB0BC1"/>
    <w:rsid w:val="00BB3C85"/>
    <w:rsid w:val="00BB4072"/>
    <w:rsid w:val="00BB42C5"/>
    <w:rsid w:val="00BB6BCE"/>
    <w:rsid w:val="00BC085A"/>
    <w:rsid w:val="00BC2A6F"/>
    <w:rsid w:val="00BC3BFC"/>
    <w:rsid w:val="00BC4623"/>
    <w:rsid w:val="00BD00EA"/>
    <w:rsid w:val="00BD278C"/>
    <w:rsid w:val="00BD6C39"/>
    <w:rsid w:val="00BD7614"/>
    <w:rsid w:val="00BF21AF"/>
    <w:rsid w:val="00BF26EB"/>
    <w:rsid w:val="00C101AF"/>
    <w:rsid w:val="00C12AFE"/>
    <w:rsid w:val="00C1400A"/>
    <w:rsid w:val="00C16701"/>
    <w:rsid w:val="00C23D41"/>
    <w:rsid w:val="00C31DE0"/>
    <w:rsid w:val="00C34674"/>
    <w:rsid w:val="00C3521B"/>
    <w:rsid w:val="00C44FA1"/>
    <w:rsid w:val="00C50D2C"/>
    <w:rsid w:val="00C53604"/>
    <w:rsid w:val="00C56F59"/>
    <w:rsid w:val="00C6158C"/>
    <w:rsid w:val="00C63A34"/>
    <w:rsid w:val="00C70759"/>
    <w:rsid w:val="00C72273"/>
    <w:rsid w:val="00C74A6F"/>
    <w:rsid w:val="00C83EF5"/>
    <w:rsid w:val="00C84A80"/>
    <w:rsid w:val="00C857AF"/>
    <w:rsid w:val="00C87C27"/>
    <w:rsid w:val="00C9077F"/>
    <w:rsid w:val="00C93396"/>
    <w:rsid w:val="00CA303F"/>
    <w:rsid w:val="00CA63C3"/>
    <w:rsid w:val="00CC1190"/>
    <w:rsid w:val="00CC165F"/>
    <w:rsid w:val="00CC1AD0"/>
    <w:rsid w:val="00CC20E8"/>
    <w:rsid w:val="00CC6ED9"/>
    <w:rsid w:val="00CD41AD"/>
    <w:rsid w:val="00CE0B87"/>
    <w:rsid w:val="00CE3801"/>
    <w:rsid w:val="00CE4A49"/>
    <w:rsid w:val="00CE4B9C"/>
    <w:rsid w:val="00CE4BB0"/>
    <w:rsid w:val="00CE6C0D"/>
    <w:rsid w:val="00D00C16"/>
    <w:rsid w:val="00D127C9"/>
    <w:rsid w:val="00D140B6"/>
    <w:rsid w:val="00D14693"/>
    <w:rsid w:val="00D15973"/>
    <w:rsid w:val="00D170A1"/>
    <w:rsid w:val="00D23790"/>
    <w:rsid w:val="00D25409"/>
    <w:rsid w:val="00D30338"/>
    <w:rsid w:val="00D30964"/>
    <w:rsid w:val="00D30F46"/>
    <w:rsid w:val="00D31BC6"/>
    <w:rsid w:val="00D31C63"/>
    <w:rsid w:val="00D33B1C"/>
    <w:rsid w:val="00D40274"/>
    <w:rsid w:val="00D41ECE"/>
    <w:rsid w:val="00D43DAF"/>
    <w:rsid w:val="00D53FC9"/>
    <w:rsid w:val="00D664F7"/>
    <w:rsid w:val="00D7065A"/>
    <w:rsid w:val="00D70BEE"/>
    <w:rsid w:val="00D70FBD"/>
    <w:rsid w:val="00D76357"/>
    <w:rsid w:val="00D843E4"/>
    <w:rsid w:val="00D86734"/>
    <w:rsid w:val="00D932D6"/>
    <w:rsid w:val="00D9582B"/>
    <w:rsid w:val="00DA2682"/>
    <w:rsid w:val="00DB5721"/>
    <w:rsid w:val="00DB579D"/>
    <w:rsid w:val="00DC45DF"/>
    <w:rsid w:val="00DC6924"/>
    <w:rsid w:val="00DD005C"/>
    <w:rsid w:val="00DD427A"/>
    <w:rsid w:val="00DD5184"/>
    <w:rsid w:val="00DE143A"/>
    <w:rsid w:val="00DE2AFB"/>
    <w:rsid w:val="00DE4418"/>
    <w:rsid w:val="00DE48E0"/>
    <w:rsid w:val="00DF040F"/>
    <w:rsid w:val="00DF091B"/>
    <w:rsid w:val="00DF0FE2"/>
    <w:rsid w:val="00DF7FE8"/>
    <w:rsid w:val="00E0175F"/>
    <w:rsid w:val="00E01DC2"/>
    <w:rsid w:val="00E01F1A"/>
    <w:rsid w:val="00E03178"/>
    <w:rsid w:val="00E124E1"/>
    <w:rsid w:val="00E143E7"/>
    <w:rsid w:val="00E14E5A"/>
    <w:rsid w:val="00E23507"/>
    <w:rsid w:val="00E25496"/>
    <w:rsid w:val="00E34394"/>
    <w:rsid w:val="00E43CDC"/>
    <w:rsid w:val="00E43F81"/>
    <w:rsid w:val="00E45DF8"/>
    <w:rsid w:val="00E464BC"/>
    <w:rsid w:val="00E47734"/>
    <w:rsid w:val="00E47FA0"/>
    <w:rsid w:val="00E50522"/>
    <w:rsid w:val="00E516FF"/>
    <w:rsid w:val="00E55E74"/>
    <w:rsid w:val="00E61A21"/>
    <w:rsid w:val="00E76AAF"/>
    <w:rsid w:val="00E80A9E"/>
    <w:rsid w:val="00E826FE"/>
    <w:rsid w:val="00E833BB"/>
    <w:rsid w:val="00E86DAC"/>
    <w:rsid w:val="00E95641"/>
    <w:rsid w:val="00EA18B0"/>
    <w:rsid w:val="00EB6225"/>
    <w:rsid w:val="00EC0CEE"/>
    <w:rsid w:val="00EC3EDF"/>
    <w:rsid w:val="00EC5CA1"/>
    <w:rsid w:val="00EC6AC7"/>
    <w:rsid w:val="00ED1958"/>
    <w:rsid w:val="00ED318B"/>
    <w:rsid w:val="00ED51D2"/>
    <w:rsid w:val="00EE03E9"/>
    <w:rsid w:val="00EE113D"/>
    <w:rsid w:val="00EE34A7"/>
    <w:rsid w:val="00EE3750"/>
    <w:rsid w:val="00EE6D91"/>
    <w:rsid w:val="00EF165E"/>
    <w:rsid w:val="00EF2DE9"/>
    <w:rsid w:val="00EF7E01"/>
    <w:rsid w:val="00F04044"/>
    <w:rsid w:val="00F07231"/>
    <w:rsid w:val="00F07A57"/>
    <w:rsid w:val="00F11CF4"/>
    <w:rsid w:val="00F14BB7"/>
    <w:rsid w:val="00F2173E"/>
    <w:rsid w:val="00F27220"/>
    <w:rsid w:val="00F3146C"/>
    <w:rsid w:val="00F36838"/>
    <w:rsid w:val="00F36997"/>
    <w:rsid w:val="00F3715E"/>
    <w:rsid w:val="00F5067B"/>
    <w:rsid w:val="00F51FE1"/>
    <w:rsid w:val="00F52776"/>
    <w:rsid w:val="00F56945"/>
    <w:rsid w:val="00F619E3"/>
    <w:rsid w:val="00F61C99"/>
    <w:rsid w:val="00F63C3A"/>
    <w:rsid w:val="00F64B6B"/>
    <w:rsid w:val="00F652BA"/>
    <w:rsid w:val="00F65A73"/>
    <w:rsid w:val="00F74E90"/>
    <w:rsid w:val="00F75D6F"/>
    <w:rsid w:val="00F81C2D"/>
    <w:rsid w:val="00F855DF"/>
    <w:rsid w:val="00F85712"/>
    <w:rsid w:val="00F907E8"/>
    <w:rsid w:val="00F91A46"/>
    <w:rsid w:val="00F925A9"/>
    <w:rsid w:val="00F95457"/>
    <w:rsid w:val="00FA18EA"/>
    <w:rsid w:val="00FB3F80"/>
    <w:rsid w:val="00FB4976"/>
    <w:rsid w:val="00FC3244"/>
    <w:rsid w:val="00FC4CF9"/>
    <w:rsid w:val="00FC6719"/>
    <w:rsid w:val="00FC7D06"/>
    <w:rsid w:val="00FD5DB9"/>
    <w:rsid w:val="00FE0479"/>
    <w:rsid w:val="00FE21B0"/>
    <w:rsid w:val="00FE7935"/>
    <w:rsid w:val="00FF028B"/>
    <w:rsid w:val="00FF2809"/>
    <w:rsid w:val="00FF36EE"/>
    <w:rsid w:val="61EBDB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A95E5"/>
  <w15:docId w15:val="{71587810-E903-1A40-9D3F-A2DD97E56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uiPriority w:val="9"/>
    <w:qFormat/>
    <w:pPr>
      <w:keepNext/>
      <w:keepLines/>
      <w:numPr>
        <w:numId w:val="2"/>
      </w:numPr>
      <w:outlineLvl w:val="0"/>
    </w:pPr>
    <w:rPr>
      <w:b/>
    </w:rPr>
  </w:style>
  <w:style w:type="paragraph" w:styleId="Heading2">
    <w:name w:val="heading 2"/>
    <w:basedOn w:val="Normal"/>
    <w:next w:val="Normal"/>
    <w:uiPriority w:val="9"/>
    <w:unhideWhenUsed/>
    <w:qFormat/>
    <w:pPr>
      <w:keepNext/>
      <w:keepLines/>
      <w:numPr>
        <w:ilvl w:val="1"/>
        <w:numId w:val="2"/>
      </w:numPr>
      <w:outlineLvl w:val="1"/>
    </w:pPr>
    <w:rPr>
      <w:i/>
    </w:rPr>
  </w:style>
  <w:style w:type="paragraph" w:styleId="Heading3">
    <w:name w:val="heading 3"/>
    <w:basedOn w:val="Normal"/>
    <w:next w:val="Normal"/>
    <w:uiPriority w:val="9"/>
    <w:unhideWhenUsed/>
    <w:qFormat/>
    <w:pPr>
      <w:keepNext/>
      <w:keepLines/>
      <w:numPr>
        <w:ilvl w:val="2"/>
        <w:numId w:val="2"/>
      </w:numPr>
      <w:outlineLvl w:val="2"/>
    </w:pPr>
    <w:rPr>
      <w:sz w:val="20"/>
      <w:szCs w:val="20"/>
    </w:rPr>
  </w:style>
  <w:style w:type="paragraph" w:styleId="Heading4">
    <w:name w:val="heading 4"/>
    <w:basedOn w:val="Normal"/>
    <w:next w:val="Normal"/>
    <w:uiPriority w:val="9"/>
    <w:semiHidden/>
    <w:unhideWhenUsed/>
    <w:qFormat/>
    <w:pPr>
      <w:keepNext/>
      <w:keepLines/>
      <w:numPr>
        <w:ilvl w:val="3"/>
        <w:numId w:val="2"/>
      </w:numPr>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numPr>
        <w:ilvl w:val="4"/>
        <w:numId w:val="2"/>
      </w:numPr>
      <w:spacing w:before="240" w:after="80"/>
      <w:outlineLvl w:val="4"/>
    </w:pPr>
    <w:rPr>
      <w:color w:val="666666"/>
    </w:rPr>
  </w:style>
  <w:style w:type="paragraph" w:styleId="Heading6">
    <w:name w:val="heading 6"/>
    <w:basedOn w:val="Normal"/>
    <w:next w:val="Normal"/>
    <w:uiPriority w:val="9"/>
    <w:semiHidden/>
    <w:unhideWhenUsed/>
    <w:qFormat/>
    <w:pPr>
      <w:keepNext/>
      <w:keepLines/>
      <w:numPr>
        <w:ilvl w:val="5"/>
        <w:numId w:val="2"/>
      </w:numPr>
      <w:spacing w:before="240" w:after="80"/>
      <w:outlineLvl w:val="5"/>
    </w:pPr>
    <w:rPr>
      <w:i/>
      <w:color w:val="666666"/>
    </w:rPr>
  </w:style>
  <w:style w:type="paragraph" w:styleId="Heading7">
    <w:name w:val="heading 7"/>
    <w:basedOn w:val="Normal"/>
    <w:next w:val="Normal"/>
    <w:link w:val="Heading7Char"/>
    <w:uiPriority w:val="9"/>
    <w:semiHidden/>
    <w:unhideWhenUsed/>
    <w:qFormat/>
    <w:rsid w:val="004F57A2"/>
    <w:pPr>
      <w:keepNext/>
      <w:keepLines/>
      <w:numPr>
        <w:ilvl w:val="6"/>
        <w:numId w:val="2"/>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4F57A2"/>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F57A2"/>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39"/>
    <w:rsid w:val="002110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F4B26"/>
    <w:rPr>
      <w:color w:val="0000FF" w:themeColor="hyperlink"/>
      <w:u w:val="single"/>
    </w:rPr>
  </w:style>
  <w:style w:type="character" w:styleId="UnresolvedMention">
    <w:name w:val="Unresolved Mention"/>
    <w:basedOn w:val="DefaultParagraphFont"/>
    <w:uiPriority w:val="99"/>
    <w:semiHidden/>
    <w:unhideWhenUsed/>
    <w:rsid w:val="004F4B26"/>
    <w:rPr>
      <w:color w:val="605E5C"/>
      <w:shd w:val="clear" w:color="auto" w:fill="E1DFDD"/>
    </w:rPr>
  </w:style>
  <w:style w:type="paragraph" w:styleId="ListParagraph">
    <w:name w:val="List Paragraph"/>
    <w:basedOn w:val="Normal"/>
    <w:uiPriority w:val="34"/>
    <w:qFormat/>
    <w:rsid w:val="0038013E"/>
    <w:pPr>
      <w:ind w:left="720"/>
      <w:contextualSpacing/>
    </w:pPr>
  </w:style>
  <w:style w:type="character" w:customStyle="1" w:styleId="Heading7Char">
    <w:name w:val="Heading 7 Char"/>
    <w:basedOn w:val="DefaultParagraphFont"/>
    <w:link w:val="Heading7"/>
    <w:uiPriority w:val="9"/>
    <w:semiHidden/>
    <w:rsid w:val="004F57A2"/>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4F57A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F57A2"/>
    <w:rPr>
      <w:rFonts w:asciiTheme="majorHAnsi" w:eastAsiaTheme="majorEastAsia" w:hAnsiTheme="majorHAnsi" w:cstheme="majorBidi"/>
      <w:i/>
      <w:iCs/>
      <w:color w:val="272727" w:themeColor="text1" w:themeTint="D8"/>
      <w:sz w:val="21"/>
      <w:szCs w:val="21"/>
    </w:rPr>
  </w:style>
  <w:style w:type="paragraph" w:customStyle="1" w:styleId="tablelist">
    <w:name w:val="table list"/>
    <w:basedOn w:val="ListParagraph"/>
    <w:qFormat/>
    <w:rsid w:val="00435E65"/>
    <w:pPr>
      <w:numPr>
        <w:numId w:val="1"/>
      </w:numPr>
    </w:pPr>
  </w:style>
  <w:style w:type="paragraph" w:customStyle="1" w:styleId="figurelist">
    <w:name w:val="figure list"/>
    <w:basedOn w:val="Heading3"/>
    <w:qFormat/>
    <w:rsid w:val="000E4A2D"/>
    <w:pPr>
      <w:numPr>
        <w:ilvl w:val="0"/>
        <w:numId w:val="3"/>
      </w:numPr>
    </w:pPr>
  </w:style>
  <w:style w:type="paragraph" w:styleId="NormalWeb">
    <w:name w:val="Normal (Web)"/>
    <w:basedOn w:val="Normal"/>
    <w:uiPriority w:val="99"/>
    <w:semiHidden/>
    <w:unhideWhenUsed/>
    <w:rsid w:val="00F85712"/>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csl-entry">
    <w:name w:val="csl-entry"/>
    <w:basedOn w:val="DefaultParagraphFont"/>
    <w:rsid w:val="00F85712"/>
  </w:style>
  <w:style w:type="character" w:styleId="FollowedHyperlink">
    <w:name w:val="FollowedHyperlink"/>
    <w:basedOn w:val="DefaultParagraphFont"/>
    <w:uiPriority w:val="99"/>
    <w:semiHidden/>
    <w:unhideWhenUsed/>
    <w:rsid w:val="008A0930"/>
    <w:rPr>
      <w:color w:val="800080" w:themeColor="followedHyperlink"/>
      <w:u w:val="single"/>
    </w:rPr>
  </w:style>
  <w:style w:type="paragraph" w:styleId="Footer">
    <w:name w:val="footer"/>
    <w:basedOn w:val="Normal"/>
    <w:link w:val="FooterChar"/>
    <w:uiPriority w:val="99"/>
    <w:unhideWhenUsed/>
    <w:rsid w:val="00B04E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4E04"/>
    <w:rPr>
      <w:lang w:val="en-GB"/>
    </w:rPr>
  </w:style>
  <w:style w:type="character" w:styleId="PageNumber">
    <w:name w:val="page number"/>
    <w:basedOn w:val="DefaultParagraphFont"/>
    <w:uiPriority w:val="99"/>
    <w:semiHidden/>
    <w:unhideWhenUsed/>
    <w:rsid w:val="00B04E04"/>
  </w:style>
  <w:style w:type="paragraph" w:styleId="Revision">
    <w:name w:val="Revision"/>
    <w:hidden/>
    <w:uiPriority w:val="99"/>
    <w:semiHidden/>
    <w:rsid w:val="00364CB1"/>
    <w:pPr>
      <w:spacing w:after="0" w:line="240" w:lineRule="auto"/>
    </w:pPr>
    <w:rPr>
      <w:lang w:val="en-GB"/>
    </w:rPr>
  </w:style>
  <w:style w:type="character" w:styleId="CommentReference">
    <w:name w:val="annotation reference"/>
    <w:basedOn w:val="DefaultParagraphFont"/>
    <w:uiPriority w:val="99"/>
    <w:semiHidden/>
    <w:unhideWhenUsed/>
    <w:rsid w:val="00DF091B"/>
    <w:rPr>
      <w:sz w:val="16"/>
      <w:szCs w:val="16"/>
    </w:rPr>
  </w:style>
  <w:style w:type="paragraph" w:styleId="CommentText">
    <w:name w:val="annotation text"/>
    <w:basedOn w:val="Normal"/>
    <w:link w:val="CommentTextChar"/>
    <w:uiPriority w:val="99"/>
    <w:semiHidden/>
    <w:unhideWhenUsed/>
    <w:rsid w:val="00DF091B"/>
    <w:pPr>
      <w:spacing w:line="240" w:lineRule="auto"/>
    </w:pPr>
    <w:rPr>
      <w:sz w:val="20"/>
      <w:szCs w:val="20"/>
    </w:rPr>
  </w:style>
  <w:style w:type="character" w:customStyle="1" w:styleId="CommentTextChar">
    <w:name w:val="Comment Text Char"/>
    <w:basedOn w:val="DefaultParagraphFont"/>
    <w:link w:val="CommentText"/>
    <w:uiPriority w:val="99"/>
    <w:semiHidden/>
    <w:rsid w:val="00DF091B"/>
    <w:rPr>
      <w:sz w:val="20"/>
      <w:szCs w:val="20"/>
      <w:lang w:val="en-GB"/>
    </w:rPr>
  </w:style>
  <w:style w:type="paragraph" w:styleId="CommentSubject">
    <w:name w:val="annotation subject"/>
    <w:basedOn w:val="CommentText"/>
    <w:next w:val="CommentText"/>
    <w:link w:val="CommentSubjectChar"/>
    <w:uiPriority w:val="99"/>
    <w:semiHidden/>
    <w:unhideWhenUsed/>
    <w:rsid w:val="00DF091B"/>
    <w:rPr>
      <w:b/>
      <w:bCs/>
    </w:rPr>
  </w:style>
  <w:style w:type="character" w:customStyle="1" w:styleId="CommentSubjectChar">
    <w:name w:val="Comment Subject Char"/>
    <w:basedOn w:val="CommentTextChar"/>
    <w:link w:val="CommentSubject"/>
    <w:uiPriority w:val="99"/>
    <w:semiHidden/>
    <w:rsid w:val="00DF091B"/>
    <w:rPr>
      <w:b/>
      <w:bCs/>
      <w:sz w:val="20"/>
      <w:szCs w:val="20"/>
      <w:lang w:val="en-GB"/>
    </w:rPr>
  </w:style>
  <w:style w:type="numbering" w:customStyle="1" w:styleId="CurrentList1">
    <w:name w:val="Current List1"/>
    <w:uiPriority w:val="99"/>
    <w:rsid w:val="000E4A2D"/>
    <w:pPr>
      <w:numPr>
        <w:numId w:val="10"/>
      </w:numPr>
    </w:pPr>
  </w:style>
  <w:style w:type="paragraph" w:styleId="Bibliography">
    <w:name w:val="Bibliography"/>
    <w:basedOn w:val="Normal"/>
    <w:next w:val="Normal"/>
    <w:uiPriority w:val="37"/>
    <w:unhideWhenUsed/>
    <w:rsid w:val="009D0EF3"/>
    <w:pPr>
      <w:tabs>
        <w:tab w:val="left" w:pos="260"/>
      </w:tabs>
      <w:spacing w:after="0" w:line="48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867117">
      <w:bodyDiv w:val="1"/>
      <w:marLeft w:val="0"/>
      <w:marRight w:val="0"/>
      <w:marTop w:val="0"/>
      <w:marBottom w:val="0"/>
      <w:divBdr>
        <w:top w:val="none" w:sz="0" w:space="0" w:color="auto"/>
        <w:left w:val="none" w:sz="0" w:space="0" w:color="auto"/>
        <w:bottom w:val="none" w:sz="0" w:space="0" w:color="auto"/>
        <w:right w:val="none" w:sz="0" w:space="0" w:color="auto"/>
      </w:divBdr>
    </w:div>
    <w:div w:id="276955912">
      <w:bodyDiv w:val="1"/>
      <w:marLeft w:val="0"/>
      <w:marRight w:val="0"/>
      <w:marTop w:val="0"/>
      <w:marBottom w:val="0"/>
      <w:divBdr>
        <w:top w:val="none" w:sz="0" w:space="0" w:color="auto"/>
        <w:left w:val="none" w:sz="0" w:space="0" w:color="auto"/>
        <w:bottom w:val="none" w:sz="0" w:space="0" w:color="auto"/>
        <w:right w:val="none" w:sz="0" w:space="0" w:color="auto"/>
      </w:divBdr>
    </w:div>
    <w:div w:id="980501875">
      <w:bodyDiv w:val="1"/>
      <w:marLeft w:val="0"/>
      <w:marRight w:val="0"/>
      <w:marTop w:val="0"/>
      <w:marBottom w:val="0"/>
      <w:divBdr>
        <w:top w:val="none" w:sz="0" w:space="0" w:color="auto"/>
        <w:left w:val="none" w:sz="0" w:space="0" w:color="auto"/>
        <w:bottom w:val="none" w:sz="0" w:space="0" w:color="auto"/>
        <w:right w:val="none" w:sz="0" w:space="0" w:color="auto"/>
      </w:divBdr>
    </w:div>
    <w:div w:id="1056007037">
      <w:bodyDiv w:val="1"/>
      <w:marLeft w:val="0"/>
      <w:marRight w:val="0"/>
      <w:marTop w:val="0"/>
      <w:marBottom w:val="0"/>
      <w:divBdr>
        <w:top w:val="none" w:sz="0" w:space="0" w:color="auto"/>
        <w:left w:val="none" w:sz="0" w:space="0" w:color="auto"/>
        <w:bottom w:val="none" w:sz="0" w:space="0" w:color="auto"/>
        <w:right w:val="none" w:sz="0" w:space="0" w:color="auto"/>
      </w:divBdr>
    </w:div>
    <w:div w:id="1322001911">
      <w:bodyDiv w:val="1"/>
      <w:marLeft w:val="0"/>
      <w:marRight w:val="0"/>
      <w:marTop w:val="0"/>
      <w:marBottom w:val="0"/>
      <w:divBdr>
        <w:top w:val="none" w:sz="0" w:space="0" w:color="auto"/>
        <w:left w:val="none" w:sz="0" w:space="0" w:color="auto"/>
        <w:bottom w:val="none" w:sz="0" w:space="0" w:color="auto"/>
        <w:right w:val="none" w:sz="0" w:space="0" w:color="auto"/>
      </w:divBdr>
    </w:div>
    <w:div w:id="1632519703">
      <w:bodyDiv w:val="1"/>
      <w:marLeft w:val="0"/>
      <w:marRight w:val="0"/>
      <w:marTop w:val="0"/>
      <w:marBottom w:val="0"/>
      <w:divBdr>
        <w:top w:val="none" w:sz="0" w:space="0" w:color="auto"/>
        <w:left w:val="none" w:sz="0" w:space="0" w:color="auto"/>
        <w:bottom w:val="none" w:sz="0" w:space="0" w:color="auto"/>
        <w:right w:val="none" w:sz="0" w:space="0" w:color="auto"/>
      </w:divBdr>
    </w:div>
    <w:div w:id="1809588066">
      <w:bodyDiv w:val="1"/>
      <w:marLeft w:val="0"/>
      <w:marRight w:val="0"/>
      <w:marTop w:val="0"/>
      <w:marBottom w:val="0"/>
      <w:divBdr>
        <w:top w:val="none" w:sz="0" w:space="0" w:color="auto"/>
        <w:left w:val="none" w:sz="0" w:space="0" w:color="auto"/>
        <w:bottom w:val="none" w:sz="0" w:space="0" w:color="auto"/>
        <w:right w:val="none" w:sz="0" w:space="0" w:color="auto"/>
      </w:divBdr>
    </w:div>
    <w:div w:id="18918403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five.epicollect.ne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sv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0A54A81-BD57-E844-B9DA-F978BF750929}">
  <we:reference id="wa200002534" version="7.0.0.1" store="en-GB" storeType="OMEX"/>
  <we:alternateReferences>
    <we:reference id="wa200002534" version="7.0.0.1" store="" storeType="OMEX"/>
  </we:alternateReferences>
  <we:properties>
    <we:property name="sciwheel-csl-items" value="[{&quot;title&quot;:&quot;Watershocks: Wetlands and Human Migration in the Sahel&quot;,&quot;publisher&quot;:&quot;Wetlands International&quot;,&quot;id&quot;:&quot;18010874&quot;,&quot;type&quot;:&quot;book&quot;,&quot;author&quot;:[{&quot;family&quot;:&quot;Madgwick&quot;},{&quot;family&quot;:&quot;Jane&quot;,&quot;given&quot;:&quot;F&quot;},{&quot;family&quot;:&quot;Oakes&quot;},{&quot;family&quot;:&quot;Robert&quot;},{&quot;family&quot;:&quot;Pearce&quot;},{&quot;family&quot;:&quot;Fred&quot;},{&quot;family&quot;:&quot;Tharme&quot;},{&quot;family&quot;:&quot;Rebecca&quot;}],&quot;issued&quot;:{&quot;date-parts&quot;:[[&quot;2017&quot;,&quot;5&quot;,&quot;1&quot;]]},&quot;ISBN&quot;:&quot;9789058820143&quot;,&quot;citation-label&quot;:&quot;18010874&quot;},{&quot;title&quot;:&quot;Worth of wetlands: revised global monetary values of coastal and inland wetland ecosystem services&quot;,&quot;page&quot;:&quot;1189&quot;,&quot;volume&quot;:&quot;70&quot;,&quot;issue&quot;:&quot;8&quot;,&quot;journalAbbreviation&quot;:&quot;Mar. Freshwater Res.&quot;,&quot;id&quot;:&quot;18010867&quot;,&quot;type&quot;:&quot;article-journal&quot;,&quot;container-title&quot;:&quot;Marine and Freshwater Research&quot;,&quot;container-title-short&quot;:&quot;Mar. Freshwater Res.&quot;,&quot;abstract&quot;:&quot;In this study, we have re-estimated the 2011 global monetary values of natural wetland ecosystem services using new information on the areas of different coastal and inland wetland classes, and included estimates for forested wetlands. The 2011 global monetary value of natural wetland ecosystem services is now estimated at Int$47.4 trillion per year, 43.5% of the value of all natural biomes. Despite forming only ~15% of global natural wetland area, coastal wetlands are estimated to deliver 43.1% (Int$20.4 trillion per year) of the total global ecosystem services monetary value of all natural wetland classes. There is a need to further refine these value estimates by factoring in other determinants of wetland ecosystem service monetary value, by disaggregating unit monetary values to each wetland class and by updating unit monetary values with more recent sources, especially for ecosystem services with no, or few, value estimates.&quot;,&quot;author&quot;:[{&quot;family&quot;:&quot;Davidson&quot;,&quot;given&quot;:&quot;N C&quot;},{&quot;family&quot;:&quot;van Dam&quot;,&quot;given&quot;:&quot;A A&quot;},{&quot;family&quot;:&quot;Finlayson&quot;,&quot;given&quot;:&quot;C M&quot;},{&quot;family&quot;:&quot;McInnes&quot;,&quot;given&quot;:&quot;R J&quot;}],&quot;issued&quot;:{&quot;date-parts&quot;:[[&quot;2019&quot;]]},&quot;DOI&quot;:&quot;10.1071/MF18391&quot;,&quot;citation-label&quot;:&quot;18010867&quot;},{&quot;title&quot;:&quot;The Sahel: Challenges and opportunities&quot;,&quot;page&quot;:&quot;765-779&quot;,&quot;volume&quot;:&quot;103&quot;,&quot;issue&quot;:&quot;918&quot;,&quot;journalAbbreviation&quot;:&quot;irc&quot;,&quot;id&quot;:&quot;16415246&quot;,&quot;type&quot;:&quot;article-journal&quot;,&quot;container-title&quot;:&quot;International Review of the Red Cross&quot;,&quot;container-title-short&quot;:&quot;irc&quot;,&quot;author&quot;:[{&quot;family&quot;:&quot;Dieng&quot;,&quot;given&quot;:&quot;Adama&quot;}],&quot;issued&quot;:{&quot;date-parts&quot;:[[&quot;2021&quot;,&quot;12&quot;]]},&quot;DOI&quot;:&quot;10.1017/S1816383122000339&quot;,&quot;citation-label&quot;:&quot;16415246&quot;},{&quot;title&quot;:&quot;Mapping underrepresented land cover heterogeneity in arid regions: The Sahara-Sahel example&quot;,&quot;page&quot;:&quot;211-220&quot;,&quot;volume&quot;:&quot;146&quot;,&quot;journalAbbreviation&quot;:&quot;ISPRS Journal of Photogrammetry and Remote Sensing&quot;,&quot;id&quot;:&quot;18010830&quot;,&quot;type&quot;:&quot;article-journal&quot;,&quot;container-title&quot;:&quot;ISPRS Journal of Photogrammetry and Remote Sensing&quot;,&quot;container-title-short&quot;:&quot;ISPRS Journal of Photogrammetry and Remote Sensing&quot;,&quot;abstract&quot;:&quot;Abstract   Arid and semi-arid regions comprise high levels of habitat heterogeneity that usually remain undetected in available global land cover (GLC) maps. The Sahara-Sahel is a critical example of how GLC maps continue to oversimplify the complex landscape structure of deserts and arid environments. In this work, we aimed to overcome a generalized knowledge gap concerning the LC heterogeneity of arid regions, using the largest warm desert in the world as a study case. We intended to generate a 30x30m land cover map for the Wet Sahara-Sahel and compare the results with currently available GLC maps (ESA GlobCover and GlobeLand30). To do this, we collected an extensive series of GPS field control points (n = 48,857) and associated descriptive traits. We included the control points in a Hierarchical Cluster Analyses (HCA), and the resulting groups were used as LC classes in Landsat 8 image classification. Independent control points (n = 10,082) suggested a robust regional classification (83.3% correctly classified) of land cover. The Sahara was the most representative ecoregion (around 70% of the study area) and exhibited the highest classification accuracy (91%). The final map is composed by a total of 18 classes, providing a higher number of classes for arid regions than currently available GLC maps. Differences were evident amongst the arid regions of the Sahara, in which the derived map presented a more complex land cover in comparison to the analysed GLC maps. The map derived in this study constitutes framework data for mapping local land cover information and for improving the effectiveness of the assessment and management of natural resources for both local human populations and biodiversity. These results highlight the prevalent need for improving local and regional land cover categorization of arid and semi-arid regions, areas whose land cover heterogeneity is still underrepresented by most of the available GLC maps.&quot;,&quot;author&quot;:[{&quot;family&quot;:&quot;Campos&quot;,&quot;given&quot;:&quot;João Carlos&quot;},{&quot;family&quot;:&quot;Brito&quot;,&quot;given&quot;:&quot;José Carlos&quot;}],&quot;issued&quot;:{&quot;date-parts&quot;:[[&quot;2018&quot;,&quot;12&quot;]]},&quot;DOI&quot;:&quot;10.1016/j.isprsjprs.2018.09.012&quot;,&quot;citation-label&quot;:&quot;18010830&quot;},{&quot;title&quot;:&quot;Atmospheric science. Drought in the Sahel.&quot;,&quot;page&quot;:&quot;999-1000&quot;,&quot;volume&quot;:&quot;302&quot;,&quot;issue&quot;:&quot;5647&quot;,&quot;journalAbbreviation&quot;:&quot;Science&quot;,&quot;id&quot;:&quot;18010822&quot;,&quot;type&quot;:&quot;article-journal&quot;,&quot;container-title&quot;:&quot;Science&quot;,&quot;container-title-short&quot;:&quot;Science&quot;,&quot;author&quot;:[{&quot;family&quot;:&quot;Zeng&quot;,&quot;given&quot;:&quot;Ning&quot;}],&quot;issued&quot;:{&quot;date-parts&quot;:[[&quot;2003&quot;,&quot;11&quot;,&quot;7&quot;]]},&quot;DOI&quot;:&quot;10.1126/science.1090849&quot;,&quot;PMID&quot;:&quot;14605358&quot;,&quot;citation-label&quot;:&quot;18010822&quot;},{&quot;title&quot;:&quot;Global annual wetland dataset at 30 m with a fine classification system from 2000 to 2022.&quot;,&quot;page&quot;:&quot;310&quot;,&quot;volume&quot;:&quot;11&quot;,&quot;issue&quot;:&quot;1&quot;,&quot;journalAbbreviation&quot;:&quot;Sci. Data&quot;,&quot;id&quot;:&quot;18010690&quot;,&quot;type&quot;:&quot;article-journal&quot;,&quot;container-title&quot;:&quot;Scientific data&quot;,&quot;container-title-short&quot;:&quot;Sci. Data&quot;,&quot;abstract&quot;:&quot;Wetlands play a key role in maintaining ecological balance and climate regulation. However, due to the complex and variable spectral characteristics of wetlands, there are no publicly available global 30-meter time-series wetland dynamic datasets at present. In this study, we present novel global 30 m annual wetland maps (GWL_FCS30D) using time-series Landsat imagery on the Google Earth Engine platform, covering the period of 2000-2022 and containing eight wetland subcategories. Specifically, we make full use of our prior globally distributed wetland training sample pool, and adopt the local adaptive classification and spatiotemporal consistency checking algorithm to generate annual wetland maps. The GWL_FCS30D maps were found to achieve an overall accuracy and Kappa coefficient of 86.95 ± 0.44% and 0.822, respectively, in 2020, and show great temporal variability in the United States and the European Union. We expect the dataset would provide vital support for wetland ecosystems protection and sustainable development.© 2024. The Author(s).&quot;,&quot;author&quot;:[{&quot;family&quot;:&quot;Zhang&quot;,&quot;given&quot;:&quot;Xiao&quot;},{&quot;family&quot;:&quot;Liu&quot;,&quot;given&quot;:&quot;Liangyun&quot;},{&quot;family&quot;:&quot;Zhao&quot;,&quot;given&quot;:&quot;Tingting&quot;},{&quot;family&quot;:&quot;Wang&quot;,&quot;given&quot;:&quot;Jinqing&quot;},{&quot;family&quot;:&quot;Liu&quot;,&quot;given&quot;:&quot;Wendi&quot;},{&quot;family&quot;:&quot;Chen&quot;,&quot;given&quot;:&quot;Xidong&quot;}],&quot;issued&quot;:{&quot;date-parts&quot;:[[&quot;2024&quot;,&quot;3&quot;,&quot;23&quot;]]},&quot;DOI&quot;:&quot;10.1038/s41597-024-03143-0&quot;,&quot;PMID&quot;:&quot;38521796&quot;,&quot;PMCID&quot;:&quot;PMC10960823&quot;,&quot;citation-label&quot;:&quot;18010690&quot;},{&quot;title&quot;:&quot;Limited evidence that tropical inundation and precipitation powered the 2020-2022 methane surge.&quot;,&quot;page&quot;:&quot;450&quot;,&quot;volume&quot;:&quot;6&quot;,&quot;issue&quot;:&quot;1&quot;,&quot;journalAbbreviation&quot;:&quot;Commun. Earth Environ.&quot;,&quot;id&quot;:&quot;18010662&quot;,&quot;type&quot;:&quot;article-journal&quot;,&quot;container-title&quot;:&quot;Communications Earth &amp; Environment&quot;,&quot;container-title-short&quot;:&quot;Commun. Earth Environ.&quot;,&quot;abstract&quot;:&quot;Atmospheric methane is rapidly increasing, and the role of tropical wetlands in the global methane budget raises concerns about a potential climate-wetland-methane feedback. Here we use Cyclone Global Navigation Satellite System observations to map monthly inundation dynamics across the tropics (37.4°S to 37.4°N) at high resolution (0.01° × 0.01°) over five years (2018-2023), including cloud and vegetation-covered regions. Our results reveal large seasonal and interannual variations in wetland extent not captured in traditional inundation products, with strong El Niño-Southern Oscillation correlations. Tropical wetland models driven by these inundation observations, independent precipitation products, or constrained by total water observations do not show growth in wetland methane emissions from 2020-2022. This suggests the 2020-2022 growth in methane is best explained by other methane source or sink mechanisms, or that non-hydrological controls are more important in tropical wetland methane emissions than currently understood.© The Author(s) 2025.&quot;,&quot;author&quot;:[{&quot;family&quot;:&quot;Xiong&quot;,&quot;given&quot;:&quot;Ying&quot;},{&quot;family&quot;:&quot;Kort&quot;,&quot;given&quot;:&quot;Eric A&quot;},{&quot;family&quot;:&quot;Bloom&quot;,&quot;given&quot;:&quot;A Anthony&quot;},{&quot;family&quot;:&quot;Gerlein-Safdi&quot;,&quot;given&quot;:&quot;Cynthia&quot;},{&quot;family&quot;:&quot;Pu&quot;,&quot;given&quot;:&quot;Tianjiao&quot;},{&quot;family&quot;:&quot;Bilir&quot;,&quot;given&quot;:&quot;Eren&quot;}],&quot;issued&quot;:{&quot;date-parts&quot;:[[&quot;2025&quot;,&quot;6&quot;,&quot;10&quot;]]},&quot;DOI&quot;:&quot;10.1038/s43247-025-02438-3&quot;,&quot;PMID&quot;:&quot;40510550&quot;,&quot;citation-label&quot;:&quot;18010662&quot;},{&quot;title&quot;:&quot;Assessing objective techniques for gauge-based analyses of global daily precipitation&quot;,&quot;volume&quot;:&quot;113&quot;,&quot;issue&quot;:&quot;D4&quot;,&quot;journalAbbreviation&quot;:&quot;J. Geophys. Res.&quot;,&quot;id&quot;:&quot;9100981&quot;,&quot;type&quot;:&quot;article-journal&quot;,&quot;container-title&quot;:&quot;Journal of Geophysical Research&quot;,&quot;container-title-short&quot;:&quot;J. Geophys. Res.&quot;,&quot;author&quot;:[{&quot;family&quot;:&quot;Chen&quot;,&quot;given&quot;:&quot;Mingyue&quot;},{&quot;family&quot;:&quot;Shi&quot;,&quot;given&quot;:&quot;Wei&quot;},{&quot;family&quot;:&quot;Xie&quot;,&quot;given&quot;:&quot;Pingping&quot;},{&quot;family&quot;:&quot;Silva&quot;,&quot;given&quot;:&quot;Viviane B. S.&quot;},{&quot;family&quot;:&quot;Kousky&quot;,&quot;given&quot;:&quot;Vernon E.&quot;},{&quot;family&quot;:&quot;Wayne Higgins&quot;,&quot;given&quot;:&quot;R&quot;},{&quot;family&quot;:&quot;Janowiak&quot;,&quot;given&quot;:&quot;John E.&quot;}],&quot;issued&quot;:{&quot;date-parts&quot;:[[&quot;2008&quot;,&quot;2&quot;,&quot;29&quot;]]},&quot;DOI&quot;:&quot;10.1029/2007JD009132&quot;,&quot;citation-label&quot;:&quot;9100981&quot;},{&quot;title&quot;:&quot;A new, long-term daily satellite-based rainfall dataset for operational monitoring in Africa.&quot;,&quot;page&quot;:&quot;170063&quot;,&quot;volume&quot;:&quot;4&quot;,&quot;journalAbbreviation&quot;:&quot;Sci. Data&quot;,&quot;id&quot;:&quot;5645627&quot;,&quot;type&quot;:&quot;article-journal&quot;,&quot;container-title&quot;:&quot;Scientific data&quot;,&quot;container-title-short&quot;:&quot;Sci. Data&quot;,&quot;abstract&quot;:&quot;Rainfall information is essential for many applications in developing countries, and yet, continually updated information at fine temporal and spatial scales is lacking. In Africa, rainfall monitoring is particularly important given the close relationship between climate and livelihoods. To address this information gap, this paper describes two versions (v2.0 and v3.0) of the TAMSAT daily rainfall dataset based on high-resolution thermal-infrared observations, available from 1983 to the present. The datasets are based on the disaggregation of 10-day (v2.0) and 5-day (v3.0) total TAMSAT rainfall estimates to a daily time-step using daily cold cloud duration. This approach provides temporally consistent historic and near-real time daily rainfall information for all of Africa. The estimates have been evaluated using ground-based observations from five countries with contrasting rainfall climates (Mozambique, Niger, Nigeria, Uganda, and Zambia) and compared to other satellite-based rainfall estimates. The results indicate that both versions of the TAMSAT daily estimates reliably detects rainy days, but have less skill in capturing rainfall amount-results that are comparable to the other datasets.&quot;,&quot;author&quot;:[{&quot;family&quot;:&quot;Maidment&quot;,&quot;given&quot;:&quot;Ross I&quot;},{&quot;family&quot;:&quot;Grimes&quot;,&quot;given&quot;:&quot;David&quot;},{&quot;family&quot;:&quot;Black&quot;,&quot;given&quot;:&quot;Emily&quot;},{&quot;family&quot;:&quot;Tarnavsky&quot;,&quot;given&quot;:&quot;Elena&quot;},{&quot;family&quot;:&quot;Young&quot;,&quot;given&quot;:&quot;Matthew&quot;},{&quot;family&quot;:&quot;Greatrex&quot;,&quot;given&quot;:&quot;Helen&quot;},{&quot;family&quot;:&quot;Allan&quot;,&quot;given&quot;:&quot;Richard P&quot;},{&quot;family&quot;:&quot;Stein&quot;,&quot;given&quot;:&quot;Thorwald&quot;},{&quot;family&quot;:&quot;Nkonde&quot;,&quot;given&quot;:&quot;Edson&quot;},{&quot;family&quot;:&quot;Senkunda&quot;,&quot;given&quot;:&quot;Samuel&quot;},{&quot;family&quot;:&quot;Alcántara&quot;,&quot;given&quot;:&quot;Edgar Misael Uribe&quot;}],&quot;issued&quot;:{&quot;date-parts&quot;:[[&quot;2017&quot;,&quot;5&quot;,&quot;23&quot;]]},&quot;DOI&quot;:&quot;10.1038/sdata.2017.63&quot;,&quot;PMID&quot;:&quot;28534868&quot;,&quot;PMCID&quot;:&quot;PMC5441289&quot;,&quot;citation-label&quot;:&quot;5645627&quot;},{&quot;title&quot;:&quot;Present and future of heavy rain events in the sahel and west africa&quot;,&quot;page&quot;:&quot;965&quot;,&quot;volume&quot;:&quot;14&quot;,&quot;issue&quot;:&quot;6&quot;,&quot;journalAbbreviation&quot;:&quot;Atmosphere&quot;,&quot;id&quot;:&quot;18010651&quot;,&quot;type&quot;:&quot;article-journal&quot;,&quot;container-title&quot;:&quot;Atmosphere&quot;,&quot;container-title-short&quot;:&quot;Atmosphere&quot;,&quot;abstract&quot;:&quot;Gridding precipitation datasets for climate information services in the semi-arid regions of West Africa has some advantages due to the limited spatial coverage of rain gauges, the limited accessibility to in situ gauge data, and the important progress in earth observation and climate modelling systems. Can accurate information on the occurrence of heavy precipitation in this area be provided using gridded datasets? Furthermore, what about the future of heavy rain events (HRE) under the shared socioeconomic pathways (SSP) of the Inter-Sectoral Impact Model Intercomparison Project (i.e., SSP126 and SSP370)? To address these questions, daily precipitation records from 17 datasets, including satellite estimates, interpolated rain gauge data, reanalysis, merged products, a regional climate model, and global circulation models, are examined and compared to quality-controlled in situ data from 69 rain gauges evenly distributed across West Africa’s semi-arid region. The results show a consensus increase in the occurrence of HRE, between observational and gridded data. All datasets showed three categories of HRE every season, but these categories had lower intensities and an overstated frequency of occurrence in gridded datasets compared to in situ rain gauge data. Eight out of 17 databases (~47%) show significant positive trends and only one showed a significant negative trend, indicating an increase in HRE for all categories in this region. The future evolution of HRE considered under the shared socioeconomic pathways SSP1-2.6 and SSP3-7.0, showed a trend toward the intensification of these events. In fact, the mean of the ensemble of the models showed significant changes toward higher values in the probability distribution function of the future HRE in West Africa, which may likely trigger more floods and landslides in the region. The use of gridded data sets can provide accurate information on the occurrence of heavy precipitation in the West African Sahel. However, it is important to consider the representation of heavy rain events in each data set when monitoring extreme precipitation, although in situ gauge records are preferred to define extreme rainfall locally.&quot;,&quot;author&quot;:[{&quot;family&quot;:&quot;Saley&quot;,&quot;given&quot;:&quot;Inoussa Abdou&quot;},{&quot;family&quot;:&quot;Salack&quot;,&quot;given&quot;:&quot;Seyni&quot;}],&quot;issued&quot;:{&quot;date-parts&quot;:[[&quot;2023&quot;,&quot;5&quot;,&quot;31&quot;]]},&quot;DOI&quot;:&quot;10.3390/atmos14060965&quot;,&quot;citation-label&quot;:&quot;18010651&quot;},{&quot;title&quot;:&quot;Unravelling biodiversity, evolution and threats to conservation in the Sahara-Sahel.&quot;,&quot;page&quot;:&quot;215-231&quot;,&quot;volume&quot;:&quot;89&quot;,&quot;issue&quot;:&quot;1&quot;,&quot;journalAbbreviation&quot;:&quot;Biol. Rev. Camb. Philos. Soc.&quot;,&quot;id&quot;:&quot;243143&quot;,&quot;type&quot;:&quot;article-journal&quot;,&quot;container-title&quot;:&quot;Biological Reviews of the Cambridge Philosophical Society&quot;,&quot;container-title-short&quot;:&quot;Biol. Rev. Camb. Philos. Soc.&quot;,&quot;author&quot;:[{&quot;family&quot;:&quot;Brito&quot;,&quot;given&quot;:&quot;José C&quot;},{&quot;family&quot;:&quot;Godinho&quot;,&quot;given&quot;:&quot;Raquel&quot;},{&quot;family&quot;:&quot;Martínez-Freiría&quot;,&quot;given&quot;:&quot;Fernando&quot;},{&quot;family&quot;:&quot;Pleguezuelos&quot;,&quot;given&quot;:&quot;Juan M&quot;},{&quot;family&quot;:&quot;Rebelo&quot;,&quot;given&quot;:&quot;Hugo&quot;},{&quot;family&quot;:&quot;Santos&quot;,&quot;given&quot;:&quot;Xavier&quot;},{&quot;family&quot;:&quot;Vale&quot;,&quot;given&quot;:&quot;Cândida G&quot;},{&quot;family&quot;:&quot;Velo-Antón&quot;,&quot;given&quot;:&quot;Guillermo&quot;},{&quot;family&quot;:&quot;Boratyński&quot;,&quot;given&quot;:&quot;Zbyszek&quot;},{&quot;family&quot;:&quot;Carvalho&quot;,&quot;given&quot;:&quot;Sílvia B&quot;},{&quot;family&quot;:&quot;Ferreira&quot;,&quot;given&quot;:&quot;Sónia&quot;},{&quot;family&quot;:&quot;Gonçalves&quot;,&quot;given&quot;:&quot;Duarte V&quot;},{&quot;family&quot;:&quot;Silva&quot;,&quot;given&quot;:&quot;Teresa L&quot;},{&quot;family&quot;:&quot;Tarroso&quot;,&quot;given&quot;:&quot;Pedro&quot;},{&quot;family&quot;:&quot;Campos&quot;,&quot;given&quot;:&quot;João C&quot;},{&quot;family&quot;:&quot;Leite&quot;,&quot;given&quot;:&quot;João V&quot;},{&quot;family&quot;:&quot;Nogueira&quot;,&quot;given&quot;:&quot;Joana&quot;},{&quot;family&quot;:&quot;Alvares&quot;,&quot;given&quot;:&quot;Francisco&quot;},{&quot;family&quot;:&quot;Sillero&quot;,&quot;given&quot;:&quot;Neftalí&quot;},{&quot;family&quot;:&quot;Sow&quot;,&quot;given&quot;:&quot;Andack S&quot;},{&quot;family&quot;:&quot;Fahd&quot;,&quot;given&quot;:&quot;Soumia&quot;},{&quot;family&quot;:&quot;Crochet&quot;,&quot;given&quot;:&quot;Pierre-André&quot;},{&quot;family&quot;:&quot;Carranza&quot;,&quot;given&quot;:&quot;Salvador&quot;}],&quot;issued&quot;:{&quot;date-parts&quot;:[[&quot;2014&quot;,&quot;2&quot;]]},&quot;DOI&quot;:&quot;10.1111/brv.12049&quot;,&quot;PMID&quot;:&quot;23848599&quot;,&quot;citation-label&quot;:&quot;243143&quot;},{&quot;title&quot;:&quot;Is wetter better? Exploring agriculturally-relevant rainfall characteristics over four decades in the Sahel&quot;,&quot;page&quot;:&quot;035002&quot;,&quot;volume&quot;:&quot;16&quot;,&quot;issue&quot;:&quot;3&quot;,&quot;journalAbbreviation&quot;:&quot;Environmental Research Letters&quot;,&quot;id&quot;:&quot;10604131&quot;,&quot;type&quot;:&quot;article-journal&quot;,&quot;container-title&quot;:&quot;Environmental Research Letters&quot;,&quot;container-title-short&quot;:&quot;Environmental Research Letters&quot;,&quot;author&quot;:[{&quot;family&quot;:&quot;Porkka&quot;,&quot;given&quot;:&quot;Miina&quot;},{&quot;family&quot;:&quot;Wang-Erlandsson&quot;,&quot;given&quot;:&quot;Lan&quot;},{&quot;family&quot;:&quot;Destouni&quot;,&quot;given&quot;:&quot;Georgia&quot;},{&quot;family&quot;:&quot;Ekman&quot;,&quot;given&quot;:&quot;Annica M L&quot;},{&quot;family&quot;:&quot;Rockström&quot;,&quot;given&quot;:&quot;Johan&quot;},{&quot;family&quot;:&quot;Gordon&quot;,&quot;given&quot;:&quot;Line J&quot;}],&quot;issued&quot;:{&quot;date-parts&quot;:[[&quot;2021&quot;,&quot;3&quot;,&quot;1&quot;]]},&quot;DOI&quot;:&quot;10.1088/1748-9326/abdd57&quot;,&quot;citation-label&quot;:&quot;10604131&quot;},{&quot;title&quot;:&quot;Extreme rainfall in East Africa, October 2019–January 2020 and context under future climate change&quot;,&quot;page&quot;:&quot;26-31&quot;,&quot;volume&quot;:&quot;76&quot;,&quot;issue&quot;:&quot;1&quot;,&quot;journalAbbreviation&quot;:&quot;wea.&quot;,&quot;id&quot;:&quot;14472466&quot;,&quot;type&quot;:&quot;article-journal&quot;,&quot;container-title&quot;:&quot;Weather&quot;,&quot;container-title-short&quot;:&quot;wea.&quot;,&quot;author&quot;:[{&quot;family&quot;:&quot;Wainwright&quot;,&quot;given&quot;:&quot;Caroline M.&quot;},{&quot;family&quot;:&quot;Finney&quot;,&quot;given&quot;:&quot;Declan L.&quot;},{&quot;family&quot;:&quot;Kilavi&quot;,&quot;given&quot;:&quot;Mary&quot;},{&quot;family&quot;:&quot;Black&quot;,&quot;given&quot;:&quot;Emily&quot;},{&quot;family&quot;:&quot;Marsham&quot;,&quot;given&quot;:&quot;John H.&quot;}],&quot;issued&quot;:{&quot;date-parts&quot;:[[&quot;2021&quot;,&quot;1&quot;]]},&quot;DOI&quot;:&quot;10.1002/wea.3824&quot;,&quot;citation-label&quot;:&quot;14472466&quot;},{&quot;title&quot;:&quot;Challenges to the integration of wetlands into IWRM: The case of the Inner Niger Delta (Mali) and the Lobau Floodplain (Austria)&quot;,&quot;page&quot;:&quot;58-68&quot;,&quot;volume&quot;:&quot;34&quot;,&quot;journalAbbreviation&quot;:&quot;Environmental Science &amp; Policy&quot;,&quot;id&quot;:&quot;10075658&quot;,&quot;type&quot;:&quot;article-journal&quot;,&quot;container-title&quot;:&quot;Environmental Science &amp; Policy&quot;,&quot;container-title-short&quot;:&quot;Environmental Science &amp; Policy&quot;,&quot;abstract&quot;:&quot;Wetlands are too often perceived as standalone elements and are poorly integrated into river basin management. The Ramsar Convention recognizes the critical linkage between wetlands, water and river basin management; the governments that are party to the Convention have committed to conserving their wetlands within a framework of Integrated Water Resources Management (IWRM). The “Critical Path” approach and related guidance have been adopted by Contracting Parties of the Ramsar Convention in order to effectively integrate wetland conservation and management into river basin management planning and decision-making. However, despite international acceptance of the approach, it is not widely implemented. This paper provides one of the first case study based assessments of the Critical Path approach. The analysis of two contrasting Ramsar sites is presented in order to better understand the barriers to implementation in different development contexts. These are the Lobau wetland in Austria, where management institutions and regulatory frameworks are highly developed; and the Inner Niger Delta in Mali, where the capacity to implement IWRM is less evolved. A planning approach is proposed which involves structured and transparent methods for assessing ecosystem services and institutional capacity, and is suitable as a tool for identifying, prioritizing and negotiating trade-offs in ecosystem services and improving livelihoods. Based on the analysis, two main barriers to implementation are identified; mismatch between local and national or basin level priorities, and a lack of recognition of the ecosystem services provided by wetlands.&quot;,&quot;author&quot;:[{&quot;family&quot;:&quot;Rebelo&quot;,&quot;given&quot;:&quot;L M&quot;},{&quot;family&quot;:&quot;Johnston&quot;,&quot;given&quot;:&quot;R&quot;},{&quot;family&quot;:&quot;Hein&quot;,&quot;given&quot;:&quot;T&quot;},{&quot;family&quot;:&quot;Weigelhofer&quot;,&quot;given&quot;:&quot;G&quot;},{&quot;family&quot;:&quot;D’Haeyer&quot;,&quot;given&quot;:&quot;T&quot;},{&quot;family&quot;:&quot;Kone&quot;,&quot;given&quot;:&quot;B&quot;},{&quot;family&quot;:&quot;Cools&quot;,&quot;given&quot;:&quot;J&quot;}],&quot;issued&quot;:{&quot;date-parts&quot;:[[&quot;2013&quot;,&quot;12&quot;]]},&quot;DOI&quot;:&quot;10.1016/j.envsci.2012.11.002&quot;,&quot;citation-label&quot;:&quot;10075658&quot;},{&quot;title&quot;:&quot;Outbreak Mechanism of Locust Plagues under Dynamic Drought and Flood Environments Based on Time Series Remote Sensing Data: Implication for Identifying Potential High-Risk Locust Areas&quot;,&quot;page&quot;:&quot;5206&quot;,&quot;volume&quot;:&quot;15&quot;,&quot;issue&quot;:&quot;21&quot;,&quot;journalAbbreviation&quot;:&quot;Remote Sens (Basel)&quot;,&quot;id&quot;:&quot;17729729&quot;,&quot;type&quot;:&quot;article-journal&quot;,&quot;container-title&quot;:&quot;Remote Sensing&quot;,&quot;container-title-short&quot;:&quot;Remote Sens (Basel)&quot;,&quot;abstract&quot;:&quot;Locust plagues inflict severe agricultural damage. Climate change-induced extreme events like rainfall and droughts have expanded locust habitats. These new areas, often beyond routine monitoring, could become potential high-risk locust areas (PHRLA). Quantitatively understanding the outbreak mechanism driving drought and flood dynamics is crucial for identifying PHRLA, but such studies are scarce. To address this gap, we conducted a case study on locust outbreaks in Xiashan Reservoir, the largest reservoir in Shandong Province, China, in 2017 and 2018. Using time series satellite imagery and meteorological products, we quantitatively analyzed how drought–flood dynamics and temperature affect locust habitats, reproduction, and aggregation. Employing an object-oriented random forest classifier, we generated locust habitat classification maps with 93.77% average overall accuracy and Kappa coefficient of 0.90. Combined with meteorological analysis, we found that three consecutive drought years from 2014 to 2016 reduced the water surface area by 75%, expanding suitable habitats (primarily reeds and weeds) to cover 60% of the reservoir. Warm winters and high temperatures during locust key growth periods, coupled with expanding suitable habitats, promoted multi-generational locust reproduction. However, substantial flooding events in 2017 and 2018, driven by plentiful rainfall during key growth periods, reduced suitable habitats by approximately 54% and 29%, respectively. This compression led to high locust density, causing the locust plague and high-density spots of locusts (HDSL). Our study elucidates locust plague outbreak mechanisms under dynamic drought and flood environments. Based on this, we propose an approach to identify PHRLA by monitoring changes in drought and flood patterns around water bodies and variations in suitable habitat size and distribution, as well as surrounding topography. These findings hold significant implications for enhancing locust monitoring and early warning capabilities, reducing pesticide usage, and ensuring food and ecological security and sustainable agriculture.&quot;,&quot;author&quot;:[{&quot;family&quot;:&quot;Zhao&quot;,&quot;given&quot;:&quot;Longlong&quot;},{&quot;family&quot;:&quot;Li&quot;,&quot;given&quot;:&quot;Hongzhong&quot;},{&quot;family&quot;:&quot;Huang&quot;,&quot;given&quot;:&quot;Wenjiang&quot;},{&quot;family&quot;:&quot;Dong&quot;,&quot;given&quot;:&quot;Yingying&quot;},{&quot;family&quot;:&quot;Geng&quot;,&quot;given&quot;:&quot;Yun&quot;},{&quot;family&quot;:&quot;Ma&quot;,&quot;given&quot;:&quot;Huiqin&quot;},{&quot;family&quot;:&quot;Chen&quot;,&quot;given&quot;:&quot;Jinsong&quot;}],&quot;issued&quot;:{&quot;date-parts&quot;:[[&quot;2023&quot;,&quot;11&quot;,&quot;2&quot;]]},&quot;DOI&quot;:&quot;10.3390/rs15215206&quot;,&quot;citation-label&quot;:&quot;17729729&quot;},{&quot;title&quot;:&quot;Desert locust outbreaks in the Sahel: resource competition, predation and ecological effects of pest control&quot;,&quot;page&quot;:&quot;323-329&quot;,&quot;volume&quot;:&quot;44&quot;,&quot;issue&quot;:&quot;2&quot;,&quot;journalAbbreviation&quot;:&quot;J. Appl. Ecol.&quot;,&quot;id&quot;:&quot;17729722&quot;,&quot;type&quot;:&quot;article-journal&quot;,&quot;container-title&quot;:&quot;Journal of Applied Ecology&quot;,&quot;container-title-short&quot;:&quot;J. Appl. Ecol.&quot;,&quot;abstract&quot;:&quot;SUMMARY:\nThe desert locust Schistocerca gregaria has been considered a major pest since ancient times, as locust swarms holding millions of insects move throughout the Sahel, northern Africa, Middle East and southern Mediterranean countries. Most research has focused on the biology of the species and the development of strategies in locust control, but little is known about the place of locust pulses within food webs in which domestic herbivores and European long‐distance migratory birds are also involved.\nWe evaluated the role of desert locust outbreaks in the food webs of the Sahelian region. We analysed the potential resource competition with domestic herbivores and the response of a generalist predator by assessing its diet and foraging behaviour in relation to the availability of locusts.\nStable isotope analyses revealed that little trophic overlap exists between desert locusts that feed on trees and shrubs and nomadic livestock that feed on grasses in the Sahelian savanna grasslands. These results suggest low resource competition with the main human resources in regions with little agricultural development. In addition, during an outbreak that occurred in winter, desert locusts were consumed by resident and long‐distance migrant birds. This accounted for significant changes in the diet and foraging strategies of wintering generalist predators such as the black kite Milvus migrans .\nSynthesis and applications . Our results raise questions about the need for spraying locust swarms in areas where economic losses are scant and wintering populations of European trans‐Saharan migrant birds are high. A deeper insight into the ecological and economical role of these outbreaks is urgently needed, together with a reassessment of desert locust control in the Sahel.\n&quot;,&quot;author&quot;:[{&quot;family&quot;:&quot;Sánchez‐Zapata&quot;,&quot;given&quot;:&quot;JOSÉ A.&quot;},{&quot;family&quot;:&quot;Donázar&quot;,&quot;given&quot;:&quot;JOSÉ A.&quot;},{&quot;family&quot;:&quot;Delgado&quot;,&quot;given&quot;:&quot;ANTONIO&quot;},{&quot;family&quot;:&quot;Forero&quot;,&quot;given&quot;:&quot;MANUELA G.&quot;},{&quot;family&quot;:&quot;Ceballos&quot;,&quot;given&quot;:&quot;OLGA&quot;},{&quot;family&quot;:&quot;Hiraldo&quot;,&quot;given&quot;:&quot;FERNANDO&quot;}],&quot;issued&quot;:{&quot;date-parts&quot;:[[&quot;2007&quot;,&quot;4&quot;]]},&quot;DOI&quot;:&quot;10.1111/j.1365-2664.2007.01279.x&quot;,&quot;citation-label&quot;:&quot;17729722&quot;},{&quot;title&quot;:&quot;Elevating larval source management as a key strategy for controlling malaria and other vector-borne diseases in Africa.&quot;,&quot;page&quot;:&quot;45&quot;,&quot;volume&quot;:&quot;18&quot;,&quot;issue&quot;:&quot;1&quot;,&quot;journalAbbreviation&quot;:&quot;Parasit. Vectors&quot;,&quot;id&quot;:&quot;17482056&quot;,&quot;type&quot;:&quot;article-journal&quot;,&quot;container-title&quot;:&quot;Parasites &amp; vectors&quot;,&quot;container-title-short&quot;:&quot;Parasit. Vectors&quot;,&quot;author&quot;:[{&quot;family&quot;:&quot;Okumu&quot;,&quot;given&quot;:&quot;Fredros&quot;},{&quot;family&quot;:&quot;Moore&quot;,&quot;given&quot;:&quot;Sarah J&quot;},{&quot;family&quot;:&quot;Selvaraj&quot;,&quot;given&quot;:&quot;Prashanth&quot;},{&quot;family&quot;:&quot;Yafin&quot;,&quot;given&quot;:&quot;Arnon Houri&quot;},{&quot;family&quot;:&quot;Juma&quot;,&quot;given&quot;:&quot;Elijah O&quot;},{&quot;family&quot;:&quot;Shirima&quot;,&quot;given&quot;:&quot;GloriaSalome G&quot;},{&quot;family&quot;:&quot;Majambere&quot;,&quot;given&quot;:&quot;Silas&quot;},{&quot;family&quot;:&quot;Hardy&quot;,&quot;given&quot;:&quot;Andy&quot;},{&quot;family&quot;:&quot;Knols&quot;,&quot;given&quot;:&quot;Bart G J&quot;},{&quot;family&quot;:&quot;Msugupakulya&quot;,&quot;given&quot;:&quot;Betwel J&quot;},{&quot;family&quot;:&quot;Finda&quot;,&quot;given&quot;:&quot;Marceline&quot;},{&quot;family&quot;:&quot;Kahamba&quot;,&quot;given&quot;:&quot;Najat&quot;},{&quot;family&quot;:&quot;Thomsen&quot;,&quot;given&quot;:&quot;Edward&quot;},{&quot;family&quot;:&quot;Ahmed&quot;,&quot;given&quot;:&quot;Ayman&quot;},{&quot;family&quot;:&quot;Zohdy&quot;,&quot;given&quot;:&quot;Sarah&quot;},{&quot;family&quot;:&quot;Chaki&quot;,&quot;given&quot;:&quot;Prosper&quot;},{&quot;family&quot;:&quot;DeChant&quot;,&quot;given&quot;:&quot;Peter&quot;},{&quot;family&quot;:&quot;Fornace&quot;,&quot;given&quot;:&quot;Kimberly&quot;},{&quot;family&quot;:&quot;Govella&quot;,&quot;given&quot;:&quot;Nicodem&quot;},{&quot;family&quot;:&quot;Gowelo&quot;,&quot;given&quot;:&quot;Steven&quot;},{&quot;family&quot;:&quot;Hakizimana&quot;,&quot;given&quot;:&quot;Emmanuel&quot;},{&quot;family&quot;:&quot;Hamainza&quot;,&quot;given&quot;:&quot;Busiku&quot;},{&quot;family&quot;:&quot;Ijumba&quot;,&quot;given&quot;:&quot;Jasper N&quot;},{&quot;family&quot;:&quot;Jany&quot;,&quot;given&quot;:&quot;William&quot;},{&quot;family&quot;:&quot;Kafy&quot;,&quot;given&quot;:&quot;Hmooda Toto&quot;},{&quot;family&quot;:&quot;Kaindoa&quot;,&quot;given&quot;:&quot;Emmanuel W&quot;},{&quot;family&quot;:&quot;Kariuki&quot;,&quot;given&quot;:&quot;Lenson&quot;},{&quot;family&quot;:&quot;Kiware&quot;,&quot;given&quot;:&quot;Samson&quot;},{&quot;family&quot;:&quot;Kweka&quot;,&quot;given&quot;:&quot;Eliningaya J&quot;},{&quot;family&quot;:&quot;Lobo&quot;,&quot;given&quot;:&quot;Neil F&quot;},{&quot;family&quot;:&quot;Marrenjo&quot;,&quot;given&quot;:&quot;Dulcisária&quot;},{&quot;family&quot;:&quot;Matoke-Muhia&quot;,&quot;given&quot;:&quot;Damaris&quot;},{&quot;family&quot;:&quot;Mbogo&quot;,&quot;given&quot;:&quot;Charles&quot;},{&quot;family&quot;:&quot;McCann&quot;,&quot;given&quot;:&quot;Robert S&quot;},{&quot;family&quot;:&quot;Monroe&quot;,&quot;given&quot;:&quot;April&quot;},{&quot;family&quot;:&quot;Ndenga&quot;,&quot;given&quot;:&quot;Bryson Alberto&quot;},{&quot;family&quot;:&quot;Ngowo&quot;,&quot;given&quot;:&quot;Halfan S&quot;},{&quot;family&quot;:&quot;Ochomo&quot;,&quot;given&quot;:&quot;Eric&quot;},{&quot;family&quot;:&quot;Opiyo&quot;,&quot;given&quot;:&quot;Mercy&quot;},{&quot;family&quot;:&quot;Reithinger&quot;,&quot;given&quot;:&quot;Richard&quot;},{&quot;family&quot;:&quot;Sikaala&quot;,&quot;given&quot;:&quot;Chadwick Haadezu&quot;},{&quot;family&quot;:&quot;Tatarsky&quot;,&quot;given&quot;:&quot;Allison&quot;},{&quot;family&quot;:&quot;Takudzwa&quot;,&quot;given&quot;:&quot;David&quot;},{&quot;family&quot;:&quot;Trujillano&quot;,&quot;given&quot;:&quot;Fedra&quot;},{&quot;family&quot;:&quot;Sherrard-Smith&quot;,&quot;given&quot;:&quot;Ellie&quot;}],&quot;issued&quot;:{&quot;date-parts&quot;:[[&quot;2025&quot;,&quot;2&quot;,&quot;7&quot;]]},&quot;DOI&quot;:&quot;10.1186/s13071-024-06621-x&quot;,&quot;PMID&quot;:&quot;39915825&quot;,&quot;PMCID&quot;:&quot;PMC11803969&quot;,&quot;citation-label&quot;:&quot;17482056&quot;},{&quot;title&quot;:&quot;Global Health Observatory&quot;,&quot;accessed&quot;:{&quot;date-parts&quot;:[[&quot;2025&quot;,&quot;4&quot;,&quot;8&quot;]]},&quot;id&quot;:&quot;17729515&quot;,&quot;type&quot;:&quot;webpage&quot;,&quot;author&quot;:[{&quot;family&quot;:&quot;World Health Organization&quot;}],&quot;issued&quot;:{&quot;date-parts&quot;:[[&quot;2024&quot;]]},&quot;URL&quot;:&quot;https://www.who.int/data/gho&quot;,&quot;citation-label&quot;:&quot;17729515&quot;},{&quot;title&quot;:&quot;Flooding and drying mechanisms of the seasonal Sudd flood plains along the Bahr el Jebel in southern Sudan&quot;,&quot;page&quot;:&quot;4-16&quot;,&quot;volume&quot;:&quot;55&quot;,&quot;issue&quot;:&quot;1&quot;,&quot;journalAbbreviation&quot;:&quot;Hydrological Sciences Journal&quot;,&quot;id&quot;:&quot;17729280&quot;,&quot;type&quot;:&quot;article-journal&quot;,&quot;container-title&quot;:&quot;Hydrological Sciences Journal&quot;,&quot;container-title-short&quot;:&quot;Hydrological Sciences Journal&quot;,&quot;author&quot;:[{&quot;family&quot;:&quot;Petersen&quot;,&quot;given&quot;:&quot;G&quot;},{&quot;family&quot;:&quot;Fohrer&quot;,&quot;given&quot;:&quot;N&quot;}],&quot;issued&quot;:{&quot;date-parts&quot;:[[&quot;2010&quot;,&quot;3&quot;,&quot;10&quot;]]},&quot;DOI&quot;:&quot;10.1080/02626660903525278&quot;,&quot;citation-label&quot;:&quot;17729280&quot;},{&quot;title&quot;:&quot;Impacts of climate change on environmental flows in West Africa's Upper Niger Basin and the Inner Niger Delta&quot;,&quot;page&quot;:&quot;958-974&quot;,&quot;volume&quot;:&quot;52&quot;,&quot;issue&quot;:&quot;4&quot;,&quot;journalAbbreviation&quot;:&quot;Hydrology Research&quot;,&quot;id&quot;:&quot;12767189&quot;,&quot;type&quot;:&quot;article-journal&quot;,&quot;container-title&quot;:&quot;Hydrology Research&quot;,&quot;container-title-short&quot;:&quot;Hydrology Research&quot;,&quot;abstract&quot;:&quot;Modified water regimes due to climate change are likely to be a major cause of freshwater ecosystem alteration. General Circulation Model (GCM)-related uncertainty in environmental flows at 12 gauging stations in the Upper Niger Basin and flooding within the Inner Niger Delta is assessed using the Ecological Risk due to the Flow Alteration method and a hydrological model forced with projections from 12 GCM groups for RCP 4.5 in the 2050s and 2080s. Risk varies between GCM groups and stations. It increases into the future and is larger for changes in low flows compared to high flows. For the ensemble mean, a small minority of GCM groups projects no risk for high flows in the 2050s (low risk otherwise). This reverses for the 2080s. For low flows, no risk is limited to three stations in the 2050s and one station in the 2080s, the other experience either low or medium risk. There is greater consistency in the risk of change in flood extent, especially in the dry season (medium risk for all groups and the ensemble mean). Some (low or medium) risk of change in peak annual inundation is projected for most groups. Changing flood patterns have implications for wetland ecology and ecosystem services.&quot;,&quot;author&quot;:[{&quot;family&quot;:&quot;Thompson&quot;,&quot;given&quot;:&quot;Julian R.&quot;},{&quot;family&quot;:&quot;Laizé&quot;,&quot;given&quot;:&quot;Cédric L. R.&quot;},{&quot;family&quot;:&quot;Acreman&quot;,&quot;given&quot;:&quot;Michael C.&quot;},{&quot;family&quot;:&quot;Crawley&quot;,&quot;given&quot;:&quot;Andrew&quot;},{&quot;family&quot;:&quot;Kingston&quot;,&quot;given&quot;:&quot;Daniel G.&quot;}],&quot;issued&quot;:{&quot;date-parts&quot;:[[&quot;2021&quot;,&quot;8&quot;,&quot;1&quot;]]},&quot;DOI&quot;:&quot;10.2166/nh.2021.041&quot;,&quot;citation-label&quot;:&quot;12767189&quot;},{&quot;title&quot;:&quot;Inner niger delta inundation extent (2010–2022) based on landsat imagery and the google earth engine&quot;,&quot;page&quot;:&quot;1853&quot;,&quot;volume&quot;:&quot;16&quot;,&quot;issue&quot;:&quot;11&quot;,&quot;journalAbbreviation&quot;:&quot;Remote Sens (Basel)&quot;,&quot;id&quot;:&quot;17682863&quot;,&quot;type&quot;:&quot;article-journal&quot;,&quot;container-title&quot;:&quot;Remote Sensing&quot;,&quot;container-title-short&quot;:&quot;Remote Sens (Basel)&quot;,&quot;abstract&quot;:&quot;The Inner Niger Delta (IND), one of the largest floodplain systems in Africa, sustains the livelihoods of more than three million people and is a driver of the rural economy of Mali as far as agriculture, fish production, and livestock are concerned. Because the IND ecosystem and economy are flood-dependent, it is important to monitor seasonal flooding variations. Many attempts to accomplish this task have relied on detailed datasets, such as daily discharge, daily rainfall, and evapotranspiration, which are not easily accessible for data-sparse areas. Additionally, because the area is large, this remains a challenging task. In this study, the interannual variability of seasonal inundation in the IND was investigated by leveraging the computing power of the Google Earth Engine and its large catalogue of open datasets. The main objective was to analyse the temporal and spatial distributions of the inundation extent during the last 13 years. A collection of Landsat 5, 7, 8, and 9 images were composited and different bands were used with various water and vegetation indices in a pixel-based supervised classification to detect the flood extent between 2010 and 2022. A significant improvement in classification accuracy was observed thanks to the different indices. The results suggest a general increasing trend in the maximum annual inundation extent. Throughout the study period, the maximum inundated area varied between 15,209 km2 in autumn 2011 and 21,536 km2 in autumn 2022. The upstream water intake led to a decrease of about 6–10% of the inundated area. Similar fluctuations in the inundated area, precipitation, and river discharge were observed. The proposed approach demonstrates a great potential for monitoring annual inundation, especially for large areas such as the IND, where in situ measurements are sparse.&quot;,&quot;author&quot;:[{&quot;family&quot;:&quot;Bonkoungou&quot;,&quot;given&quot;:&quot;Benjamin&quot;},{&quot;family&quot;:&quot;Bossa&quot;,&quot;given&quot;:&quot;Aymar Yaovi&quot;},{&quot;family&quot;:&quot;van der Kwast&quot;,&quot;given&quot;:&quot;Johannes&quot;},{&quot;family&quot;:&quot;Mul&quot;,&quot;given&quot;:&quot;Marloes&quot;},{&quot;family&quot;:&quot;Sintondji&quot;,&quot;given&quot;:&quot;Luc Ollivier&quot;}],&quot;issued&quot;:{&quot;date-parts&quot;:[[&quot;2024&quot;,&quot;5&quot;,&quot;22&quot;]]},&quot;DOI&quot;:&quot;10.3390/rs16111853&quot;,&quot;citation-label&quot;:&quot;17682863&quot;},{&quot;title&quot;:&quot;Analysis of spatio-temporal precipitation and temperature variability and trend over Sudd-Wetland, Republic of South Sudan&quot;,&quot;page&quot;:&quot;100451&quot;,&quot;volume&quot;:&quot;34&quot;,&quot;journalAbbreviation&quot;:&quot;Clim. Serv&quot;,&quot;id&quot;:&quot;17682836&quot;,&quot;type&quot;:&quot;article-journal&quot;,&quot;container-title&quot;:&quot;Climate Services&quot;,&quot;container-title-short&quot;:&quot;Clim. Serv&quot;,&quot;abstract&quot;:&quot;The Sudd Wetland, which supports millions of pastoralists and farmers, as well as the internationally renowned Ramsar Wetland, are under pressure from population growth and climate change extremes such as flooding and drought. Using the Climate Hazards Group Infrareds Precipitation with Station (CHIRPS) and Climate Research Unit (CRU-TS4.06) datasets, this study investigates the spatiotemporal trend and variability of precipitation and temperature. As a result, descriptive statistics were used to describe the spatiotemporal behavior of precipitation and temperature. The Rotated Empirical Orthogonal Function (REOF) was used to detect the spatiotemporal variability of precipitation. The Pearson correlation method was used to investigate the relationship between Sea Surface Temperature (SST) and precipitation. The results revealed that Sudd-wetland receives 910 mm mean spatial annual precipitation and experienced 36 °C mean annual temperature with high spatio-temporal variations. It receives the highest precipitation in summer season followed by autumn and spring. The precipitation amount decreases towards the north in all seasons. In both the summer and winter seasons, observed rainfall variability corresponds substantially to ENSO variability, whereas the spring and autumn seasons are more connected with Atlantic and Indian Ocean Sea surface temperature gradients. The Sudd wetland has been affected by prolonged drought and frequent flood events alternatively. The prolonged drought linking with the shrinking of the wetland are potential threats to the farmers and pastoralists to adapt the changing climate. Hence, it is imperative to systematically analyze the wetland ecosystem from different dimensions and adjust the livelihood settings of the people in to less climate sensitive activities. Therefore, we suggest in depth drought and flood risk evaluation and implementation of realistic adaptation strategy to sustain the ecological and economic benefit of the wetland.&quot;,&quot;author&quot;:[{&quot;family&quot;:&quot;Zeleke&quot;,&quot;given&quot;:&quot;Tadesse Terefe&quot;},{&quot;family&quot;:&quot;Zakaria Wani Lukwasa&quot;,&quot;given&quot;:&quot;Andu&quot;},{&quot;family&quot;:&quot;Ture Beketie&quot;,&quot;given&quot;:&quot;Kassahun&quot;},{&quot;family&quot;:&quot;Yayeh Ayal&quot;,&quot;given&quot;:&quot;Desalegn&quot;}],&quot;issued&quot;:{&quot;date-parts&quot;:[[&quot;2024&quot;,&quot;4&quot;]]},&quot;DOI&quot;:&quot;10.1016/j.cliser.2024.100451&quot;,&quot;citation-label&quot;:&quot;17682836&quot;},{&quot;title&quot;:&quot;Lake Chad vegetation cover and surface water variations in response to rainfall fluctuations under recent climate conditions (2000-2020).&quot;,&quot;page&quot;:&quot;159302&quot;,&quot;volume&quot;:&quot;857&quot;,&quot;issue&quot;:&quot;Pt 2&quot;,&quot;journalAbbreviation&quot;:&quot;Sci. Total Environ.&quot;,&quot;id&quot;:&quot;17682775&quot;,&quot;type&quot;:&quot;article-journal&quot;,&quot;container-title&quot;:&quot;The Science of the Total Environment&quot;,&quot;container-title-short&quot;:&quot;Sci. Total Environ.&quot;,&quot;abstract&quot;:&quot;Monitoring the evolution of the Sahelian environment is a major challenge because the great Sahelian droughts, marked by significant environmental consequences and social impacts, contributed, for example, to the drying up of Lake Chad. We combined remote sensing images with a water level database from the Hydroweb project to determine the response of Lake Chad vegetation cover and surface water variations to rainfall fluctuations in the Lake Chad watershed under recent climate conditions. The variance in lake surface water levels was determined by computing the monthly anomaly time series of surface water height and area from the Hydroweb datasets. The spatiotemporal variability of watershed rainfall and vegetation cover of Lake Chad was highlighted through multivariate statistical analysis. The spatial distribution of correlations between watershed rainfall and Lake Chad vegetation cover was investigated. The results show an increase in watershed rainfall, vegetation cover, and surface water area and height, as their slopes were all positive i.e., 5.1 10-4 (mm/day); 4.26 10-6 (ndvi unit/day); 1.2 10-3 (km2/day) and 6 10-5 (m/day), respectively. The rainfall variations in the watershed drive those of Lake Chad vegetation cover and surface water, as the rainfall trend was strongly and positively correlated with those of vegetation cover (0.79), surface water height (0.57), and area (0.53). The time lag between the watershed rainfall fluctuations and lake surface water variations corresponded to approximately ∼112 days. Between rainfall variations and vegetation cover changes, the spatial distribution of the time lag showed a response time of &lt; 16 days in the western shores of the lake and on both sides of the great barrier, about 16 days in the bare soils of the northern basin and the eastern part of the south basin, and &gt;64 days in the marshlands of the southern basin. For the analysis of lakes around the world, this research provides a robust method that computes the spatiotemporal variances of their trends and seasonality and correlates these with the spatiotemporal variances of climate changes. The correlations obtained have strong potential for predicting future changes in lake surface water worldwide.Copyright © 2022 Elsevier B.V. All rights reserved.&quot;,&quot;author&quot;:[{&quot;family&quot;:&quot;Gbetkom&quot;,&quot;given&quot;:&quot;Paul Gérard&quot;},{&quot;family&quot;:&quot;Crétaux&quot;,&quot;given&quot;:&quot;Jean-François&quot;},{&quot;family&quot;:&quot;Tchilibou&quot;,&quot;given&quot;:&quot;Michel&quot;},{&quot;family&quot;:&quot;Carret&quot;,&quot;given&quot;:&quot;Alice&quot;},{&quot;family&quot;:&quot;Delhoume&quot;,&quot;given&quot;:&quot;Manon&quot;},{&quot;family&quot;:&quot;Bergé-Nguyen&quot;,&quot;given&quot;:&quot;Muriel&quot;},{&quot;family&quot;:&quot;Sylvestre&quot;,&quot;given&quot;:&quot;Florence&quot;}],&quot;issued&quot;:{&quot;date-parts&quot;:[[&quot;2023&quot;,&quot;1&quot;,&quot;20&quot;]]},&quot;DOI&quot;:&quot;10.1016/j.scitotenv.2022.159302&quot;,&quot;PMID&quot;:&quot;36216071&quot;,&quot;citation-label&quot;:&quot;17682775&quot;},{&quot;title&quot;:&quot;Debilitating floods in the Sahel are becoming frequent&quot;,&quot;page&quot;:&quot;126362&quot;,&quot;volume&quot;:&quot;599&quot;,&quot;journalAbbreviation&quot;:&quot;J Hydrol (Amst)&quot;,&quot;id&quot;:&quot;12528174&quot;,&quot;type&quot;:&quot;article-journal&quot;,&quot;container-title&quot;:&quot;Journal of hydrology&quot;,&quot;container-title-short&quot;:&quot;J Hydrol (Amst)&quot;,&quot;abstract&quot;:&quot;Despite the long-lasting and widespread drought in the Sahel, flood events did punctuate in the past. The concern about floods remains dwarf on the international research and policy agenda compared to droughts. In this paper, we elucidate that floods in the Sahel are now becoming more frequent, widespread, and more devastating. We analyzed gridded daily rainfall data over the period 1981–2020, used photographs and satellite images to depict flood areas and threats, compiled and studied flood-related statistics over the past two decades, and supported the results with peer-reviewed literature. Our analysis revealed that the timing of the maximum daily rainfall occurs from the last week of July to mid-August in the Eastern Sahel, but from the last week of July to the end of August in the Western Sahel. In 2019 and 2020, flash and riverine floods took their toll in Sudan and elsewhere in the region in terms of the number of affected people, direct deaths, destroyed and damaged houses and croplands, contaminated water resources, and disease outbreaks and deaths. Changes in rainfall intensity, human interventions in the physical environment, and poor urban planning play a major role in driving catastrophic floods. Emphasis should be put on understanding flood causes and impacts on vulnerable societies, controlling water-borne diseases, and recognizing the importance of compiling relevant and reliable flood information. Extreme rainfall in this dry region could be an asset for attenuating the regional water scarcity status if well harvested and managed. We hope this paper will induce the hydroclimate scholars to carry out more flood studies for the Sahel. It is only then encumbered meaningful opportunities for flood risk management can start to unveil.&quot;,&quot;author&quot;:[{&quot;family&quot;:&quot;Elagib&quot;,&quot;given&quot;:&quot;Nadir Ahmed&quot;},{&quot;family&quot;:&quot;Zayed&quot;,&quot;given&quot;:&quot;Islam Sabry Al&quot;},{&quot;family&quot;:&quot;Saad&quot;,&quot;given&quot;:&quot;Suhair A.Gayoum&quot;},{&quot;family&quot;:&quot;Mahmood&quot;,&quot;given&quot;:&quot;Mohamad Ibrahim&quot;},{&quot;family&quot;:&quot;Basheer&quot;,&quot;given&quot;:&quot;Mohammed&quot;},{&quot;family&quot;:&quot;Fink&quot;,&quot;given&quot;:&quot;Andreas H.&quot;}],&quot;issued&quot;:{&quot;date-parts&quot;:[[&quot;2021&quot;,&quot;8&quot;]]},&quot;DOI&quot;:&quot;10.1016/j.jhydrol.2021.126362&quot;,&quot;citation-label&quot;:&quot;12528174&quot;},{&quot;title&quot;:&quot;Unveiling the role of climate in spatially synchronized locust outbreak risks.&quot;,&quot;page&quot;:&quot;eadj1164&quot;,&quot;volume&quot;:&quot;10&quot;,&quot;issue&quot;:&quot;7&quot;,&quot;journalAbbreviation&quot;:&quot;Sci. Adv.&quot;,&quot;id&quot;:&quot;17677073&quot;,&quot;type&quot;:&quot;article-journal&quot;,&quot;container-title&quot;:&quot;Science Advances&quot;,&quot;container-title-short&quot;:&quot;Sci. Adv.&quot;,&quot;abstract&quot;:&quot;Desert locusts threaten crop production and food security. Spatially synchronized locust outbreaks further exacerbate these crises. Continental-scale understanding of such compound locust risks and underlying climatic drivers is crucial to designing coordinated and predictive control strategies but remains elusive. Here, we develop a data-driven framework to assess the compound risk of locust outbreaks in the Middle East and North Africa (MENA) and elucidate the role of climate in locust dynamics. We find that more than one-fifth of high-risk country pairs faced spatially synchronized locust risks from 1985 to 2020, dominated by concurrent winds or inundations. Individual locusts are more prone to infest arid areas punched by extreme rainfall. The spatial prevalence of locusts is strongly modulated by climate variability such as El Niño-Southern Oscillation. A warming climate will lead to widespread increases in locust outbreaks with emerging hotspots in west central Asia, posing additional challenges to the global coordination of locust control.&quot;,&quot;author&quot;:[{&quot;family&quot;:&quot;Liu&quot;,&quot;given&quot;:&quot;Xinyue&quot;},{&quot;family&quot;:&quot;Zhang&quot;,&quot;given&quot;:&quot;Dongxiao&quot;},{&quot;family&quot;:&quot;He&quot;,&quot;given&quot;:&quot;Xiaogang&quot;}],&quot;issued&quot;:{&quot;date-parts&quot;:[[&quot;2024&quot;,&quot;2&quot;,&quot;16&quot;]]},&quot;DOI&quot;:&quot;10.1126/sciadv.adj1164&quot;,&quot;PMID&quot;:&quot;38354233&quot;,&quot;PMCID&quot;:&quot;PMC10866544&quot;,&quot;citation-label&quot;:&quot;17677073&quot;},{&quot;title&quot;:&quot;Mapping the world’s inland surface waters: an update to the Global Lakes and Wetlands Database (GLWD v2)&quot;,&quot;id&quot;:&quot;17078263&quot;,&quot;type&quot;:&quot;article-journal&quot;,&quot;abstract&quot;:&quot;Abstract. In recognition of the importance of inland waters, numerous datasets mapping their extents, types, or changes have been created using sources ranging from historical wetland maps to real-time satellite remote sensing. However, differences in definitions and methods have led to spatial and typological inconsistencies among individual data sources, confounding their complementary use and integration. The Global Lakes and Wetlands Database (GLWD), published in 2004, with its globally seamless gridded depiction of major vegetated and non-vegetated wetland classes, has emerged over the last decades as a foundational reference map that has advanced research and conservation planning addressing freshwater biodiversity, ecosystem services, greenhouse gas emissions, land surface processes, hydrology, and human health. Here, we present a new iteration of this map, termed GLWD version 2, generated by harmonizing the latest ground- and satellite-based data products into one single database. Following the same design principle as its predecessor, GLWD v2 aims to avoid double-counting of overlapping surface water features while differentiating between natural and non-natural lakes, rivers of multiple sizes, and several other wetland types. The classification of GLWD v2 incorporates information on seasonality (i.e., permanent vs. intermittent vs. ephemeral); inundation vs. saturation (i.e., flooding vs. waterlogged soils); vegetation cover (e.g., forested swamps vs. non-forested marshes); salinity (e.g., salt pans); natural vs. non-natural origins (e.g., rice paddies); and a stratification of landscape position and water source (e.g., riverine, lacustrine, palustrine, coastal/marine). GLWD v2 represents 33 wetland classes and—including all intermittent classes—depicts a maximum of 18.2 million km2 of wetlands (13.4 % of the global land area excluding Antarctica). The spatial extent of each class is provided as the fractional coverage within each grid cell at a resolution of 15 arc-seconds (approximately 500 m at the equator), with cell fractions derived from input data at resolutions as small as 10 m. The updated GLWD v2 offers an improved representation of inland surface water extents and their classification for contemporary conditions. Despite being a static map, it includes classes that denote intrinsic temporal dynamics. GLWD v2 is designed to facilitate large-scale hydrological, ecological, biogeochemical, and conservation applications, aiming to support the study and protection of wetland ecosystems around the world.&quot;,&quot;author&quot;:[{&quot;family&quot;:&quot;Lehner&quot;,&quot;given&quot;:&quot;Bernhard&quot;},{&quot;family&quot;:&quot;Anand&quot;,&quot;given&quot;:&quot;Mira&quot;},{&quot;family&quot;:&quot;Fluet-Chouinard&quot;,&quot;given&quot;:&quot;Etienne&quot;},{&quot;family&quot;:&quot;Tan&quot;,&quot;given&quot;:&quot;Florence&quot;},{&quot;family&quot;:&quot;Aires&quot;,&quot;given&quot;:&quot;Filipe&quot;},{&quot;family&quot;:&quot;Allen&quot;,&quot;given&quot;:&quot;George H.&quot;},{&quot;family&quot;:&quot;Bousquet&quot;,&quot;given&quot;:&quot;Pilippe&quot;},{&quot;family&quot;:&quot;Canadell&quot;,&quot;given&quot;:&quot;Josep G.&quot;},{&quot;family&quot;:&quot;Davidson&quot;,&quot;given&quot;:&quot;Nick&quot;},{&quot;family&quot;:&quot;Finlayson&quot;,&quot;given&quot;:&quot;C. Max&quot;},{&quot;family&quot;:&quot;Gumbricht&quot;,&quot;given&quot;:&quot;Thomas&quot;},{&quot;family&quot;:&quot;Hilarides&quot;,&quot;given&quot;:&quot;Lammert&quot;},{&quot;family&quot;:&quot;Hugelius&quot;,&quot;given&quot;:&quot;Gustaf&quot;},{&quot;family&quot;:&quot;Jackson&quot;,&quot;given&quot;:&quot;Robert B.&quot;},{&quot;family&quot;:&quot;Korver&quot;,&quot;given&quot;:&quot;Maartje C.&quot;},{&quot;family&quot;:&quot;McIntyre&quot;,&quot;given&quot;:&quot;Peter B.&quot;},{&quot;family&quot;:&quot;Nagy&quot;,&quot;given&quot;:&quot;Szabolcs&quot;},{&quot;family&quot;:&quot;Olefeldt&quot;,&quot;given&quot;:&quot;David&quot;},{&quot;family&quot;:&quot;Pavelsky&quot;,&quot;given&quot;:&quot;Tamlin M.&quot;},{&quot;family&quot;:&quot;Pekel&quot;,&quot;given&quot;:&quot;Jean-Francois&quot;},{&quot;family&quot;:&quot;Poulter&quot;,&quot;given&quot;:&quot;Benjamin&quot;},{&quot;family&quot;:&quot;Prigent&quot;,&quot;given&quot;:&quot;Catherine&quot;},{&quot;family&quot;:&quot;Wang&quot;,&quot;given&quot;:&quot;Jida&quot;},{&quot;family&quot;:&quot;Worthington&quot;,&quot;given&quot;:&quot;Thomas A.&quot;},{&quot;family&quot;:&quot;Yamazaki&quot;,&quot;given&quot;:&quot;Dai&quot;},{&quot;family&quot;:&quot;Thieme&quot;,&quot;given&quot;:&quot;Michele&quot;}],&quot;issued&quot;:{&quot;date-parts&quot;:[[&quot;2024&quot;,&quot;7&quot;,&quot;30&quot;]]},&quot;DOI&quot;:&quot;10.5194/essd-2024-204&quot;,&quot;citation-label&quot;:&quot;17078263&quot;},{&quot;title&quot;:&quot;New directions for malaria vector control using geography and geospatial analysis.&quot;,&quot;page&quot;:&quot;1-52&quot;,&quot;volume&quot;:&quot;125&quot;,&quot;journalAbbreviation&quot;:&quot;Adv. Parasitol.&quot;,&quot;id&quot;:&quot;16845987&quot;,&quot;type&quot;:&quot;article-journal&quot;,&quot;container-title&quot;:&quot;Advances in Parasitology&quot;,&quot;container-title-short&quot;:&quot;Adv. Parasitol.&quot;,&quot;abstract&quot;:&quot;As we strive towards the ambitious goal of malaria elimination, we must embrace integrated strategies and interventions. Like many diseases, malaria is heterogeneously distributed. This inherent spatial component means that geography and geospatial data is likely to have an important role in malaria control strategies. For instance, focussing interventions in areas where malaria risk is highest is likely to provide more cost-effective malaria control programmes. Equally, many malaria vector control strategies, particularly interventions like larval source management, would benefit from accurate maps of malaria vector habitats - sources of water that are used for malarial mosquito oviposition and larval development. In many landscapes, particularly in rural areas, the formation and persistence of these habitats is controlled by geographical factors, notably those related to hydrology. This is especially true for malaria vector species like Anopheles funestsus that show a preference for more permanent, often naturally occurring water sources like small rivers and spring-fed ponds. Previous work has embraced geographical concepts, techniques, and geospatial data for studying malaria risk and vector habitats. But there is much to be learnt if we are to fully exploit what the broader geographical discipline can offer in terms of operational malaria control, particularly in the face of a changing climate. This chapter outlines potential new directions related to several geographical concepts, data sources and analytical approaches, including terrain analysis, satellite imagery, drone technology and field-based observations. These directions are discussed within the context of designing new protocols and procedures that could be readily deployed within malaria control programmes, particularly those within sub-Saharan Africa, with a particular focus on experiences in the Kilombero Valley and the Zanzibar Archipelago, United Republic of Tanzania.Copyright © 2024. Published by Elsevier Ltd.&quot;,&quot;author&quot;:[{&quot;family&quot;:&quot;Hardy&quot;,&quot;given&quot;:&quot;Andy&quot;}],&quot;issued&quot;:{&quot;date-parts&quot;:[[&quot;2024&quot;,&quot;6&quot;,&quot;26&quot;]]},&quot;DOI&quot;:&quot;10.1016/bs.apar.2024.06.001&quot;,&quot;PMID&quot;:&quot;39095110&quot;,&quot;citation-label&quot;:&quot;16845987&quot;},{&quot;title&quot;:&quot;RadWet-L: A Novel Approach for Mapping of Inundation Dynamics of Forested Wetlands Using ALOS-2 PALSAR-2 L-Band Radar Imagery&quot;,&quot;page&quot;:&quot;2078&quot;,&quot;volume&quot;:&quot;16&quot;,&quot;issue&quot;:&quot;12&quot;,&quot;journalAbbreviation&quot;:&quot;Remote Sens (Basel)&quot;,&quot;id&quot;:&quot;16788680&quot;,&quot;type&quot;:&quot;article-journal&quot;,&quot;container-title&quot;:&quot;Remote Sensing&quot;,&quot;container-title-short&quot;:&quot;Remote Sens (Basel)&quot;,&quot;abstract&quot;:&quot;The ability to accurately map tropical wetland dynamics can significantly contribute to a number of areas, including food and water security, protection and enhancement of ecosystems, flood hazard management, and our understanding of natural greenhouse gas emissions. Yet currently, there is not a tractable solution for mapping tropical forested wetlands at high spatial and temporal resolutions at a regional scale. This means that we lack accurate and up-to-date information about some of the world’s most significant wetlands, including the Amazon Basin. RadWet-L is an automated machine-learning classification technique for the mapping of both inundated forests and open water using ALOS ScanSAR data. We applied and validated RadWet-L for the Amazon Basin. The proposed method is computationally light and transferable across the range of landscape types in the Amazon Basin allowing, for the first time, regional inundation maps to be produced every 42 days at 50 m resolution over the period 2019–2023. Time series estimates of inundation extent from RadWet-L were significantly correlated with NASA-GFZ GRACE-FO water thickness (Pearson’s r = 0.96, p &lt; 0.01), USDA G-REALM lake hight (Pearson’s r between 0.63 and 0.91, p &lt; 0.01), and in situ river stage measurements (Pearson’s r between 0.78 and 0.94, p &lt; 0.01). Additionally, we conducted an evaluation of 11,162 points against the input ScanSAR data revealing spatial and temporal consistency in the approach (F1 score = 0.97). Serial classifications of ALOS-2 PALSAR-2 ScanSAR data by RadWet-L can provide unique insights into the spatio-temporal inundation dynamics within the Amazon Basin. Understanding these dynamics can inform policy in the sustainable use of these wetlands, as well as the impacts of inundation dynamics on biodiversity and greenhouse gas budgets.&quot;,&quot;author&quot;:[{&quot;family&quot;:&quot;Oakes&quot;,&quot;given&quot;:&quot;Gregory&quot;},{&quot;family&quot;:&quot;Hardy&quot;,&quot;given&quot;:&quot;Andy&quot;},{&quot;family&quot;:&quot;Bunting&quot;,&quot;given&quot;:&quot;Pete&quot;},{&quot;family&quot;:&quot;Rosenqvist&quot;,&quot;given&quot;:&quot;Ake&quot;}],&quot;issued&quot;:{&quot;date-parts&quot;:[[&quot;2024&quot;,&quot;6&quot;,&quot;8&quot;]]},&quot;DOI&quot;:&quot;10.3390/rs16122078&quot;,&quot;citation-label&quot;:&quot;16788680&quot;},{&quot;title&quot;:&quot;Drivers and impacts of Eastern African rainfall variability&quot;,&quot;journalAbbreviation&quot;:&quot;Nat. Rev. Earth Environ.&quot;,&quot;id&quot;:&quot;14692866&quot;,&quot;type&quot;:&quot;article-journal&quot;,&quot;container-title&quot;:&quot;Nature Reviews Earth &amp; Environment&quot;,&quot;container-title-short&quot;:&quot;Nat. Rev. Earth Environ.&quot;,&quot;author&quot;:[{&quot;family&quot;:&quot;Palmer&quot;,&quot;given&quot;:&quot;Paul I.&quot;},{&quot;family&quot;:&quot;Wainwright&quot;,&quot;given&quot;:&quot;Caroline M.&quot;},{&quot;family&quot;:&quot;Dong&quot;,&quot;given&quot;:&quot;Bo&quot;},{&quot;family&quot;:&quot;Maidment&quot;,&quot;given&quot;:&quot;Ross I.&quot;},{&quot;family&quot;:&quot;Wheeler&quot;,&quot;given&quot;:&quot;Kevin G.&quot;},{&quot;family&quot;:&quot;Gedney&quot;,&quot;given&quot;:&quot;Nicola&quot;},{&quot;family&quot;:&quot;Hickman&quot;,&quot;given&quot;:&quot;Jonathan E.&quot;},{&quot;family&quot;:&quot;Madani&quot;,&quot;given&quot;:&quot;Nima&quot;},{&quot;family&quot;:&quot;Folwell&quot;,&quot;given&quot;:&quot;Sonja S.&quot;},{&quot;family&quot;:&quot;Abdo&quot;,&quot;given&quot;:&quot;Gamal&quot;},{&quot;family&quot;:&quot;Allan&quot;,&quot;given&quot;:&quot;Richard P.&quot;},{&quot;family&quot;:&quot;Black&quot;,&quot;given&quot;:&quot;Emily C. L.&quot;},{&quot;family&quot;:&quot;Feng&quot;,&quot;given&quot;:&quot;Liang&quot;},{&quot;family&quot;:&quot;Gudoshava&quot;,&quot;given&quot;:&quot;Masilin&quot;},{&quot;family&quot;:&quot;Haines&quot;,&quot;given&quot;:&quot;Keith&quot;},{&quot;family&quot;:&quot;Huntingford&quot;,&quot;given&quot;:&quot;Chris&quot;},{&quot;family&quot;:&quot;Kilavi&quot;,&quot;given&quot;:&quot;Mary&quot;},{&quot;family&quot;:&quot;Lunt&quot;,&quot;given&quot;:&quot;Mark F.&quot;},{&quot;family&quot;:&quot;Shaaban&quot;,&quot;given&quot;:&quot;Ahmed&quot;},{&quot;family&quot;:&quot;Turner&quot;,&quot;given&quot;:&quot;Andrew G.&quot;}],&quot;issued&quot;:{&quot;date-parts&quot;:[[&quot;2023&quot;,&quot;3&quot;,&quot;21&quot;]]},&quot;DOI&quot;:&quot;10.1038/s43017-023-00397-x&quot;,&quot;citation-label&quot;:&quot;14692866&quot;},{&quot;title&quot;:&quot;Rain-fed pulses of methane from East Africa during 2018–2019 contributed to atmospheric growth rate&quot;,&quot;page&quot;:&quot;024021&quot;,&quot;volume&quot;:&quot;16&quot;,&quot;issue&quot;:&quot;2&quot;,&quot;journalAbbreviation&quot;:&quot;Environmental Research Letters&quot;,&quot;id&quot;:&quot;15715280&quot;,&quot;type&quot;:&quot;article-journal&quot;,&quot;container-title&quot;:&quot;Environmental Research Letters&quot;,&quot;container-title-short&quot;:&quot;Environmental Research Letters&quot;,&quot;abstract&quot;:&quot;East Africa is a key location for wetland emissions of methane (CH 4 ), driven by variations in rainfall that are in turn influenced by sea-surface temperature gradients over the Indian Ocean. Using satellite observations of CH 4 and an atmospheric chemistry-transport model, we quantified East African CH 4 emissions during 2018 and 2019 when there was 3- σ anomalous rainfall during the long rains (March–May) in 2018 and the short rains (October–December) in 2019. These rainfall anomalies resulted in CH 4 emissions of 6.2 ± 0.3 Tg CH 4 and 8.6 ± 0.3 Tg CH 4 , in each three month period, respectively, and represent a 10% and 37% increase compared to the equivalent season in the opposite year, when rainfall was close to the long-term seasonal mean. We find the additional short rains emissions were equivalent to over a quarter of the growth in global emissions in 2019, highlighting the disproportionate role of East Africa in the global CH 4 budget.&quot;,&quot;author&quot;:[{&quot;family&quot;:&quot;Lunt&quot;,&quot;given&quot;:&quot;Mark F&quot;},{&quot;family&quot;:&quot;Palmer&quot;,&quot;given&quot;:&quot;Paul I&quot;},{&quot;family&quot;:&quot;Lorente&quot;,&quot;given&quot;:&quot;Alba&quot;},{&quot;family&quot;:&quot;Borsdorff&quot;,&quot;given&quot;:&quot;Tobias&quot;},{&quot;family&quot;:&quot;Landgraf&quot;,&quot;given&quot;:&quot;Jochen&quot;},{&quot;family&quot;:&quot;Parker&quot;,&quot;given&quot;:&quot;Robert J&quot;},{&quot;family&quot;:&quot;Boesch&quot;,&quot;given&quot;:&quot;Hartmut&quot;}],&quot;issued&quot;:{&quot;date-parts&quot;:[[&quot;2021&quot;,&quot;2&quot;,&quot;1&quot;]]},&quot;DOI&quot;:&quot;10.1088/1748-9326/abd8fa&quot;,&quot;citation-label&quot;:&quot;15715280&quot;},{&quot;title&quot;:&quot;Land cover classification and wetland inundation mapping using MODIS&quot;,&quot;page&quot;:&quot;1-17&quot;,&quot;volume&quot;:&quot;204&quot;,&quot;journalAbbreviation&quot;:&quot;Remote Sensing of Environment&quot;,&quot;id&quot;:&quot;15591163&quot;,&quot;type&quot;:&quot;article-journal&quot;,&quot;container-title&quot;:&quot;Remote Sensing of Environment&quot;,&quot;container-title-short&quot;:&quot;Remote Sensing of Environment&quot;,&quot;abstract&quot;:&quot;Abstract   Hydrologic models of wetlands enable water resources managers to quantify the environmental and societal roles of wetlands and manage them in ways that sustain their valuable services. However, reliable wetland models require data that are not typically available from in-situ measurements. In this article, we use satellite information from MODIS (500-meter, 8-day composite land surface reflectance product) and limited ground data to quantify the seasonal and inter-annual changes of wetland extent. This information is used to calibrate a new, non-parametric land cover classification approach. Extensive tests demonstrate that the new approach performs well in (i) classifying accurately land cover classes and (ii) delineating reliably seasonal and inter-annual wetland area changes. The new approach is applied to the Sudd wetland in South Sudan, a vast wetland of vital socioeconomic and environmental services, toward developing better, policy-relevant information and tools.&quot;,&quot;author&quot;:[{&quot;family&quot;:&quot;Di Vittorio&quot;,&quot;given&quot;:&quot;Courtney A.&quot;},{&quot;family&quot;:&quot;Georgakakos&quot;,&quot;given&quot;:&quot;Aris P.&quot;}],&quot;issued&quot;:{&quot;date-parts&quot;:[[&quot;2018&quot;,&quot;1&quot;]]},&quot;DOI&quot;:&quot;10.1016/j.rse.2017.11.001&quot;,&quot;citation-label&quot;:&quot;15591163&quot;},{&quot;title&quot;:&quot;Methane emissions are predominantly  responsible for record-breaking atmospheric  methane growth rates in 2020 and 2021&quot;,&quot;page&quot;:&quot;4863-4880&quot;,&quot;volume&quot;:&quot;23&quot;,&quot;issue&quot;:&quot;8&quot;,&quot;journalAbbreviation&quot;:&quot;Atmospheric Chemistry and Physics&quot;,&quot;id&quot;:&quot;14741660&quot;,&quot;type&quot;:&quot;article-journal&quot;,&quot;container-title&quot;:&quot;Atmospheric Chemistry and Physics&quot;,&quot;container-title-short&quot;:&quot;Atmospheric Chemistry and Physics&quot;,&quot;author&quot;:[{&quot;family&quot;:&quot;Feng&quot;,&quot;given&quot;:&quot;Liang&quot;},{&quot;family&quot;:&quot;Palmer&quot;,&quot;given&quot;:&quot;Paul I.&quot;},{&quot;family&quot;:&quot;Parker&quot;,&quot;given&quot;:&quot;Robert J.&quot;},{&quot;family&quot;:&quot;Lunt&quot;,&quot;given&quot;:&quot;Mark F.&quot;},{&quot;family&quot;:&quot;Bösch&quot;,&quot;given&quot;:&quot;Hartmut&quot;}],&quot;issued&quot;:{&quot;date-parts&quot;:[[&quot;2023&quot;,&quot;4&quot;,&quot;25&quot;]]},&quot;DOI&quot;:&quot;10.5194/acp-23-4863-2023&quot;,&quot;citation-label&quot;:&quot;14741660&quot;},{&quot;title&quot;:&quot;RadWet: An Improved and Transferable Mapping of Open Water and Inundated Vegetation Using Sentinel-1&quot;,&quot;page&quot;:&quot;1705&quot;,&quot;volume&quot;:&quot;15&quot;,&quot;issue&quot;:&quot;6&quot;,&quot;journalAbbreviation&quot;:&quot;Remote Sens (Basel)&quot;,&quot;id&quot;:&quot;15344581&quot;,&quot;type&quot;:&quot;article-journal&quot;,&quot;container-title&quot;:&quot;Remote Sensing&quot;,&quot;container-title-short&quot;:&quot;Remote Sens (Basel)&quot;,&quot;abstract&quot;:&quot;Mapping the spatial and temporal dynamics of tropical herbaceous wetlands is vital for a wide range of applications. Inundated vegetation can account for over three-quarters of the total inundated area, yet widely used EO mapping approaches are limited to the detection of open water bodies. This paper presents a new wetland mapping approach, RadWet, that automatically defines open water and inundated vegetation training data using a novel mixture of radar, terrain, and optical imagery. Training data samples are then used to classify serial Sentinel-1 radar imagery using an ensemble machine learning classification routine, providing information on the spatial and temporal dynamics of inundation every 12 days at a resolution of 30 m. The approach was evaluated over the period 2017–2022, covering a range of conditions (dry season to wet season) for two sites: (1) the Barotseland Floodplain, Zambia (31,172 km2) and (2) the Upper Rupununi Wetlands in Guyana (11,745 km2). Good agreement was found at both sites using random stratified accuracy assessment data (n = 28,223) with a median overall accuracy of 89% in Barotseland and 80% in the Upper Rupununi, outperforming existing approaches. The results revealed fine-scale hydrological processes driving inundation patterns as well as temporal patterns in seasonal flood pulse timing and magnitude. Inundated vegetation dominated wet season wetland extent, accounting for a mean 80% of total inundation. RadWet offers a new way in which tropical wetlands can be routinely monitored and characterised. This can provide significant benefits for a range of application areas, including flood hazard management, wetland inventories, monitoring natural greenhouse gas emissions and disease vector control.&quot;,&quot;author&quot;:[{&quot;family&quot;:&quot;Oakes&quot;,&quot;given&quot;:&quot;Gregory&quot;},{&quot;family&quot;:&quot;Hardy&quot;,&quot;given&quot;:&quot;Andy&quot;},{&quot;family&quot;:&quot;Bunting&quot;,&quot;given&quot;:&quot;Pete&quot;}],&quot;issued&quot;:{&quot;date-parts&quot;:[[&quot;2023&quot;,&quot;3&quot;,&quot;22&quot;]]},&quot;DOI&quot;:&quot;10.3390/rs15061705&quot;,&quot;citation-label&quot;:&quot;15344581&quot;},{&quot;title&quot;:&quot;Satellite data reveal how Sudd wetland dynamics are linked with globally-significant methane emissions&quot;,&quot;journalAbbreviation&quot;:&quot;Environmental Research Letters&quot;,&quot;id&quot;:&quot;15344577&quot;,&quot;type&quot;:&quot;article-journal&quot;,&quot;container-title&quot;:&quot;Environmental Research Letters&quot;,&quot;container-title-short&quot;:&quot;Environmental Research Letters&quot;,&quot;abstract&quot;:&quot;Recent work has highlighted the large role of methane emissions from the Sudd wetland and surrounding ecosystems on the global atmospheric growth rate of methane since 2010. These emissions are driven by high rainfall over basin catchments linked with the positive phase of the Indian Ocean Dipole. We reconstruct flood inundation for the Sudd wetland over a 38-year period at a spatial resolution of 30 m using a new satellite Earth Observation (EO) wetland mapping tool. We reveal considerable changes in the wet season extent of the wetland, including an increase &gt; 300% since 2019 compared to the median 1984-2022 extent. We report major increases in flood extent within grassland-dominated floodplains outside of the area currently defined Sudd wetland region. These year-to-year changes in wetland extent are corroborated with total water storage anomalies inferred from satellite data (Pearson correlation R=0.92), Lake Victoria levels (R=0.73), and anomalies in reported annual mean global methane growth rates since 2009 (R=0.88). Our analysis shows that flood water inundation is dominated by inundated vegetation and aquatic vegetation, accounting for an average of 40% and 50% of total extent, respectively, compared to open water that accounted for just 9% of inundation in a typical year. This is consistent with recent studies that report wetland methane emissions are focused on areas with inundated vegetation. Our findings also support recent studies that highlight the significant role of the Sudd wetland in driving anomalously large global atmospheric annual growth rates, 2020-2022. By capturing high resolution information on inundated vegetation, our EO wetland mapping tool has significant potential for improved wetland emission estimates of methane. Vascular plants common in the Sudd wetland, e.g., macrophytes including Phragmites Australis and Cyperus Papyrus, seem to play a key role in methane emissions and we recommend they should be the focus of future research.&quot;,&quot;author&quot;:[{&quot;family&quot;:&quot;Hardy&quot;,&quot;given&quot;:&quot;Andy&quot;},{&quot;family&quot;:&quot;Palmer&quot;,&quot;given&quot;:&quot;Paul&quot;},{&quot;family&quot;:&quot;Oakes&quot;,&quot;given&quot;:&quot;Gregory&quot;}],&quot;issued&quot;:{&quot;date-parts&quot;:[[&quot;2023&quot;,&quot;6&quot;,&quot;28&quot;]]},&quot;DOI&quot;:&quot;10.1088/1748-9326/ace272&quot;,&quot;citation-label&quot;:&quot;15344577&quot;},{&quot;title&quot;:&quot;Incorporating hydrology into climate suitability models changes projections of malaria transmission in Africa.&quot;,&quot;page&quot;:&quot;4353&quot;,&quot;volume&quot;:&quot;11&quot;,&quot;issue&quot;:&quot;1&quot;,&quot;journalAbbreviation&quot;:&quot;Nat. Commun.&quot;,&quot;id&quot;:&quot;10779076&quot;,&quot;type&quot;:&quot;article-journal&quot;,&quot;container-title&quot;:&quot;Nature Communications&quot;,&quot;container-title-short&quot;:&quot;Nat. Commun.&quot;,&quot;abstract&quot;:&quot;Continental-scale models of malaria climate suitability typically couple well-established temperature-response models with basic estimates of vector habitat availability using rainfall as a proxy. Here we show that across continental Africa, the estimated geographic range of climatic suitability for malaria transmission is more sensitive to the precipitation threshold than the thermal response curve applied. To address this problem we use downscaled daily climate predictions from seven GCMs to run a continental-scale hydrological model for a process-based representation of mosquito breeding habitat availability. A more complex pattern of malaria suitability emerges as water is routed through drainage networks and river corridors serve as year-round transmission foci. The estimated hydro-climatically suitable area for stable malaria transmission is smaller than previous models suggest and shows only a very small increase in state-of-the-art future climate scenarios. However, bigger geographical shifts are observed than with most rainfall threshold models and the pattern of that shift is very different when using a hydrological model to estimate surface water availability for vector breeding.&quot;,&quot;author&quot;:[{&quot;family&quot;:&quot;Smith&quot;,&quot;given&quot;:&quot;M W&quot;},{&quot;family&quot;:&quot;Willis&quot;,&quot;given&quot;:&quot;T&quot;},{&quot;family&quot;:&quot;Alfieri&quot;,&quot;given&quot;:&quot;L&quot;},{&quot;family&quot;:&quot;James&quot;,&quot;given&quot;:&quot;W H M&quot;},{&quot;family&quot;:&quot;Trigg&quot;,&quot;given&quot;:&quot;M A&quot;},{&quot;family&quot;:&quot;Yamazaki&quot;,&quot;given&quot;:&quot;D&quot;},{&quot;family&quot;:&quot;Hardy&quot;,&quot;given&quot;:&quot;A J&quot;},{&quot;family&quot;:&quot;Bisselink&quot;,&quot;given&quot;:&quot;B&quot;},{&quot;family&quot;:&quot;De Roo&quot;,&quot;given&quot;:&quot;A&quot;},{&quot;family&quot;:&quot;Macklin&quot;,&quot;given&quot;:&quot;M G&quot;},{&quot;family&quot;:&quot;Thomas&quot;,&quot;given&quot;:&quot;C J&quot;}],&quot;issued&quot;:{&quot;date-parts&quot;:[[&quot;2020&quot;,&quot;8&quot;,&quot;28&quot;]]},&quot;DOI&quot;:&quot;10.1038/s41467-020-18239-5&quot;,&quot;PMID&quot;:&quot;32859908&quot;,&quot;PMCID&quot;:&quot;PMC7455692&quot;,&quot;citation-label&quot;:&quot;10779076&quot;},{&quot;title&quot;:&quot;Improving representation of tropical wetland methane emissions with CYGNSS inundation maps&quot;,&quot;volume&quot;:&quot;35&quot;,&quot;issue&quot;:&quot;12&quot;,&quot;journalAbbreviation&quot;:&quot;Global Biogeochem. Cycles&quot;,&quot;id&quot;:&quot;14467070&quot;,&quot;type&quot;:&quot;article-journal&quot;,&quot;container-title&quot;:&quot;Global biogeochemical cycles&quot;,&quot;container-title-short&quot;:&quot;Global Biogeochem. Cycles&quot;,&quot;author&quot;:[{&quot;family&quot;:&quot;Gerlein‐Safdi&quot;,&quot;given&quot;:&quot;Cynthia&quot;},{&quot;family&quot;:&quot;Bloom&quot;,&quot;given&quot;:&quot;A. Anthony&quot;},{&quot;family&quot;:&quot;Plant&quot;,&quot;given&quot;:&quot;Genevieve&quot;},{&quot;family&quot;:&quot;Kort&quot;,&quot;given&quot;:&quot;Eric A.&quot;},{&quot;family&quot;:&quot;Ruf&quot;,&quot;given&quot;:&quot;Christopher S.&quot;}],&quot;issued&quot;:{&quot;date-parts&quot;:[[&quot;2021&quot;,&quot;12&quot;]]},&quot;DOI&quot;:&quot;10.1029/2020GB006890&quot;,&quot;citation-label&quot;:&quot;14467070&quot;},{&quot;title&quot;:&quot;A new malaria vector in Africa: Predicting the expansion range of Anopheles stephensi and identifying the urban populations at risk.&quot;,&quot;page&quot;:&quot;24900-24908&quot;,&quot;volume&quot;:&quot;117&quot;,&quot;issue&quot;:&quot;40&quot;,&quot;journalAbbreviation&quot;:&quot;Proc Natl Acad Sci USA&quot;,&quot;id&quot;:&quot;12004504&quot;,&quot;type&quot;:&quot;article-journal&quot;,&quot;container-title&quot;:&quot;Proceedings of the National Academy of Sciences of the United States of America&quot;,&quot;container-title-short&quot;:&quot;Proc Natl Acad Sci USA&quot;,&quot;abstract&quot;:&quot;In 2012, an unusual outbreak of urban malaria was reported from Djibouti City in the Horn of Africa and increasingly severe outbreaks have been reported annually ever since. Subsequent investigations discovered the presence of an Asian mosquito species; Anopheles stephensi, a species known to thrive in urban environments. Since that first report, An. stephensi has been identified in Ethiopia and Sudan, and this worrying development has prompted the World Health Organization (WHO) to publish a vector alert calling for active mosquito surveillance in the region. Using an up-to-date database of published locational records for An. stephensi across its full range (Asia, Arabian Peninsula, Horn of Africa) and a set of spatial models that identify the environmental conditions that characterize a species' preferred habitat, we provide evidence-based maps predicting the possible locations across Africa where An. stephensi could establish if allowed to spread unchecked. Unsurprisingly, due to this species' close association with man-made habitats, our maps predict a high probability of presence within many urban cities across Africa where our estimates suggest that over 126 million people reside. Our results strongly support the WHO's call for surveillance and targeted vector control and provide a basis for the prioritization of surveillance.Copyright © 2020 the Author(s). Published by PNAS.&quot;,&quot;author&quot;:[{&quot;family&quot;:&quot;Sinka&quot;,&quot;given&quot;:&quot;M E&quot;},{&quot;family&quot;:&quot;Pironon&quot;,&quot;given&quot;:&quot;S&quot;},{&quot;family&quot;:&quot;Massey&quot;,&quot;given&quot;:&quot;N C&quot;},{&quot;family&quot;:&quot;Longbottom&quot;,&quot;given&quot;:&quot;J&quot;},{&quot;family&quot;:&quot;Hemingway&quot;,&quot;given&quot;:&quot;J&quot;},{&quot;family&quot;:&quot;Moyes&quot;,&quot;given&quot;:&quot;C L&quot;},{&quot;family&quot;:&quot;Willis&quot;,&quot;given&quot;:&quot;K J&quot;}],&quot;issued&quot;:{&quot;date-parts&quot;:[[&quot;2020&quot;,&quot;10&quot;,&quot;6&quot;]]},&quot;DOI&quot;:&quot;10.1073/pnas.2003976117&quot;,&quot;PMID&quot;:&quot;32929020&quot;,&quot;PMCID&quot;:&quot;PMC7547157&quot;,&quot;citation-label&quot;:&quot;12004504&quot;},{&quot;title&quot;:&quot;Tropical wetland (tropwet) mapping tool: the automatic detection of open and vegetated waterbodies in google earth engine for tropical wetlands&quot;,&quot;page&quot;:&quot;1182&quot;,&quot;volume&quot;:&quot;12&quot;,&quot;issue&quot;:&quot;7&quot;,&quot;journalAbbreviation&quot;:&quot;Remote Sens (Basel)&quot;,&quot;id&quot;:&quot;10493059&quot;,&quot;type&quot;:&quot;article-journal&quot;,&quot;container-title&quot;:&quot;Remote Sensing&quot;,&quot;container-title-short&quot;:&quot;Remote Sens (Basel)&quot;,&quot;abstract&quot;:&quot;Knowledge of the location and extent of surface water and inundated vegetation is vital for a range of applications including flood risk management, biodiversity monitoring, quantifying greenhouse gas emissions, and mapping water-borne disease risk. Here, we present a new tool, TropWet, which enables users of all abilities to map wetlands in herbaceous dominated regions based on simple unmixing of optical Landsat satellite imagery in the Google Earth Engine. The results demonstrate transferability throughout the African continent with a high degree of accuracy (mean 91% accuracy, st. dev 2.6%, n = 10,800). TropWet demonstrated considerable improvements over existing globally available surface water datasets for mapping the extent of important wetlands like the Okavango, Botswana. TropWet was able to provide frequency inundation maps as an indicator of malarial mosquito aquatic habitat extent and persistence in Barotseland, Zambia. TropWet was able to map flood extent comparable to operational flood risk mapping products in the Zambezi Region, Namibia. Finally, TropWet was able to quantify the effects of the El Niño/Southern Oscillation (ENSO) events on the extent of photosynthetic vegetation and wetland extent across Southern Africa. These examples demonstrate the potential for TropWet to provide policy makers with crucial information to help make national, regional, or continental scale decisions regarding wetland conservation, flood/disease hazard mapping, or mitigation against the impacts of ENSO.&quot;,&quot;author&quot;:[{&quot;family&quot;:&quot;Hardy&quot;,&quot;given&quot;:&quot;Andy&quot;},{&quot;family&quot;:&quot;Oakes&quot;,&quot;given&quot;:&quot;Gregory&quot;},{&quot;family&quot;:&quot;Ettritch&quot;,&quot;given&quot;:&quot;Georgina&quot;}],&quot;issued&quot;:{&quot;date-parts&quot;:[[&quot;2020&quot;,&quot;4&quot;,&quot;7&quot;]]},&quot;DOI&quot;:&quot;10.3390/rs12071182&quot;,&quot;citation-label&quot;:&quot;10493059&quot;},{&quot;title&quot;:&quot;A fully automated TerraSAR-X based flood service&quot;,&quot;page&quot;:&quot;203-212&quot;,&quot;volume&quot;:&quot;104&quot;,&quot;journalAbbreviation&quot;:&quot;ISPRS Journal of Photogrammetry and Remote Sensing&quot;,&quot;id&quot;:&quot;10489208&quot;,&quot;type&quot;:&quot;article-journal&quot;,&quot;container-title&quot;:&quot;ISPRS Journal of Photogrammetry and Remote Sensing&quot;,&quot;container-title-short&quot;:&quot;ISPRS Journal of Photogrammetry and Remote Sensing&quot;,&quot;abstract&quot;:&quot;In this paper, a fully automated processing chain for near real-time flood detection using high resolution TerraSAR-X Synthetic Aperture Radar (SAR) data is presented. The processing chain including SAR data pre-processing, computation and adaption of global auxiliary data, unsupervised initialization of the classification as well as post-classification refinement by using a fuzzy logic-based approach is automatically triggered after satellite data delivery. The dissemination of flood maps resulting from this service is performed through an online service which can be activated on-demand for emergency response purposes (i.e., when a flood situation evolves). The classification methodology is based on previous work of the authors but was substantially refined and extended for robustness and transferability to guarantee high classification accuracy under different environmental conditions and sensor configurations. With respect to accuracy and computational effort, experiments performed on a data set of 175 different TerraSAR-X scenes acquired during flooding all over the world with different sensor configurations confirm the robustness and effectiveness of the proposed flood mapping service. These promising results have been further confirmed by means of an in-depth validation performed for three study sites in Germany, Thailand, and Albania/Montenegro.&quot;,&quot;author&quot;:[{&quot;family&quot;:&quot;Martinis&quot;,&quot;given&quot;:&quot;Sandro&quot;},{&quot;family&quot;:&quot;Kersten&quot;,&quot;given&quot;:&quot;Jens&quot;},{&quot;family&quot;:&quot;Twele&quot;,&quot;given&quot;:&quot;André&quot;}],&quot;issued&quot;:{&quot;date-parts&quot;:[[&quot;2015&quot;,&quot;6&quot;]]},&quot;DOI&quot;:&quot;10.1016/j.isprsjprs.2014.07.014&quot;,&quot;citation-label&quot;:&quot;10489208&quot;},{&quot;title&quot;:&quot;High-resolution mapping of global surface water and its long-term changes.&quot;,&quot;page&quot;:&quot;418-422&quot;,&quot;volume&quot;:&quot;540&quot;,&quot;issue&quot;:&quot;7633&quot;,&quot;journalAbbreviation&quot;:&quot;Nature&quot;,&quot;id&quot;:&quot;5645241&quot;,&quot;type&quot;:&quot;article-journal&quot;,&quot;container-title&quot;:&quot;Nature&quot;,&quot;container-title-short&quot;:&quot;Nature&quot;,&quot;abstract&quot;:&quot;The location and persistence of surface water (inland and coastal) is both affected by climate and human activity and affects climate, biological diversity and human wellbeing. Global data sets documenting surface water location and seasonality have been produced from inventories and national descriptions, statistical extrapolation of regional data and satellite imagery, but measuring long-term changes at high resolution remains a challenge. Here, using three million Landsat satellite images, we quantify changes in global surface water over the past 32 years at 30-metre resolution. We record the months and years when water was present, where occurrence changed and what form changes took in terms of seasonality and persistence. Between 1984 and 2015 permanent surface water has disappeared from an area of almost 90,000 square kilometres, roughly equivalent to that of Lake Superior, though new permanent bodies of surface water covering 184,000 square kilometres have formed elsewhere. All continental regions show a net increase in permanent water, except Oceania, which has a fractional (one per cent) net loss. Much of the increase is from reservoir filling, although climate change is also implicated. Loss is more geographically concentrated than gain. Over 70 per cent of global net permanent water loss occurred in the Middle East and Central Asia, linked to drought and human actions including river diversion or damming and unregulated withdrawal. Losses in Australia and the USA linked to long-term droughts are also evident. This globally consistent, validated data set shows that impacts of climate change and climate oscillations on surface water occurrence can be measured and that evidence can be gathered to show how surface water is altered by human activities. We anticipate that this freely available data will improve the modelling of surface forcing, provide evidence of state and change in wetland ecotones (the transition areas between biomes), and inform water-management decision-making.&quot;,&quot;author&quot;:[{&quot;family&quot;:&quot;Pekel&quot;,&quot;given&quot;:&quot;Jean-François&quot;},{&quot;family&quot;:&quot;Cottam&quot;,&quot;given&quot;:&quot;Andrew&quot;},{&quot;family&quot;:&quot;Gorelick&quot;,&quot;given&quot;:&quot;Noel&quot;},{&quot;family&quot;:&quot;Belward&quot;,&quot;given&quot;:&quot;Alan S&quot;}],&quot;issued&quot;:{&quot;date-parts&quot;:[[&quot;2016&quot;,&quot;12&quot;,&quot;15&quot;]]},&quot;DOI&quot;:&quot;10.1038/nature20584&quot;,&quot;PMID&quot;:&quot;27926733&quot;,&quot;citation-label&quot;:&quot;5645241&quot;},{&quot;title&quot;:&quot;Habitat hydrology and geomorphology control the distribution of malaria vector larvae in rural Africa.&quot;,&quot;page&quot;:&quot;e81931&quot;,&quot;volume&quot;:&quot;8&quot;,&quot;issue&quot;:&quot;12&quot;,&quot;journalAbbreviation&quot;:&quot;PLoS ONE&quot;,&quot;id&quot;:&quot;10488921&quot;,&quot;type&quot;:&quot;article-journal&quot;,&quot;container-title&quot;:&quot;Plos One&quot;,&quot;container-title-short&quot;:&quot;PLoS ONE&quot;,&quot;abstract&quot;:&quot;BACKGROUND: Larval source management is a promising component of integrated malaria control and elimination. This requires development of a framework to target productive locations through process-based understanding of habitat hydrology and geomorphology.METHODS: We conducted the first catchment scale study of fine resolution spatial and temporal variation in Anopheles habitat and productivity in relation to rainfall, hydrology and geomorphology for a high malaria transmission area of Tanzania.RESULTS: Monthly aggregates of rainfall, river stage and water table were not significantly related to the abundance of vector larvae. However, these metrics showed strong explanatory power to predict mosquito larval abundances after stratification by water body type, with a clear seasonal trend for each, defined on the basis of its geomorphological setting and origin.CONCLUSION: Hydrological and geomorphological processes governing the availability and productivity of Anopheles breeding habitat need to be understood at the local scale for which larval source management is implemented in order to effectively target larval source interventions. Mapping and monitoring these processes is a well-established practice providing a tractable way forward for developing important malaria management tools.&quot;,&quot;author&quot;:[{&quot;family&quot;:&quot;Hardy&quot;,&quot;given&quot;:&quot;A&quot;},{&quot;family&quot;:&quot;Gamarra&quot;,&quot;given&quot;:&quot;J G&quot;},{&quot;family&quot;:&quot;Cross&quot;,&quot;given&quot;:&quot;D E&quot;},{&quot;family&quot;:&quot;Macklin&quot;,&quot;given&quot;:&quot;M G&quot;},{&quot;family&quot;:&quot;Smith&quot;,&quot;given&quot;:&quot;M W&quot;},{&quot;family&quot;:&quot;Kihonda&quot;,&quot;given&quot;:&quot;J&quot;},{&quot;family&quot;:&quot;Killeen&quot;,&quot;given&quot;:&quot;G F&quot;},{&quot;family&quot;:&quot;Ling'ala&quot;,&quot;given&quot;:&quot;G N&quot;},{&quot;family&quot;:&quot;Thomas&quot;,&quot;given&quot;:&quot;C J&quot;}],&quot;issued&quot;:{&quot;date-parts&quot;:[[&quot;2013&quot;,&quot;12&quot;,&quot;3&quot;]]},&quot;DOI&quot;:&quot;10.1371/journal.pone.0081931&quot;,&quot;PMID&quot;:&quot;24312606&quot;,&quot;PMCID&quot;:&quot;PMC3849348&quot;,&quot;citation-label&quot;:&quot;10488921&quot;},{&quot;title&quot;:&quot;A review of recent ecological changes in the Sahel, with particular reference to land-use change, plants, birds and mammals&quot;,&quot;page&quot;:&quot;268-280&quot;,&quot;volume&quot;:&quot;54&quot;,&quot;issue&quot;:&quot;3&quot;,&quot;journalAbbreviation&quot;:&quot;Afr. J. Ecol.&quot;,&quot;id&quot;:&quot;10488917&quot;,&quot;type&quot;:&quot;article-journal&quot;,&quot;container-title&quot;:&quot;African journal of ecology&quot;,&quot;container-title-short&quot;:&quot;Afr. J. Ecol.&quot;,&quot;author&quot;:[{&quot;family&quot;:&quot;Walther&quot;,&quot;given&quot;:&quot;Bruno A.&quot;}],&quot;issued&quot;:{&quot;date-parts&quot;:[[&quot;2016&quot;,&quot;9&quot;]]},&quot;DOI&quot;:&quot;10.1111/aje.12350&quot;,&quot;citation-label&quot;:&quot;10488917&quot;},{&quot;title&quot;:&quot;Automatic detection of open and vegetated water bodies using sentinel 1 to map african malaria vector mosquito breeding habitats&quot;,&quot;page&quot;:&quot;593&quot;,&quot;volume&quot;:&quot;11&quot;,&quot;issue&quot;:&quot;5&quot;,&quot;journalAbbreviation&quot;:&quot;Remote Sens (Basel)&quot;,&quot;id&quot;:&quot;8403059&quot;,&quot;type&quot;:&quot;article-journal&quot;,&quot;container-title&quot;:&quot;Remote Sensing&quot;,&quot;container-title-short&quot;:&quot;Remote Sens (Basel)&quot;,&quot;abstract&quot;:&quot;Providing timely and accurate maps of surface water is valuable for mapping malaria risk and targeting disease control interventions. Radar satellite remote sensing has the potential to provide this information but current approaches are not suitable for mapping African malarial mosquito aquatic habitats that tend to be highly dynamic, often with emergent vegetation. We present a novel approach for mapping both open and vegetated water bodies using serial Sentinel-1 imagery for Western Zambia. This region is dominated by the seasonally inundated Upper Zambezi floodplain that suffers from a number of public health challenges. The approach uses open source segmentation and machine learning (extra trees classifier), applied to training data that are automatically derived using freely available ancillary data. Refinement is implemented through a consensus approach and Otsu thresholding to eliminate false positives due to dry flat sandy areas. The results indicate a high degree of accuracy (mean overall accuracy 92% st dev 3.6) providing a tractable solution for operationally mapping water bodies in similar large river floodplain unforested environments. For the period studied, 70% of the total water extent mapped was attributed to vegetated water, highlighting the importance of mapping both open and vegetated water bodies for surface water mapping.&quot;,&quot;author&quot;:[{&quot;family&quot;:&quot;Hardy&quot;,&quot;given&quot;:&quot;Andy&quot;},{&quot;family&quot;:&quot;Ettritch&quot;,&quot;given&quot;:&quot;Georgina&quot;},{&quot;family&quot;:&quot;Cross&quot;,&quot;given&quot;:&quot;Dónall&quot;},{&quot;family&quot;:&quot;Bunting&quot;,&quot;given&quot;:&quot;Pete&quot;},{&quot;family&quot;:&quot;Liywalii&quot;,&quot;given&quot;:&quot;Francis&quot;},{&quot;family&quot;:&quot;Sakala&quot;,&quot;given&quot;:&quot;Jacob&quot;},{&quot;family&quot;:&quot;Silumesii&quot;,&quot;given&quot;:&quot;Andrew&quot;},{&quot;family&quot;:&quot;Singini&quot;,&quot;given&quot;:&quot;Douglas&quot;},{&quot;family&quot;:&quot;Smith&quot;,&quot;given&quot;:&quot;Mark&quot;},{&quot;family&quot;:&quot;Willis&quot;,&quot;given&quot;:&quot;Tom&quot;},{&quot;family&quot;:&quot;Thomas&quot;,&quot;given&quot;:&quot;Chris&quot;}],&quot;issued&quot;:{&quot;date-parts&quot;:[[&quot;2019&quot;,&quot;3&quot;,&quot;12&quot;]]},&quot;DOI&quot;:&quot;10.3390/rs11050593&quot;,&quot;citation-label&quot;:&quot;8403059&quot;},{&quot;title&quot;:&quot;High-resolution global maps of 21st-century forest cover change.&quot;,&quot;page&quot;:&quot;850-853&quot;,&quot;volume&quot;:&quot;342&quot;,&quot;issue&quot;:&quot;6160&quot;,&quot;journalAbbreviation&quot;:&quot;Science&quot;,&quot;id&quot;:&quot;576738&quot;,&quot;type&quot;:&quot;article-journal&quot;,&quot;container-title&quot;:&quot;Science&quot;,&quot;container-title-short&quot;:&quot;Science&quot;,&quot;abstract&quot;:&quot;Quantification of global forest change has been lacking despite the recognized importance of forest ecosystem services. In this study, Earth observation satellite data were used to map global forest loss (2.3 million square kilometers) and gain (0.8 million square kilometers) from 2000 to 2012 at a spatial resolution of 30 meters. The tropics were the only climate domain to exhibit a trend, with forest loss increasing by 2101 square kilometers per year. Brazil's well-documented reduction in deforestation was offset by increasing forest loss in Indonesia, Malaysia, Paraguay, Bolivia, Zambia, Angola, and elsewhere. Intensive forestry practiced within subtropical forests resulted in the highest rates of forest change globally. Boreal forest loss due largely to fire and forestry was second to that in the tropics in absolute and proportional terms. These results depict a globally consistent and locally relevant record of forest change.&quot;,&quot;author&quot;:[{&quot;family&quot;:&quot;Hansen&quot;,&quot;given&quot;:&quot;M C&quot;},{&quot;family&quot;:&quot;Potapov&quot;,&quot;given&quot;:&quot;P V&quot;},{&quot;family&quot;:&quot;Moore&quot;,&quot;given&quot;:&quot;R&quot;},{&quot;family&quot;:&quot;Hancher&quot;,&quot;given&quot;:&quot;M&quot;},{&quot;family&quot;:&quot;Turubanova&quot;,&quot;given&quot;:&quot;S A&quot;},{&quot;family&quot;:&quot;Tyukavina&quot;,&quot;given&quot;:&quot;A&quot;},{&quot;family&quot;:&quot;Thau&quot;,&quot;given&quot;:&quot;D&quot;},{&quot;family&quot;:&quot;Stehman&quot;,&quot;given&quot;:&quot;S V&quot;},{&quot;family&quot;:&quot;Goetz&quot;,&quot;given&quot;:&quot;S J&quot;},{&quot;family&quot;:&quot;Loveland&quot;,&quot;given&quot;:&quot;T R&quot;},{&quot;family&quot;:&quot;Kommareddy&quot;,&quot;given&quot;:&quot;A&quot;},{&quot;family&quot;:&quot;Egorov&quot;,&quot;given&quot;:&quot;A&quot;},{&quot;family&quot;:&quot;Chini&quot;,&quot;given&quot;:&quot;L&quot;},{&quot;family&quot;:&quot;Justice&quot;,&quot;given&quot;:&quot;C O&quot;},{&quot;family&quot;:&quot;Townshend&quot;,&quot;given&quot;:&quot;J R G&quot;}],&quot;issued&quot;:{&quot;date-parts&quot;:[[&quot;2013&quot;,&quot;11&quot;,&quot;15&quot;]]},&quot;DOI&quot;:&quot;10.1126/science.1244693&quot;,&quot;PMID&quot;:&quot;24233722&quot;,&quot;citation-label&quot;:&quot;576738&quot;},{&quot;title&quot;:&quot;Information sheet on Ramsar wetlands&quot;,&quot;publisher&quot;:&quot;Ramsar Convention&quot;,&quot;page&quot;:&quot;1-17&quot;,&quot;id&quot;:&quot;10488930&quot;,&quot;type&quot;:&quot;report&quot;,&quot;author&quot;:[{&quot;family&quot;:&quot;Ramsar&quot;}],&quot;issued&quot;:{&quot;date-parts&quot;:[[&quot;2006&quot;]]},&quot;publisher-place&quot;:&quot;Gland, Switzerland&quot;,&quot;citation-label&quot;:&quot;10488930&quot;}]"/>
    <we:property name="sciwheel-selectedStyle" value="{&quot;id&quot;:&quot;cite-them-right-11th-edition-harvard&quot;,&quot;name&quot;:&quot;Cite Them Right 11th Edition - Harvard&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137</TotalTime>
  <Pages>9</Pages>
  <Words>3597</Words>
  <Characters>20503</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Andy Hardy [ajh13] (Staff)</cp:lastModifiedBy>
  <cp:revision>661</cp:revision>
  <cp:lastPrinted>2026-03-17T14:10:00Z</cp:lastPrinted>
  <dcterms:created xsi:type="dcterms:W3CDTF">2025-07-31T13:04:00Z</dcterms:created>
  <dcterms:modified xsi:type="dcterms:W3CDTF">2026-06-17T10:18:00Z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2dfecbd-fc97-4e8a-a9cd-19ed496c406e_Enabled">
    <vt:lpwstr>true</vt:lpwstr>
  </property>
  <property fmtid="{D5CDD505-2E9C-101B-9397-08002B2CF9AE}" pid="3" name="MSIP_Label_f2dfecbd-fc97-4e8a-a9cd-19ed496c406e_SetDate">
    <vt:lpwstr>2025-07-31T13:05:35Z</vt:lpwstr>
  </property>
  <property fmtid="{D5CDD505-2E9C-101B-9397-08002B2CF9AE}" pid="4" name="MSIP_Label_f2dfecbd-fc97-4e8a-a9cd-19ed496c406e_Method">
    <vt:lpwstr>Standard</vt:lpwstr>
  </property>
  <property fmtid="{D5CDD505-2E9C-101B-9397-08002B2CF9AE}" pid="5" name="MSIP_Label_f2dfecbd-fc97-4e8a-a9cd-19ed496c406e_Name">
    <vt:lpwstr>defa4170-0d19-0005-0004-bc88714345d2</vt:lpwstr>
  </property>
  <property fmtid="{D5CDD505-2E9C-101B-9397-08002B2CF9AE}" pid="6" name="MSIP_Label_f2dfecbd-fc97-4e8a-a9cd-19ed496c406e_SiteId">
    <vt:lpwstr>d47b090e-3f5a-4ca0-84d0-9f89d269f175</vt:lpwstr>
  </property>
  <property fmtid="{D5CDD505-2E9C-101B-9397-08002B2CF9AE}" pid="7" name="MSIP_Label_f2dfecbd-fc97-4e8a-a9cd-19ed496c406e_ActionId">
    <vt:lpwstr>d17d7b40-9d7f-4645-a4d1-0be517073c66</vt:lpwstr>
  </property>
  <property fmtid="{D5CDD505-2E9C-101B-9397-08002B2CF9AE}" pid="8" name="MSIP_Label_f2dfecbd-fc97-4e8a-a9cd-19ed496c406e_ContentBits">
    <vt:lpwstr>0</vt:lpwstr>
  </property>
  <property fmtid="{D5CDD505-2E9C-101B-9397-08002B2CF9AE}" pid="9" name="MSIP_Label_f2dfecbd-fc97-4e8a-a9cd-19ed496c406e_Tag">
    <vt:lpwstr>50, 3, 0, 1</vt:lpwstr>
  </property>
  <property fmtid="{D5CDD505-2E9C-101B-9397-08002B2CF9AE}" pid="10" name="ZOTERO_PREF_1">
    <vt:lpwstr>&lt;data data-version="3" zotero-version="9.0.4"&gt;&lt;session id="EIG4hdhB"/&gt;&lt;style id="http://www.zotero.org/styles/nature" hasBibliography="1" bibliographyStyleHasBeenSet="1"/&gt;&lt;prefs&gt;&lt;pref name="fieldType" value="Field"/&gt;&lt;/prefs&gt;&lt;/data&gt;</vt:lpwstr>
  </property>
</Properties>
</file>