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870C62" w14:textId="68C7E789" w:rsidR="007A6BB9" w:rsidRPr="00E673E9" w:rsidRDefault="00F03D1F" w:rsidP="007A6BB9">
      <w:pPr>
        <w:jc w:val="center"/>
        <w:rPr>
          <w:b/>
          <w:sz w:val="24"/>
        </w:rPr>
      </w:pPr>
      <w:r w:rsidRPr="00E673E9">
        <w:rPr>
          <w:b/>
          <w:sz w:val="24"/>
        </w:rPr>
        <w:t>Additional file 1</w:t>
      </w:r>
    </w:p>
    <w:p w14:paraId="0DD84738" w14:textId="77777777" w:rsidR="007A6BB9" w:rsidRPr="00E673E9" w:rsidRDefault="007A6BB9" w:rsidP="007A6BB9">
      <w:pPr>
        <w:spacing w:line="240" w:lineRule="auto"/>
        <w:ind w:left="1134"/>
        <w:rPr>
          <w:rFonts w:cstheme="minorHAnsi"/>
          <w:sz w:val="20"/>
          <w:szCs w:val="20"/>
        </w:rPr>
      </w:pPr>
    </w:p>
    <w:p w14:paraId="3D30FAB9" w14:textId="4812A475" w:rsidR="007A6BB9" w:rsidRPr="00E673E9" w:rsidRDefault="007A6BB9" w:rsidP="007A6BB9">
      <w:pPr>
        <w:jc w:val="both"/>
        <w:rPr>
          <w:rFonts w:cstheme="minorHAnsi"/>
          <w:b/>
        </w:rPr>
      </w:pPr>
      <w:r w:rsidRPr="00E673E9">
        <w:rPr>
          <w:rFonts w:cstheme="minorHAnsi"/>
          <w:b/>
        </w:rPr>
        <w:t>1.</w:t>
      </w:r>
      <w:r w:rsidR="00547BBD" w:rsidRPr="00E673E9">
        <w:rPr>
          <w:rFonts w:cstheme="minorHAnsi"/>
          <w:b/>
        </w:rPr>
        <w:t xml:space="preserve"> </w:t>
      </w:r>
      <w:r w:rsidRPr="00E673E9">
        <w:rPr>
          <w:rFonts w:cstheme="minorHAnsi"/>
          <w:b/>
        </w:rPr>
        <w:t>French CML Observatory</w:t>
      </w:r>
    </w:p>
    <w:p w14:paraId="1B0F5AB5" w14:textId="4EFA6062" w:rsidR="007A6BB9" w:rsidRPr="00E673E9" w:rsidRDefault="00B97DE0" w:rsidP="007A6BB9">
      <w:pPr>
        <w:jc w:val="both"/>
        <w:rPr>
          <w:rFonts w:cstheme="minorHAnsi"/>
        </w:rPr>
      </w:pPr>
      <w:r>
        <w:rPr>
          <w:rFonts w:cstheme="minorHAnsi"/>
        </w:rPr>
        <w:t>T</w:t>
      </w:r>
      <w:r w:rsidR="007A6BB9" w:rsidRPr="00E673E9">
        <w:rPr>
          <w:rFonts w:cstheme="minorHAnsi"/>
        </w:rPr>
        <w:t>he French CML Observatory (</w:t>
      </w:r>
      <w:proofErr w:type="spellStart"/>
      <w:r w:rsidR="007A6BB9" w:rsidRPr="00E673E9">
        <w:rPr>
          <w:rFonts w:cstheme="minorHAnsi"/>
        </w:rPr>
        <w:t>clinicaltrials</w:t>
      </w:r>
      <w:proofErr w:type="spellEnd"/>
      <w:r w:rsidR="007A6BB9" w:rsidRPr="00E673E9">
        <w:rPr>
          <w:rFonts w:cstheme="minorHAnsi"/>
        </w:rPr>
        <w:t>: # NCT05963061), a multicent</w:t>
      </w:r>
      <w:r w:rsidR="00E673E9">
        <w:rPr>
          <w:rFonts w:cstheme="minorHAnsi"/>
        </w:rPr>
        <w:t>er</w:t>
      </w:r>
      <w:r w:rsidR="007A6BB9" w:rsidRPr="00E673E9">
        <w:rPr>
          <w:rFonts w:cstheme="minorHAnsi"/>
        </w:rPr>
        <w:t xml:space="preserve"> database designed to collect real-world data of patients with chronic myeloid leukemia (CML)</w:t>
      </w:r>
      <w:r w:rsidR="007A6BB9" w:rsidRPr="00E673E9">
        <w:rPr>
          <w:rFonts w:cstheme="minorHAnsi"/>
        </w:rPr>
        <w:fldChar w:fldCharType="begin"/>
      </w:r>
      <w:r w:rsidR="007A6BB9" w:rsidRPr="00E673E9">
        <w:rPr>
          <w:rFonts w:cstheme="minorHAnsi"/>
        </w:rPr>
        <w:instrText xml:space="preserve"> ADDIN ZOTERO_ITEM CSL_CITATION {"citationID":"brDv95Qd","properties":{"formattedCitation":"\\super 1\\nosupersub{}","plainCitation":"1","noteIndex":0},"citationItems":[{"id":134,"uris":["http://zotero.org/groups/5742877/items/8EX9XC74"],"itemData":{"id":134,"type":"article-journal","container-title":"Annals of Hematology","DOI":"10.1007/s00277-022-04955-z","ISSN":"0939-5555, 1432-0584","issue":"10","journalAbbreviation":"Ann Hematol","language":"en","page":"2241-2255","source":"DOI.org (Crossref)","title":"Real-world therapeutic response and tyrosine kinase inhibitor discontinuation in chronic phase-chronic myeloid leukemia: data from the French observatory","title-short":"Real-world therapeutic response and tyrosine kinase inhibitor discontinuation in chronic phase-chronic myeloid leukemia","volume":"101","author":[{"family":"Saugues","given":"Sandrine"},{"family":"Lambert","given":"Céline"},{"family":"Daguenet","given":"Elisabeth"},{"family":"Ansah","given":"Hyacinthe Johnson"},{"family":"Turhan","given":"Ali"},{"family":"Huguet","given":"Françoise"},{"family":"Guerci-Bresler","given":"Agnès"},{"family":"Tchirkov","given":"Andreï"},{"family":"Hamroun","given":"Dalil"},{"family":"Hermet","given":"Eric"},{"family":"Pereira","given":"Bruno"},{"family":"Berger","given":"Marc G."}],"issued":{"date-parts":[["2022",10]]}}}],"schema":"https://github.com/citation-style-language/schema/raw/master/csl-citation.json"} </w:instrText>
      </w:r>
      <w:r w:rsidR="007A6BB9" w:rsidRPr="00E673E9">
        <w:rPr>
          <w:rFonts w:cstheme="minorHAnsi"/>
        </w:rPr>
        <w:fldChar w:fldCharType="separate"/>
      </w:r>
      <w:r w:rsidR="007A6BB9" w:rsidRPr="00E673E9">
        <w:rPr>
          <w:rFonts w:ascii="Calibri" w:hAnsi="Calibri" w:cs="Calibri"/>
          <w:vertAlign w:val="superscript"/>
        </w:rPr>
        <w:t>1</w:t>
      </w:r>
      <w:r w:rsidR="007A6BB9" w:rsidRPr="00E673E9">
        <w:rPr>
          <w:rFonts w:cstheme="minorHAnsi"/>
        </w:rPr>
        <w:fldChar w:fldCharType="end"/>
      </w:r>
      <w:r w:rsidR="007A6BB9" w:rsidRPr="00E673E9">
        <w:rPr>
          <w:rFonts w:cstheme="minorHAnsi"/>
        </w:rPr>
        <w:t xml:space="preserve">. The CML Observatory database </w:t>
      </w:r>
      <w:proofErr w:type="gramStart"/>
      <w:r w:rsidR="007A6BB9" w:rsidRPr="00E673E9">
        <w:rPr>
          <w:rFonts w:cstheme="minorHAnsi"/>
        </w:rPr>
        <w:t>was created</w:t>
      </w:r>
      <w:proofErr w:type="gramEnd"/>
      <w:r w:rsidR="007A6BB9" w:rsidRPr="00E673E9">
        <w:rPr>
          <w:rFonts w:cstheme="minorHAnsi"/>
        </w:rPr>
        <w:t xml:space="preserve"> in France in 2013. This database consists of a robust security infrastructure to support data authentication, confidentiality and integrity. To access the system, each user receives a personal username and password. Online data input and access are restricted to clinicians and clinical research assistants with a personal account. The administrator generates the access codes, after the user has signed a written agreement. Healthcare professionals have secure access to the data of the patients with CML they have included. Conversely, only fully anonymous data are available to researchers and for analysis. All registered patients have a CML ID that </w:t>
      </w:r>
      <w:proofErr w:type="gramStart"/>
      <w:r w:rsidR="007A6BB9" w:rsidRPr="00E673E9">
        <w:rPr>
          <w:rFonts w:cstheme="minorHAnsi"/>
        </w:rPr>
        <w:t>is automatically generated</w:t>
      </w:r>
      <w:proofErr w:type="gramEnd"/>
      <w:r w:rsidR="007A6BB9" w:rsidRPr="00E673E9">
        <w:rPr>
          <w:rFonts w:cstheme="minorHAnsi"/>
        </w:rPr>
        <w:t xml:space="preserve"> at the first registration. This database is a 4D development platform. The daily automatic backup of the structure and data files </w:t>
      </w:r>
      <w:proofErr w:type="gramStart"/>
      <w:r w:rsidR="007A6BB9" w:rsidRPr="00E673E9">
        <w:rPr>
          <w:rFonts w:cstheme="minorHAnsi"/>
        </w:rPr>
        <w:t>are ensured</w:t>
      </w:r>
      <w:proofErr w:type="gramEnd"/>
      <w:r w:rsidR="007A6BB9" w:rsidRPr="00E673E9">
        <w:rPr>
          <w:rFonts w:cstheme="minorHAnsi"/>
        </w:rPr>
        <w:t xml:space="preserve"> on two independent servers. The development software </w:t>
      </w:r>
      <w:proofErr w:type="gramStart"/>
      <w:r w:rsidR="007A6BB9" w:rsidRPr="00E673E9">
        <w:rPr>
          <w:rFonts w:cstheme="minorHAnsi"/>
        </w:rPr>
        <w:t>is updated</w:t>
      </w:r>
      <w:proofErr w:type="gramEnd"/>
      <w:r w:rsidR="007A6BB9" w:rsidRPr="00E673E9">
        <w:rPr>
          <w:rFonts w:cstheme="minorHAnsi"/>
        </w:rPr>
        <w:t xml:space="preserve"> every 6 months. </w:t>
      </w:r>
      <w:proofErr w:type="gramStart"/>
      <w:r w:rsidR="007A6BB9" w:rsidRPr="00E673E9">
        <w:rPr>
          <w:rFonts w:cstheme="minorHAnsi"/>
        </w:rPr>
        <w:t>The CML Observatory is hosted by a professional health data host (MIPIH)</w:t>
      </w:r>
      <w:proofErr w:type="gramEnd"/>
      <w:r w:rsidR="007A6BB9" w:rsidRPr="00E673E9">
        <w:rPr>
          <w:rFonts w:cstheme="minorHAnsi"/>
        </w:rPr>
        <w:t xml:space="preserve">. The clinical and laboratory data of each patient </w:t>
      </w:r>
      <w:proofErr w:type="gramStart"/>
      <w:r w:rsidR="007A6BB9" w:rsidRPr="00E673E9">
        <w:rPr>
          <w:rFonts w:cstheme="minorHAnsi"/>
        </w:rPr>
        <w:t>are recorded</w:t>
      </w:r>
      <w:proofErr w:type="gramEnd"/>
      <w:r w:rsidR="007A6BB9" w:rsidRPr="00E673E9">
        <w:rPr>
          <w:rFonts w:cstheme="minorHAnsi"/>
        </w:rPr>
        <w:t xml:space="preserve"> after obtaining the informed consent. The record sheet has been adapted to the follow-up of patients with CML. Data recording is retrospective and prospective. The patient’s characteristics, treatments (dosage, treatment changes and their reasons), and laboratory results (particularly </w:t>
      </w:r>
      <w:r w:rsidR="007A6BB9" w:rsidRPr="00E673E9">
        <w:rPr>
          <w:rFonts w:cstheme="minorHAnsi"/>
          <w:i/>
          <w:iCs/>
        </w:rPr>
        <w:t>BCR::ABL1</w:t>
      </w:r>
      <w:r w:rsidR="007A6BB9" w:rsidRPr="00E673E9">
        <w:rPr>
          <w:rFonts w:cstheme="minorHAnsi"/>
        </w:rPr>
        <w:t xml:space="preserve"> transcript quantification) are recorded. Some variables, such as prognostic scores, </w:t>
      </w:r>
      <w:proofErr w:type="gramStart"/>
      <w:r w:rsidR="007A6BB9" w:rsidRPr="00E673E9">
        <w:rPr>
          <w:rFonts w:cstheme="minorHAnsi"/>
        </w:rPr>
        <w:t>are calculated</w:t>
      </w:r>
      <w:proofErr w:type="gramEnd"/>
      <w:r w:rsidR="007A6BB9" w:rsidRPr="00E673E9">
        <w:rPr>
          <w:rFonts w:cstheme="minorHAnsi"/>
        </w:rPr>
        <w:t xml:space="preserve"> automatically. The CML Observatory has been authori</w:t>
      </w:r>
      <w:r w:rsidR="00E673E9">
        <w:rPr>
          <w:rFonts w:cstheme="minorHAnsi"/>
        </w:rPr>
        <w:t>z</w:t>
      </w:r>
      <w:r w:rsidR="007A6BB9" w:rsidRPr="00E673E9">
        <w:rPr>
          <w:rFonts w:cstheme="minorHAnsi"/>
        </w:rPr>
        <w:t>ed by CNIL (authori</w:t>
      </w:r>
      <w:r w:rsidR="00E673E9">
        <w:rPr>
          <w:rFonts w:cstheme="minorHAnsi"/>
        </w:rPr>
        <w:t>z</w:t>
      </w:r>
      <w:r w:rsidR="007A6BB9" w:rsidRPr="00E673E9">
        <w:rPr>
          <w:rFonts w:cstheme="minorHAnsi"/>
        </w:rPr>
        <w:t xml:space="preserve">ation no. 914456), the French data protection authority. It </w:t>
      </w:r>
      <w:proofErr w:type="gramStart"/>
      <w:r w:rsidR="007A6BB9" w:rsidRPr="00E673E9">
        <w:rPr>
          <w:rFonts w:cstheme="minorHAnsi"/>
        </w:rPr>
        <w:t>is promoted</w:t>
      </w:r>
      <w:proofErr w:type="gramEnd"/>
      <w:r w:rsidR="007A6BB9" w:rsidRPr="00E673E9">
        <w:rPr>
          <w:rFonts w:cstheme="minorHAnsi"/>
        </w:rPr>
        <w:t xml:space="preserve"> by Clermont-Ferrand University Hospital that is the coordinating cent</w:t>
      </w:r>
      <w:r w:rsidR="00E673E9">
        <w:rPr>
          <w:rFonts w:cstheme="minorHAnsi"/>
        </w:rPr>
        <w:t>er</w:t>
      </w:r>
      <w:r w:rsidR="007A6BB9" w:rsidRPr="00E673E9">
        <w:rPr>
          <w:rFonts w:cstheme="minorHAnsi"/>
        </w:rPr>
        <w:t xml:space="preserve">. </w:t>
      </w:r>
    </w:p>
    <w:p w14:paraId="3717A0E1" w14:textId="77777777" w:rsidR="007A6BB9" w:rsidRPr="00E673E9" w:rsidRDefault="007A6BB9" w:rsidP="007A6BB9">
      <w:pPr>
        <w:jc w:val="both"/>
        <w:rPr>
          <w:rFonts w:cstheme="minorHAnsi"/>
          <w:sz w:val="20"/>
          <w:szCs w:val="20"/>
        </w:rPr>
      </w:pPr>
      <w:bookmarkStart w:id="0" w:name="_GoBack"/>
    </w:p>
    <w:p w14:paraId="2083AA63" w14:textId="77777777" w:rsidR="007A6BB9" w:rsidRPr="00E673E9" w:rsidRDefault="007A6BB9" w:rsidP="007A6BB9">
      <w:pPr>
        <w:pStyle w:val="Bibliographie"/>
        <w:rPr>
          <w:rFonts w:ascii="Calibri" w:hAnsi="Calibri" w:cs="Calibri"/>
        </w:rPr>
      </w:pPr>
      <w:r w:rsidRPr="00E673E9">
        <w:rPr>
          <w:rFonts w:cstheme="minorHAnsi"/>
          <w:b/>
        </w:rPr>
        <w:fldChar w:fldCharType="begin"/>
      </w:r>
      <w:r w:rsidRPr="0075545D">
        <w:rPr>
          <w:rFonts w:cstheme="minorHAnsi"/>
          <w:b/>
          <w:lang w:val="fr-FR"/>
        </w:rPr>
        <w:instrText xml:space="preserve"> ADDIN ZOTERO_BIBL {"uncited":[],"omitted":[],"custom":[]} CSL_BIBLIOGRAPHY </w:instrText>
      </w:r>
      <w:r w:rsidRPr="00E673E9">
        <w:rPr>
          <w:rFonts w:cstheme="minorHAnsi"/>
          <w:b/>
        </w:rPr>
        <w:fldChar w:fldCharType="separate"/>
      </w:r>
      <w:r w:rsidRPr="0075545D">
        <w:rPr>
          <w:rFonts w:ascii="Calibri" w:hAnsi="Calibri" w:cs="Calibri"/>
          <w:lang w:val="fr-FR"/>
        </w:rPr>
        <w:t>1.</w:t>
      </w:r>
      <w:r w:rsidRPr="0075545D">
        <w:rPr>
          <w:rFonts w:ascii="Calibri" w:hAnsi="Calibri" w:cs="Calibri"/>
          <w:lang w:val="fr-FR"/>
        </w:rPr>
        <w:tab/>
        <w:t xml:space="preserve">Saugues S, Lambert C, Daguenet E, et al. </w:t>
      </w:r>
      <w:r w:rsidRPr="00E673E9">
        <w:rPr>
          <w:rFonts w:ascii="Calibri" w:hAnsi="Calibri" w:cs="Calibri"/>
        </w:rPr>
        <w:t xml:space="preserve">Real-world therapeutic response and tyrosine kinase inhibitor discontinuation in chronic phase-chronic myeloid leukemia: data from the French observatory. </w:t>
      </w:r>
      <w:r w:rsidRPr="00E673E9">
        <w:rPr>
          <w:rFonts w:ascii="Calibri" w:hAnsi="Calibri" w:cs="Calibri"/>
          <w:i/>
          <w:iCs/>
        </w:rPr>
        <w:t>Ann Hematol</w:t>
      </w:r>
      <w:r w:rsidRPr="00E673E9">
        <w:rPr>
          <w:rFonts w:ascii="Calibri" w:hAnsi="Calibri" w:cs="Calibri"/>
        </w:rPr>
        <w:t>. 2022;101(10):2241-2255. doi:10.1007/s00277-022-04955-z</w:t>
      </w:r>
    </w:p>
    <w:p w14:paraId="1E598893" w14:textId="465EAAB9" w:rsidR="007A6BB9" w:rsidRPr="00E673E9" w:rsidRDefault="007A6BB9" w:rsidP="007A6BB9">
      <w:pPr>
        <w:rPr>
          <w:rFonts w:cstheme="minorHAnsi"/>
          <w:b/>
          <w:sz w:val="24"/>
          <w:szCs w:val="20"/>
        </w:rPr>
      </w:pPr>
      <w:r w:rsidRPr="00E673E9">
        <w:rPr>
          <w:rFonts w:cstheme="minorHAnsi"/>
          <w:b/>
        </w:rPr>
        <w:fldChar w:fldCharType="end"/>
      </w:r>
      <w:r w:rsidR="00547BBD" w:rsidRPr="00E673E9">
        <w:rPr>
          <w:rFonts w:cstheme="minorHAnsi"/>
          <w:b/>
          <w:sz w:val="24"/>
          <w:szCs w:val="20"/>
        </w:rPr>
        <w:t>2</w:t>
      </w:r>
      <w:r w:rsidRPr="00E673E9">
        <w:rPr>
          <w:rFonts w:cstheme="minorHAnsi"/>
          <w:b/>
          <w:sz w:val="24"/>
          <w:szCs w:val="20"/>
        </w:rPr>
        <w:t>. Molecular responses</w:t>
      </w:r>
    </w:p>
    <w:p w14:paraId="6BD94019" w14:textId="7D5CF062" w:rsidR="007A6BB9" w:rsidRPr="00E673E9" w:rsidRDefault="007A6BB9" w:rsidP="007A6BB9">
      <w:pPr>
        <w:rPr>
          <w:rFonts w:cstheme="minorHAnsi"/>
          <w:sz w:val="24"/>
          <w:szCs w:val="20"/>
        </w:rPr>
      </w:pPr>
      <w:r w:rsidRPr="00E673E9">
        <w:rPr>
          <w:rFonts w:cstheme="minorHAnsi"/>
          <w:sz w:val="24"/>
          <w:szCs w:val="20"/>
        </w:rPr>
        <w:t xml:space="preserve">Molecular responses </w:t>
      </w:r>
      <w:proofErr w:type="gramStart"/>
      <w:r w:rsidRPr="00E673E9">
        <w:rPr>
          <w:rFonts w:cstheme="minorHAnsi"/>
          <w:sz w:val="24"/>
          <w:szCs w:val="20"/>
        </w:rPr>
        <w:t>were assessed</w:t>
      </w:r>
      <w:proofErr w:type="gramEnd"/>
      <w:r w:rsidRPr="00E673E9">
        <w:rPr>
          <w:rFonts w:cstheme="minorHAnsi"/>
          <w:sz w:val="24"/>
          <w:szCs w:val="20"/>
        </w:rPr>
        <w:t xml:space="preserve"> according to the International Scale (BCR::ABL1</w:t>
      </w:r>
      <w:r w:rsidRPr="00E673E9">
        <w:rPr>
          <w:rFonts w:cstheme="minorHAnsi"/>
          <w:sz w:val="24"/>
          <w:szCs w:val="20"/>
          <w:vertAlign w:val="superscript"/>
        </w:rPr>
        <w:t>IS</w:t>
      </w:r>
      <w:r w:rsidRPr="00E673E9">
        <w:rPr>
          <w:rFonts w:cstheme="minorHAnsi"/>
          <w:sz w:val="24"/>
          <w:szCs w:val="20"/>
        </w:rPr>
        <w:t xml:space="preserve">) using </w:t>
      </w:r>
      <w:r w:rsidRPr="00E673E9">
        <w:rPr>
          <w:rFonts w:cstheme="minorHAnsi"/>
          <w:i/>
          <w:iCs/>
          <w:sz w:val="24"/>
          <w:szCs w:val="20"/>
        </w:rPr>
        <w:t>ABL1</w:t>
      </w:r>
      <w:r w:rsidRPr="00E673E9">
        <w:rPr>
          <w:rFonts w:cstheme="minorHAnsi"/>
          <w:sz w:val="24"/>
          <w:szCs w:val="20"/>
        </w:rPr>
        <w:t xml:space="preserve"> as internal reference gene. Molecular response 2 log (MR2</w:t>
      </w:r>
      <w:bookmarkEnd w:id="0"/>
      <w:r w:rsidRPr="00E673E9">
        <w:rPr>
          <w:rFonts w:cstheme="minorHAnsi"/>
          <w:sz w:val="24"/>
          <w:szCs w:val="20"/>
        </w:rPr>
        <w:t>) is equivalent to complete cytogenetic remission (</w:t>
      </w:r>
      <w:proofErr w:type="spellStart"/>
      <w:r w:rsidRPr="00E673E9">
        <w:rPr>
          <w:rFonts w:cstheme="minorHAnsi"/>
          <w:sz w:val="24"/>
          <w:szCs w:val="20"/>
        </w:rPr>
        <w:t>CCyR</w:t>
      </w:r>
      <w:proofErr w:type="spellEnd"/>
      <w:r w:rsidRPr="00E673E9">
        <w:rPr>
          <w:rFonts w:cstheme="minorHAnsi"/>
          <w:sz w:val="24"/>
          <w:szCs w:val="20"/>
        </w:rPr>
        <w:t>) and is defined by ≤1% BCR:</w:t>
      </w:r>
      <w:proofErr w:type="gramStart"/>
      <w:r w:rsidRPr="00E673E9">
        <w:rPr>
          <w:rFonts w:cstheme="minorHAnsi"/>
          <w:sz w:val="24"/>
          <w:szCs w:val="20"/>
        </w:rPr>
        <w:t>:ABL1</w:t>
      </w:r>
      <w:r w:rsidRPr="00E673E9">
        <w:rPr>
          <w:rFonts w:cstheme="minorHAnsi"/>
          <w:sz w:val="24"/>
          <w:szCs w:val="20"/>
          <w:vertAlign w:val="superscript"/>
        </w:rPr>
        <w:t>IS</w:t>
      </w:r>
      <w:proofErr w:type="gramEnd"/>
      <w:r w:rsidRPr="00E673E9">
        <w:rPr>
          <w:rFonts w:cstheme="minorHAnsi"/>
          <w:sz w:val="24"/>
          <w:szCs w:val="20"/>
        </w:rPr>
        <w:t>/ABL1. MR3 (or major molecular response), MR4, MR4.5 and MR5 were defined by ≤ 0.1%,</w:t>
      </w:r>
      <w:r w:rsidRPr="00E673E9">
        <w:t xml:space="preserve"> </w:t>
      </w:r>
      <w:r w:rsidRPr="00E673E9">
        <w:rPr>
          <w:rFonts w:cstheme="minorHAnsi"/>
          <w:sz w:val="24"/>
          <w:szCs w:val="20"/>
        </w:rPr>
        <w:t>≤</w:t>
      </w:r>
      <w:proofErr w:type="gramStart"/>
      <w:r w:rsidRPr="00E673E9">
        <w:rPr>
          <w:rFonts w:cstheme="minorHAnsi"/>
          <w:sz w:val="24"/>
          <w:szCs w:val="20"/>
        </w:rPr>
        <w:t>0.01%</w:t>
      </w:r>
      <w:proofErr w:type="gramEnd"/>
      <w:r w:rsidRPr="00E673E9">
        <w:rPr>
          <w:rFonts w:cstheme="minorHAnsi"/>
          <w:sz w:val="24"/>
          <w:szCs w:val="20"/>
        </w:rPr>
        <w:t>,</w:t>
      </w:r>
      <w:r w:rsidRPr="00E673E9">
        <w:t xml:space="preserve"> </w:t>
      </w:r>
      <w:r w:rsidRPr="00E673E9">
        <w:rPr>
          <w:rFonts w:cstheme="minorHAnsi"/>
          <w:sz w:val="24"/>
          <w:szCs w:val="20"/>
        </w:rPr>
        <w:t>≤0.0032% and</w:t>
      </w:r>
      <w:r w:rsidRPr="00E673E9">
        <w:t xml:space="preserve"> </w:t>
      </w:r>
      <w:r w:rsidRPr="00E673E9">
        <w:rPr>
          <w:rFonts w:cstheme="minorHAnsi"/>
          <w:sz w:val="24"/>
          <w:szCs w:val="20"/>
        </w:rPr>
        <w:t>≤0.001%</w:t>
      </w:r>
      <w:r w:rsidR="00E673E9">
        <w:rPr>
          <w:rFonts w:cstheme="minorHAnsi"/>
          <w:sz w:val="24"/>
          <w:szCs w:val="20"/>
        </w:rPr>
        <w:t>,</w:t>
      </w:r>
      <w:r w:rsidR="00E673E9" w:rsidRPr="00E673E9">
        <w:rPr>
          <w:rFonts w:cstheme="minorHAnsi"/>
          <w:sz w:val="24"/>
          <w:szCs w:val="20"/>
        </w:rPr>
        <w:t xml:space="preserve"> respectively</w:t>
      </w:r>
      <w:r w:rsidRPr="00E673E9">
        <w:rPr>
          <w:rFonts w:cstheme="minorHAnsi"/>
          <w:sz w:val="24"/>
          <w:szCs w:val="20"/>
        </w:rPr>
        <w:t xml:space="preserve">. Deep molecular response (DMR) is defined as MR4 or deeper, irrespective of whether </w:t>
      </w:r>
      <w:r w:rsidRPr="00E673E9">
        <w:rPr>
          <w:rFonts w:cstheme="minorHAnsi"/>
          <w:i/>
          <w:iCs/>
          <w:sz w:val="24"/>
          <w:szCs w:val="20"/>
        </w:rPr>
        <w:t>BCR::ABL1</w:t>
      </w:r>
      <w:r w:rsidRPr="00E673E9">
        <w:rPr>
          <w:rFonts w:cstheme="minorHAnsi"/>
          <w:sz w:val="24"/>
          <w:szCs w:val="20"/>
        </w:rPr>
        <w:t xml:space="preserve"> </w:t>
      </w:r>
      <w:proofErr w:type="gramStart"/>
      <w:r w:rsidRPr="00E673E9">
        <w:rPr>
          <w:rFonts w:cstheme="minorHAnsi"/>
          <w:sz w:val="24"/>
          <w:szCs w:val="20"/>
        </w:rPr>
        <w:t>is detected</w:t>
      </w:r>
      <w:proofErr w:type="gramEnd"/>
      <w:r w:rsidRPr="00E673E9">
        <w:rPr>
          <w:rFonts w:cstheme="minorHAnsi"/>
          <w:sz w:val="24"/>
          <w:szCs w:val="20"/>
        </w:rPr>
        <w:t xml:space="preserve"> or not. </w:t>
      </w:r>
    </w:p>
    <w:p w14:paraId="5D42CEB3" w14:textId="38C858A5" w:rsidR="007A6BB9" w:rsidRPr="00E673E9" w:rsidRDefault="007A6BB9" w:rsidP="007A6BB9">
      <w:pPr>
        <w:rPr>
          <w:rFonts w:cstheme="minorHAnsi"/>
          <w:b/>
          <w:sz w:val="24"/>
          <w:szCs w:val="20"/>
        </w:rPr>
      </w:pPr>
    </w:p>
    <w:sectPr w:rsidR="007A6BB9" w:rsidRPr="00E673E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3A30D3"/>
    <w:multiLevelType w:val="hybridMultilevel"/>
    <w:tmpl w:val="9A3ED6B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6BB9"/>
    <w:rsid w:val="00066E7D"/>
    <w:rsid w:val="00212DB2"/>
    <w:rsid w:val="00395F85"/>
    <w:rsid w:val="003B42B1"/>
    <w:rsid w:val="003E3E7A"/>
    <w:rsid w:val="004A41B7"/>
    <w:rsid w:val="004B0BE0"/>
    <w:rsid w:val="00547BBD"/>
    <w:rsid w:val="00631804"/>
    <w:rsid w:val="006F6D71"/>
    <w:rsid w:val="0075545D"/>
    <w:rsid w:val="007A6BB9"/>
    <w:rsid w:val="00B97DE0"/>
    <w:rsid w:val="00CC5672"/>
    <w:rsid w:val="00E673E9"/>
    <w:rsid w:val="00F03D1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59287B"/>
  <w15:chartTrackingRefBased/>
  <w15:docId w15:val="{4F1A1008-8191-4556-B1F2-359F07E06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6BB9"/>
    <w:pPr>
      <w:spacing w:after="0" w:line="360" w:lineRule="auto"/>
    </w:pPr>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A6BB9"/>
    <w:pPr>
      <w:spacing w:after="160" w:line="259" w:lineRule="auto"/>
      <w:ind w:left="720"/>
      <w:contextualSpacing/>
    </w:pPr>
  </w:style>
  <w:style w:type="paragraph" w:styleId="NormalWeb">
    <w:name w:val="Normal (Web)"/>
    <w:basedOn w:val="Normal"/>
    <w:uiPriority w:val="99"/>
    <w:unhideWhenUsed/>
    <w:rsid w:val="007A6BB9"/>
    <w:pPr>
      <w:spacing w:before="100" w:beforeAutospacing="1" w:after="100" w:afterAutospacing="1" w:line="240" w:lineRule="auto"/>
    </w:pPr>
    <w:rPr>
      <w:rFonts w:ascii="Times New Roman" w:eastAsiaTheme="minorEastAsia" w:hAnsi="Times New Roman" w:cs="Times New Roman"/>
      <w:sz w:val="24"/>
      <w:szCs w:val="24"/>
      <w:lang w:eastAsia="fr-FR"/>
    </w:rPr>
  </w:style>
  <w:style w:type="paragraph" w:styleId="Bibliographie">
    <w:name w:val="Bibliography"/>
    <w:basedOn w:val="Normal"/>
    <w:next w:val="Normal"/>
    <w:uiPriority w:val="37"/>
    <w:unhideWhenUsed/>
    <w:rsid w:val="007A6BB9"/>
    <w:pPr>
      <w:tabs>
        <w:tab w:val="left" w:pos="264"/>
      </w:tabs>
      <w:spacing w:after="240" w:line="240" w:lineRule="auto"/>
      <w:ind w:left="264" w:hanging="264"/>
    </w:pPr>
  </w:style>
  <w:style w:type="character" w:styleId="Marquedecommentaire">
    <w:name w:val="annotation reference"/>
    <w:basedOn w:val="Policepardfaut"/>
    <w:uiPriority w:val="99"/>
    <w:semiHidden/>
    <w:unhideWhenUsed/>
    <w:rsid w:val="00CC5672"/>
    <w:rPr>
      <w:sz w:val="16"/>
      <w:szCs w:val="16"/>
    </w:rPr>
  </w:style>
  <w:style w:type="paragraph" w:styleId="Commentaire">
    <w:name w:val="annotation text"/>
    <w:basedOn w:val="Normal"/>
    <w:link w:val="CommentaireCar"/>
    <w:uiPriority w:val="99"/>
    <w:semiHidden/>
    <w:unhideWhenUsed/>
    <w:rsid w:val="00CC5672"/>
    <w:pPr>
      <w:spacing w:line="240" w:lineRule="auto"/>
    </w:pPr>
    <w:rPr>
      <w:sz w:val="20"/>
      <w:szCs w:val="20"/>
    </w:rPr>
  </w:style>
  <w:style w:type="character" w:customStyle="1" w:styleId="CommentaireCar">
    <w:name w:val="Commentaire Car"/>
    <w:basedOn w:val="Policepardfaut"/>
    <w:link w:val="Commentaire"/>
    <w:uiPriority w:val="99"/>
    <w:semiHidden/>
    <w:rsid w:val="00CC5672"/>
    <w:rPr>
      <w:sz w:val="20"/>
      <w:szCs w:val="20"/>
      <w:lang w:val="en-GB"/>
    </w:rPr>
  </w:style>
  <w:style w:type="paragraph" w:styleId="Objetducommentaire">
    <w:name w:val="annotation subject"/>
    <w:basedOn w:val="Commentaire"/>
    <w:next w:val="Commentaire"/>
    <w:link w:val="ObjetducommentaireCar"/>
    <w:uiPriority w:val="99"/>
    <w:semiHidden/>
    <w:unhideWhenUsed/>
    <w:rsid w:val="00CC5672"/>
    <w:rPr>
      <w:b/>
      <w:bCs/>
    </w:rPr>
  </w:style>
  <w:style w:type="character" w:customStyle="1" w:styleId="ObjetducommentaireCar">
    <w:name w:val="Objet du commentaire Car"/>
    <w:basedOn w:val="CommentaireCar"/>
    <w:link w:val="Objetducommentaire"/>
    <w:uiPriority w:val="99"/>
    <w:semiHidden/>
    <w:rsid w:val="00CC5672"/>
    <w:rPr>
      <w:b/>
      <w:bCs/>
      <w:sz w:val="20"/>
      <w:szCs w:val="20"/>
      <w:lang w:val="en-GB"/>
    </w:rPr>
  </w:style>
  <w:style w:type="paragraph" w:styleId="Textedebulles">
    <w:name w:val="Balloon Text"/>
    <w:basedOn w:val="Normal"/>
    <w:link w:val="TextedebullesCar"/>
    <w:uiPriority w:val="99"/>
    <w:semiHidden/>
    <w:unhideWhenUsed/>
    <w:rsid w:val="00CC5672"/>
    <w:pPr>
      <w:spacing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CC5672"/>
    <w:rPr>
      <w:rFonts w:ascii="Segoe UI" w:hAnsi="Segoe UI" w:cs="Segoe UI"/>
      <w:sz w:val="18"/>
      <w:szCs w:val="18"/>
      <w:lang w:val="en-GB"/>
    </w:rPr>
  </w:style>
  <w:style w:type="paragraph" w:styleId="Rvision">
    <w:name w:val="Revision"/>
    <w:hidden/>
    <w:uiPriority w:val="99"/>
    <w:semiHidden/>
    <w:rsid w:val="00E673E9"/>
    <w:pPr>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646</Words>
  <Characters>3554</Characters>
  <Application>Microsoft Office Word</Application>
  <DocSecurity>0</DocSecurity>
  <Lines>29</Lines>
  <Paragraphs>8</Paragraphs>
  <ScaleCrop>false</ScaleCrop>
  <HeadingPairs>
    <vt:vector size="2" baseType="variant">
      <vt:variant>
        <vt:lpstr>Titre</vt:lpstr>
      </vt:variant>
      <vt:variant>
        <vt:i4>1</vt:i4>
      </vt:variant>
    </vt:vector>
  </HeadingPairs>
  <TitlesOfParts>
    <vt:vector size="1" baseType="lpstr">
      <vt:lpstr/>
    </vt:vector>
  </TitlesOfParts>
  <Company>CHU de Clermont-Fd</Company>
  <LinksUpToDate>false</LinksUpToDate>
  <CharactersWithSpaces>4192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Moinard Sylvain</dc:creator>
  <cp:keywords/>
  <dc:description/>
  <cp:lastModifiedBy>Berger Marc</cp:lastModifiedBy>
  <cp:revision>2</cp:revision>
  <dcterms:created xsi:type="dcterms:W3CDTF">2026-06-18T06:23:00Z</dcterms:created>
  <dcterms:modified xsi:type="dcterms:W3CDTF">2026-06-18T06:23:00Z</dcterms:modified>
</cp:coreProperties>
</file>