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4955" w:rsidRDefault="00614955" w:rsidP="00614955">
      <w:pPr>
        <w:spacing w:line="360" w:lineRule="auto"/>
        <w:rPr>
          <w:rFonts w:ascii="Times New Roman" w:eastAsia="AdvTT31ea7dbe" w:hAnsi="Times New Roman" w:cs="Times New Roman"/>
          <w:color w:val="000000"/>
          <w:szCs w:val="21"/>
          <w:lang w:bidi="en-US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Supplementary table S</w:t>
      </w:r>
      <w:r>
        <w:rPr>
          <w:rFonts w:ascii="Times New Roman" w:hAnsi="Times New Roman" w:cs="Times New Roman"/>
          <w:b/>
          <w:bCs/>
          <w:sz w:val="24"/>
        </w:rPr>
        <w:t xml:space="preserve">1 </w:t>
      </w:r>
      <w:bookmarkStart w:id="0" w:name="_Hlk63187952"/>
      <w:r>
        <w:rPr>
          <w:rFonts w:ascii="Times New Roman" w:hAnsi="Times New Roman" w:cs="Times New Roman"/>
          <w:sz w:val="24"/>
        </w:rPr>
        <w:t>Grouping features of part 2.</w:t>
      </w:r>
    </w:p>
    <w:tbl>
      <w:tblPr>
        <w:tblW w:w="8975" w:type="dxa"/>
        <w:tblBorders>
          <w:top w:val="single" w:sz="12" w:space="0" w:color="000000"/>
          <w:bottom w:val="single" w:sz="12" w:space="0" w:color="000000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795"/>
        <w:gridCol w:w="1795"/>
        <w:gridCol w:w="1795"/>
        <w:gridCol w:w="1795"/>
        <w:gridCol w:w="1795"/>
      </w:tblGrid>
      <w:tr w:rsidR="00614955" w:rsidTr="00614955">
        <w:trPr>
          <w:trHeight w:val="495"/>
        </w:trPr>
        <w:tc>
          <w:tcPr>
            <w:tcW w:w="1795" w:type="dxa"/>
            <w:tcBorders>
              <w:top w:val="single" w:sz="12" w:space="0" w:color="000000"/>
              <w:left w:val="nil"/>
              <w:bottom w:val="single" w:sz="4" w:space="0" w:color="auto"/>
              <w:right w:val="nil"/>
            </w:tcBorders>
            <w:hideMark/>
          </w:tcPr>
          <w:bookmarkEnd w:id="0"/>
          <w:p w:rsidR="00614955" w:rsidRDefault="00614955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Groups</w:t>
            </w:r>
          </w:p>
        </w:tc>
        <w:tc>
          <w:tcPr>
            <w:tcW w:w="1795" w:type="dxa"/>
            <w:tcBorders>
              <w:top w:val="single" w:sz="12" w:space="0" w:color="000000"/>
              <w:left w:val="nil"/>
              <w:bottom w:val="single" w:sz="4" w:space="0" w:color="auto"/>
              <w:right w:val="nil"/>
            </w:tcBorders>
            <w:hideMark/>
          </w:tcPr>
          <w:p w:rsidR="00614955" w:rsidRDefault="00614955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Number</w:t>
            </w:r>
          </w:p>
        </w:tc>
        <w:tc>
          <w:tcPr>
            <w:tcW w:w="1795" w:type="dxa"/>
            <w:tcBorders>
              <w:top w:val="single" w:sz="12" w:space="0" w:color="000000"/>
              <w:left w:val="nil"/>
              <w:bottom w:val="single" w:sz="4" w:space="0" w:color="auto"/>
              <w:right w:val="nil"/>
            </w:tcBorders>
            <w:hideMark/>
          </w:tcPr>
          <w:p w:rsidR="00614955" w:rsidRDefault="00614955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bidi="en-US"/>
              </w:rPr>
              <w:t>Immobilization time(w)</w:t>
            </w:r>
          </w:p>
        </w:tc>
        <w:tc>
          <w:tcPr>
            <w:tcW w:w="1795" w:type="dxa"/>
            <w:tcBorders>
              <w:top w:val="single" w:sz="12" w:space="0" w:color="000000"/>
              <w:left w:val="nil"/>
              <w:bottom w:val="single" w:sz="4" w:space="0" w:color="auto"/>
              <w:right w:val="nil"/>
            </w:tcBorders>
            <w:hideMark/>
          </w:tcPr>
          <w:p w:rsidR="00614955" w:rsidRDefault="00614955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bidi="en-US"/>
              </w:rPr>
              <w:t>Free cage time(w)</w:t>
            </w:r>
          </w:p>
        </w:tc>
        <w:tc>
          <w:tcPr>
            <w:tcW w:w="1795" w:type="dxa"/>
            <w:tcBorders>
              <w:top w:val="single" w:sz="12" w:space="0" w:color="000000"/>
              <w:left w:val="nil"/>
              <w:bottom w:val="single" w:sz="4" w:space="0" w:color="auto"/>
              <w:right w:val="nil"/>
            </w:tcBorders>
            <w:hideMark/>
          </w:tcPr>
          <w:p w:rsidR="00614955" w:rsidRDefault="00614955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electrical stimulation</w:t>
            </w:r>
          </w:p>
        </w:tc>
      </w:tr>
      <w:tr w:rsidR="00614955" w:rsidTr="00614955">
        <w:trPr>
          <w:trHeight w:val="1207"/>
        </w:trPr>
        <w:tc>
          <w:tcPr>
            <w:tcW w:w="1795" w:type="dxa"/>
            <w:tcBorders>
              <w:top w:val="single" w:sz="4" w:space="0" w:color="auto"/>
              <w:left w:val="nil"/>
              <w:bottom w:val="single" w:sz="12" w:space="0" w:color="000000"/>
              <w:right w:val="nil"/>
            </w:tcBorders>
            <w:hideMark/>
          </w:tcPr>
          <w:p w:rsidR="00614955" w:rsidRDefault="00614955">
            <w:pPr>
              <w:spacing w:line="36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Ctrl2</w:t>
            </w:r>
          </w:p>
          <w:p w:rsidR="00614955" w:rsidRDefault="00614955">
            <w:pPr>
              <w:spacing w:line="36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ES</w:t>
            </w:r>
          </w:p>
          <w:p w:rsidR="00614955" w:rsidRDefault="00614955">
            <w:pPr>
              <w:spacing w:line="36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NR</w:t>
            </w:r>
          </w:p>
          <w:p w:rsidR="00614955" w:rsidRDefault="00614955">
            <w:pPr>
              <w:spacing w:line="36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EST</w:t>
            </w:r>
          </w:p>
        </w:tc>
        <w:tc>
          <w:tcPr>
            <w:tcW w:w="1795" w:type="dxa"/>
            <w:tcBorders>
              <w:top w:val="single" w:sz="4" w:space="0" w:color="auto"/>
              <w:left w:val="nil"/>
              <w:bottom w:val="single" w:sz="12" w:space="0" w:color="000000"/>
              <w:right w:val="nil"/>
            </w:tcBorders>
            <w:hideMark/>
          </w:tcPr>
          <w:p w:rsidR="00614955" w:rsidRDefault="00614955">
            <w:pPr>
              <w:spacing w:line="36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</w:t>
            </w:r>
          </w:p>
          <w:p w:rsidR="00614955" w:rsidRDefault="00614955">
            <w:pPr>
              <w:spacing w:line="36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</w:t>
            </w:r>
          </w:p>
          <w:p w:rsidR="00614955" w:rsidRDefault="00614955">
            <w:pPr>
              <w:spacing w:line="36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</w:t>
            </w:r>
          </w:p>
          <w:p w:rsidR="00614955" w:rsidRDefault="00614955">
            <w:pPr>
              <w:spacing w:line="36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795" w:type="dxa"/>
            <w:tcBorders>
              <w:top w:val="single" w:sz="4" w:space="0" w:color="auto"/>
              <w:left w:val="nil"/>
              <w:bottom w:val="single" w:sz="12" w:space="0" w:color="000000"/>
              <w:right w:val="nil"/>
            </w:tcBorders>
            <w:hideMark/>
          </w:tcPr>
          <w:p w:rsidR="00614955" w:rsidRDefault="00614955">
            <w:pPr>
              <w:spacing w:line="36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  <w:p w:rsidR="00614955" w:rsidRDefault="00614955">
            <w:pPr>
              <w:spacing w:line="36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  <w:p w:rsidR="00614955" w:rsidRDefault="00614955">
            <w:pPr>
              <w:spacing w:line="36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  <w:p w:rsidR="00614955" w:rsidRDefault="00614955">
            <w:pPr>
              <w:spacing w:line="36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795" w:type="dxa"/>
            <w:tcBorders>
              <w:top w:val="single" w:sz="4" w:space="0" w:color="auto"/>
              <w:left w:val="nil"/>
              <w:bottom w:val="single" w:sz="12" w:space="0" w:color="000000"/>
              <w:right w:val="nil"/>
            </w:tcBorders>
            <w:hideMark/>
          </w:tcPr>
          <w:p w:rsidR="00614955" w:rsidRDefault="00614955">
            <w:pPr>
              <w:spacing w:line="36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</w:t>
            </w:r>
          </w:p>
          <w:p w:rsidR="00614955" w:rsidRDefault="00614955">
            <w:pPr>
              <w:spacing w:line="36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</w:t>
            </w:r>
          </w:p>
          <w:p w:rsidR="00614955" w:rsidRDefault="00614955">
            <w:pPr>
              <w:spacing w:line="36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  <w:p w:rsidR="00614955" w:rsidRDefault="00614955">
            <w:pPr>
              <w:spacing w:line="36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795" w:type="dxa"/>
            <w:tcBorders>
              <w:top w:val="single" w:sz="4" w:space="0" w:color="auto"/>
              <w:left w:val="nil"/>
              <w:bottom w:val="single" w:sz="12" w:space="0" w:color="000000"/>
              <w:right w:val="nil"/>
            </w:tcBorders>
            <w:hideMark/>
          </w:tcPr>
          <w:p w:rsidR="00614955" w:rsidRDefault="00614955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_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  <w:t>+</w:t>
            </w:r>
          </w:p>
          <w:p w:rsidR="00614955" w:rsidRDefault="00614955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_</w:t>
            </w:r>
          </w:p>
          <w:p w:rsidR="00614955" w:rsidRDefault="00614955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+</w:t>
            </w:r>
          </w:p>
        </w:tc>
      </w:tr>
    </w:tbl>
    <w:p w:rsidR="00614955" w:rsidRDefault="00614955" w:rsidP="00614955">
      <w:pPr>
        <w:spacing w:line="360" w:lineRule="auto"/>
        <w:ind w:leftChars="200" w:left="420"/>
        <w:rPr>
          <w:rFonts w:ascii="Times New Roman" w:hAnsi="Times New Roman" w:cs="Times New Roman"/>
          <w:sz w:val="22"/>
        </w:rPr>
      </w:pPr>
      <w:bookmarkStart w:id="1" w:name="_Hlk63187968"/>
      <w:r>
        <w:rPr>
          <w:rFonts w:ascii="Times New Roman" w:hAnsi="Times New Roman" w:cs="Times New Roman"/>
          <w:color w:val="000000"/>
          <w:sz w:val="22"/>
        </w:rPr>
        <w:t>Ctrl2: control 2 group; ES: electric stimulation group; NR: natural recovery group; EST: electrical stimulation treatment group. Rabbits of natural recovery group (NR) and electrical stimulation treatment group (EST) went through three weeks of fixation before</w:t>
      </w:r>
      <w:r>
        <w:rPr>
          <w:rFonts w:ascii="Times New Roman" w:hAnsi="Times New Roman" w:cs="Times New Roman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z w:val="22"/>
        </w:rPr>
        <w:t>three weeks of free cage activity.</w:t>
      </w:r>
      <w:r>
        <w:rPr>
          <w:rFonts w:ascii="Times New Roman" w:hAnsi="Times New Roman" w:cs="Times New Roman"/>
          <w:sz w:val="22"/>
        </w:rPr>
        <w:t xml:space="preserve"> </w:t>
      </w:r>
    </w:p>
    <w:bookmarkEnd w:id="1"/>
    <w:p w:rsidR="00614955" w:rsidRDefault="00614955" w:rsidP="00614955">
      <w:pPr>
        <w:widowControl/>
        <w:spacing w:line="48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614955" w:rsidRDefault="00614955" w:rsidP="00614955">
      <w:pPr>
        <w:widowControl/>
        <w:spacing w:line="48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Supplementary table S2</w:t>
      </w:r>
      <w:r>
        <w:rPr>
          <w:rFonts w:ascii="Times New Roman" w:hAnsi="Times New Roman" w:cs="Times New Roman"/>
          <w:b/>
          <w:bCs/>
          <w:color w:val="000000"/>
          <w:sz w:val="24"/>
        </w:rPr>
        <w:t xml:space="preserve"> </w:t>
      </w:r>
      <w:bookmarkStart w:id="2" w:name="_Hlk63186919"/>
      <w:r>
        <w:rPr>
          <w:rFonts w:ascii="Times New Roman" w:hAnsi="Times New Roman" w:cs="Times New Roman"/>
          <w:color w:val="000000"/>
          <w:sz w:val="24"/>
        </w:rPr>
        <w:t>T</w:t>
      </w:r>
      <w:r>
        <w:rPr>
          <w:rFonts w:ascii="Times New Roman" w:hAnsi="Times New Roman" w:cs="Times New Roman"/>
          <w:sz w:val="24"/>
        </w:rPr>
        <w:t xml:space="preserve">otal contracture, myogenic contracture, </w:t>
      </w:r>
      <w:proofErr w:type="spellStart"/>
      <w:r>
        <w:rPr>
          <w:rFonts w:ascii="Times New Roman" w:hAnsi="Times New Roman" w:cs="Times New Roman"/>
          <w:sz w:val="24"/>
        </w:rPr>
        <w:t>arthrogenic</w:t>
      </w:r>
      <w:proofErr w:type="spellEnd"/>
      <w:r>
        <w:rPr>
          <w:rFonts w:ascii="Times New Roman" w:hAnsi="Times New Roman" w:cs="Times New Roman"/>
          <w:sz w:val="24"/>
        </w:rPr>
        <w:t xml:space="preserve"> contracture and fiber number data</w:t>
      </w:r>
    </w:p>
    <w:tbl>
      <w:tblPr>
        <w:tblW w:w="7904" w:type="dxa"/>
        <w:tblInd w:w="284" w:type="dxa"/>
        <w:tblBorders>
          <w:top w:val="single" w:sz="12" w:space="0" w:color="auto"/>
          <w:bottom w:val="single" w:sz="12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102"/>
        <w:gridCol w:w="1557"/>
        <w:gridCol w:w="1557"/>
        <w:gridCol w:w="1557"/>
        <w:gridCol w:w="2131"/>
      </w:tblGrid>
      <w:tr w:rsidR="00614955" w:rsidTr="00614955">
        <w:trPr>
          <w:trHeight w:val="405"/>
        </w:trPr>
        <w:tc>
          <w:tcPr>
            <w:tcW w:w="1102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14955" w:rsidRDefault="00614955">
            <w:pPr>
              <w:spacing w:line="36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bookmarkStart w:id="3" w:name="_Hlk63186936"/>
            <w:bookmarkEnd w:id="2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Group</w:t>
            </w:r>
          </w:p>
        </w:tc>
        <w:tc>
          <w:tcPr>
            <w:tcW w:w="1557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14955" w:rsidRDefault="00614955">
            <w:pPr>
              <w:spacing w:line="36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Total </w:t>
            </w:r>
          </w:p>
          <w:p w:rsidR="00614955" w:rsidRDefault="00614955">
            <w:pPr>
              <w:spacing w:line="36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Contracture(°)</w:t>
            </w:r>
          </w:p>
        </w:tc>
        <w:tc>
          <w:tcPr>
            <w:tcW w:w="1557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14955" w:rsidRDefault="00614955">
            <w:pPr>
              <w:spacing w:line="360" w:lineRule="auto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lang w:bidi="en-US"/>
              </w:rPr>
              <w:t xml:space="preserve">Myogenic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Contracture(°)</w:t>
            </w:r>
          </w:p>
        </w:tc>
        <w:tc>
          <w:tcPr>
            <w:tcW w:w="1557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14955" w:rsidRDefault="00614955">
            <w:pPr>
              <w:spacing w:line="36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lang w:bidi="en-US"/>
              </w:rPr>
              <w:t>Arthrogenic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lang w:bidi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Contracture(°)</w:t>
            </w:r>
          </w:p>
        </w:tc>
        <w:tc>
          <w:tcPr>
            <w:tcW w:w="2131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:rsidR="00614955" w:rsidRDefault="00614955">
            <w:pPr>
              <w:pStyle w:val="ListParagraph"/>
              <w:spacing w:line="360" w:lineRule="auto"/>
              <w:ind w:firstLineChars="0" w:firstLine="0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en-US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en-US"/>
              </w:rPr>
              <w:t xml:space="preserve">Fiber Number   </w:t>
            </w:r>
          </w:p>
          <w:p w:rsidR="00614955" w:rsidRDefault="00614955">
            <w:pPr>
              <w:spacing w:line="360" w:lineRule="auto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lang w:bidi="en-US"/>
              </w:rPr>
            </w:pPr>
          </w:p>
        </w:tc>
      </w:tr>
      <w:tr w:rsidR="00614955" w:rsidTr="00614955">
        <w:trPr>
          <w:trHeight w:val="988"/>
        </w:trPr>
        <w:tc>
          <w:tcPr>
            <w:tcW w:w="1102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hideMark/>
          </w:tcPr>
          <w:p w:rsidR="00614955" w:rsidRDefault="00614955">
            <w:pPr>
              <w:spacing w:line="36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Ctrl1</w:t>
            </w:r>
          </w:p>
          <w:p w:rsidR="00614955" w:rsidRDefault="00614955">
            <w:pPr>
              <w:spacing w:line="36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I-2</w:t>
            </w:r>
          </w:p>
          <w:p w:rsidR="00614955" w:rsidRDefault="00614955">
            <w:pPr>
              <w:spacing w:line="36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I-4</w:t>
            </w:r>
          </w:p>
          <w:p w:rsidR="00614955" w:rsidRDefault="00614955">
            <w:pPr>
              <w:spacing w:line="36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I-6</w:t>
            </w:r>
          </w:p>
          <w:p w:rsidR="00614955" w:rsidRDefault="00614955">
            <w:pPr>
              <w:spacing w:line="36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Ctrl2</w:t>
            </w:r>
          </w:p>
          <w:p w:rsidR="00614955" w:rsidRDefault="00614955">
            <w:pPr>
              <w:spacing w:line="36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ES</w:t>
            </w:r>
          </w:p>
          <w:p w:rsidR="00614955" w:rsidRDefault="00614955">
            <w:pPr>
              <w:spacing w:line="36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NR</w:t>
            </w:r>
          </w:p>
          <w:p w:rsidR="00614955" w:rsidRDefault="00614955">
            <w:pPr>
              <w:spacing w:line="36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EST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hideMark/>
          </w:tcPr>
          <w:p w:rsidR="00614955" w:rsidRDefault="00614955">
            <w:pPr>
              <w:spacing w:line="36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0.00±0.00</w:t>
            </w:r>
          </w:p>
          <w:p w:rsidR="00614955" w:rsidRDefault="00614955">
            <w:pPr>
              <w:spacing w:line="36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62.43±15.78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a</w:t>
            </w:r>
          </w:p>
          <w:p w:rsidR="00614955" w:rsidRDefault="00614955">
            <w:pPr>
              <w:spacing w:line="36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89.78±12.26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 xml:space="preserve"> ab</w:t>
            </w:r>
          </w:p>
          <w:p w:rsidR="00614955" w:rsidRDefault="00614955">
            <w:pPr>
              <w:spacing w:line="36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104.88±15.72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abc</w:t>
            </w:r>
            <w:proofErr w:type="spellEnd"/>
          </w:p>
          <w:p w:rsidR="00614955" w:rsidRDefault="00614955">
            <w:pPr>
              <w:spacing w:line="36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0.00±0.00</w:t>
            </w:r>
          </w:p>
          <w:p w:rsidR="00614955" w:rsidRDefault="00614955">
            <w:pPr>
              <w:spacing w:line="36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0.00±0.00</w:t>
            </w:r>
          </w:p>
          <w:p w:rsidR="00614955" w:rsidRDefault="00614955">
            <w:pPr>
              <w:spacing w:line="36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74.07±1.91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de</w:t>
            </w:r>
          </w:p>
          <w:p w:rsidR="00614955" w:rsidRDefault="00614955">
            <w:pPr>
              <w:spacing w:line="36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59.07±4.95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def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hideMark/>
          </w:tcPr>
          <w:p w:rsidR="00614955" w:rsidRDefault="00614955">
            <w:pPr>
              <w:spacing w:line="36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0.00±0.00</w:t>
            </w:r>
          </w:p>
          <w:p w:rsidR="00614955" w:rsidRDefault="00614955">
            <w:pPr>
              <w:spacing w:line="36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35.67±10.80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 xml:space="preserve"> a</w:t>
            </w:r>
          </w:p>
          <w:p w:rsidR="00614955" w:rsidRDefault="00614955">
            <w:pPr>
              <w:spacing w:line="36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48.77±10.17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 xml:space="preserve"> ab</w:t>
            </w:r>
          </w:p>
          <w:p w:rsidR="00614955" w:rsidRDefault="00614955">
            <w:pPr>
              <w:spacing w:line="36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49.10±8.96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abc</w:t>
            </w:r>
            <w:proofErr w:type="spellEnd"/>
          </w:p>
          <w:p w:rsidR="00614955" w:rsidRDefault="00614955">
            <w:pPr>
              <w:spacing w:line="36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0.00±0.00</w:t>
            </w:r>
          </w:p>
          <w:p w:rsidR="00614955" w:rsidRDefault="00614955">
            <w:pPr>
              <w:spacing w:line="36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0.00±0.00</w:t>
            </w:r>
          </w:p>
          <w:p w:rsidR="00614955" w:rsidRDefault="00614955">
            <w:pPr>
              <w:spacing w:line="36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36.38±2.77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de</w:t>
            </w:r>
          </w:p>
          <w:p w:rsidR="00614955" w:rsidRDefault="00614955">
            <w:pPr>
              <w:spacing w:line="36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24.50±1.40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def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hideMark/>
          </w:tcPr>
          <w:p w:rsidR="00614955" w:rsidRDefault="00614955">
            <w:pPr>
              <w:spacing w:line="36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0.00±0.00</w:t>
            </w:r>
          </w:p>
          <w:p w:rsidR="00614955" w:rsidRDefault="00614955">
            <w:pPr>
              <w:spacing w:line="36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26.77±5.86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 xml:space="preserve"> a</w:t>
            </w:r>
          </w:p>
          <w:p w:rsidR="00614955" w:rsidRDefault="00614955">
            <w:pPr>
              <w:spacing w:line="36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41.02±3.39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 xml:space="preserve"> ab</w:t>
            </w:r>
          </w:p>
          <w:p w:rsidR="00614955" w:rsidRDefault="00614955">
            <w:pPr>
              <w:spacing w:line="36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55.78±2.49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 xml:space="preserve"> ab</w:t>
            </w:r>
          </w:p>
          <w:p w:rsidR="00614955" w:rsidRDefault="00614955">
            <w:pPr>
              <w:spacing w:line="36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0.00±0.00</w:t>
            </w:r>
          </w:p>
          <w:p w:rsidR="00614955" w:rsidRDefault="00614955">
            <w:pPr>
              <w:spacing w:line="36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0.00±0.00</w:t>
            </w:r>
          </w:p>
          <w:p w:rsidR="00614955" w:rsidRDefault="00614955">
            <w:pPr>
              <w:spacing w:line="36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37.68±2.46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de</w:t>
            </w:r>
          </w:p>
          <w:p w:rsidR="00614955" w:rsidRDefault="00614955">
            <w:pPr>
              <w:spacing w:line="36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34.57±1.47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de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hideMark/>
          </w:tcPr>
          <w:p w:rsidR="00614955" w:rsidRDefault="00614955">
            <w:pPr>
              <w:spacing w:line="36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en-US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en-US"/>
              </w:rPr>
              <w:t>29.44±3.79</w:t>
            </w:r>
          </w:p>
          <w:p w:rsidR="00614955" w:rsidRDefault="00614955">
            <w:pPr>
              <w:spacing w:line="36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vertAlign w:val="superscript"/>
                <w:lang w:bidi="en-US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en-US"/>
              </w:rPr>
              <w:t>42.61±4.39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vertAlign w:val="superscript"/>
                <w:lang w:bidi="en-US"/>
              </w:rPr>
              <w:t>a</w:t>
            </w:r>
          </w:p>
          <w:p w:rsidR="00614955" w:rsidRDefault="00614955">
            <w:pPr>
              <w:spacing w:line="36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vertAlign w:val="superscript"/>
                <w:lang w:bidi="en-US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en-US"/>
              </w:rPr>
              <w:t>44.92±7.16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vertAlign w:val="superscript"/>
                <w:lang w:bidi="en-US"/>
              </w:rPr>
              <w:t>a</w:t>
            </w:r>
          </w:p>
          <w:p w:rsidR="00614955" w:rsidRDefault="00614955">
            <w:pPr>
              <w:spacing w:line="36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vertAlign w:val="superscript"/>
                <w:lang w:bidi="en-US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en-US"/>
              </w:rPr>
              <w:t>47.88±1.83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vertAlign w:val="superscript"/>
                <w:lang w:bidi="en-US"/>
              </w:rPr>
              <w:t xml:space="preserve"> a</w:t>
            </w:r>
          </w:p>
          <w:p w:rsidR="00614955" w:rsidRDefault="00614955">
            <w:pPr>
              <w:spacing w:line="360" w:lineRule="auto"/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bidi="en-US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bidi="en-US"/>
              </w:rPr>
              <w:t>29.94±4.14</w:t>
            </w:r>
          </w:p>
          <w:p w:rsidR="00614955" w:rsidRDefault="00614955">
            <w:pPr>
              <w:spacing w:line="360" w:lineRule="auto"/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bidi="en-US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bidi="en-US"/>
              </w:rPr>
              <w:t>29.50±3.50</w:t>
            </w:r>
          </w:p>
          <w:p w:rsidR="00614955" w:rsidRDefault="00614955">
            <w:pPr>
              <w:spacing w:line="36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  <w:lang w:bidi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bidi="en-US"/>
              </w:rPr>
              <w:t>49.69±9.95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  <w:lang w:bidi="en-US"/>
              </w:rPr>
              <w:t>de</w:t>
            </w:r>
          </w:p>
          <w:p w:rsidR="00614955" w:rsidRDefault="00614955">
            <w:pPr>
              <w:spacing w:line="36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bidi="en-US"/>
              </w:rPr>
              <w:t>33.38±6.47</w:t>
            </w: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vertAlign w:val="superscript"/>
                <w:lang w:bidi="en-US"/>
              </w:rPr>
              <w:t>f</w:t>
            </w:r>
          </w:p>
        </w:tc>
      </w:tr>
    </w:tbl>
    <w:p w:rsidR="00614955" w:rsidRDefault="00614955" w:rsidP="00614955">
      <w:pPr>
        <w:ind w:leftChars="200" w:left="420"/>
        <w:rPr>
          <w:rFonts w:ascii="Times New Roman" w:hAnsi="Times New Roman" w:cs="Times New Roman"/>
          <w:color w:val="000000"/>
          <w:sz w:val="22"/>
        </w:rPr>
      </w:pPr>
      <w:bookmarkStart w:id="4" w:name="_Hlk63187007"/>
      <w:bookmarkEnd w:id="3"/>
      <w:r>
        <w:rPr>
          <w:rFonts w:ascii="Times New Roman" w:hAnsi="Times New Roman" w:cs="Times New Roman"/>
          <w:sz w:val="22"/>
        </w:rPr>
        <w:t xml:space="preserve">Data were expressed as </w:t>
      </w:r>
      <w:r>
        <w:rPr>
          <w:rFonts w:ascii="Times New Roman" w:hAnsi="Times New Roman" w:cs="Times New Roman"/>
          <w:i/>
          <w:sz w:val="22"/>
        </w:rPr>
        <w:t>mean</w:t>
      </w:r>
      <w:r>
        <w:rPr>
          <w:rFonts w:ascii="Times New Roman" w:hAnsi="Times New Roman" w:cs="Times New Roman"/>
          <w:sz w:val="22"/>
        </w:rPr>
        <w:t xml:space="preserve"> ± </w:t>
      </w:r>
      <w:r>
        <w:rPr>
          <w:rFonts w:ascii="Times New Roman" w:hAnsi="Times New Roman" w:cs="Times New Roman"/>
          <w:i/>
          <w:sz w:val="22"/>
        </w:rPr>
        <w:t>S.D</w:t>
      </w:r>
      <w:r>
        <w:rPr>
          <w:rFonts w:ascii="Times New Roman" w:hAnsi="Times New Roman" w:cs="Times New Roman"/>
          <w:color w:val="7030A0"/>
          <w:sz w:val="22"/>
        </w:rPr>
        <w:t xml:space="preserve">. </w:t>
      </w:r>
      <w:proofErr w:type="spellStart"/>
      <w:r>
        <w:rPr>
          <w:rFonts w:ascii="Times New Roman" w:hAnsi="Times New Roman" w:cs="Times New Roman"/>
          <w:i/>
          <w:iCs/>
          <w:color w:val="000000"/>
          <w:sz w:val="22"/>
          <w:vertAlign w:val="superscript"/>
        </w:rPr>
        <w:t>a</w:t>
      </w:r>
      <w:r>
        <w:rPr>
          <w:rFonts w:ascii="Times New Roman" w:hAnsi="Times New Roman" w:cs="Times New Roman"/>
          <w:i/>
          <w:iCs/>
          <w:color w:val="000000"/>
          <w:sz w:val="22"/>
        </w:rPr>
        <w:t>P</w:t>
      </w:r>
      <w:proofErr w:type="spellEnd"/>
      <w:r>
        <w:rPr>
          <w:rFonts w:ascii="Times New Roman" w:hAnsi="Times New Roman" w:cs="Times New Roman"/>
          <w:i/>
          <w:iCs/>
          <w:color w:val="000000"/>
          <w:sz w:val="22"/>
        </w:rPr>
        <w:t>&lt;</w:t>
      </w:r>
      <w:r>
        <w:rPr>
          <w:rFonts w:ascii="Times New Roman" w:hAnsi="Times New Roman" w:cs="Times New Roman"/>
          <w:color w:val="000000"/>
          <w:sz w:val="22"/>
        </w:rPr>
        <w:t xml:space="preserve">0.01 compared with Ctrl1; </w:t>
      </w:r>
      <w:proofErr w:type="spellStart"/>
      <w:r>
        <w:rPr>
          <w:rFonts w:ascii="Times New Roman" w:hAnsi="Times New Roman" w:cs="Times New Roman"/>
          <w:color w:val="000000"/>
          <w:sz w:val="22"/>
          <w:vertAlign w:val="superscript"/>
        </w:rPr>
        <w:t>b</w:t>
      </w:r>
      <w:r>
        <w:rPr>
          <w:rFonts w:ascii="Times New Roman" w:hAnsi="Times New Roman" w:cs="Times New Roman"/>
          <w:i/>
          <w:iCs/>
          <w:color w:val="000000"/>
          <w:sz w:val="22"/>
        </w:rPr>
        <w:t>P</w:t>
      </w:r>
      <w:proofErr w:type="spellEnd"/>
      <w:r>
        <w:rPr>
          <w:rFonts w:ascii="Times New Roman" w:hAnsi="Times New Roman" w:cs="Times New Roman"/>
          <w:i/>
          <w:iCs/>
          <w:color w:val="000000"/>
          <w:sz w:val="22"/>
        </w:rPr>
        <w:t xml:space="preserve"> &lt;</w:t>
      </w:r>
      <w:r>
        <w:rPr>
          <w:rFonts w:ascii="Times New Roman" w:hAnsi="Times New Roman" w:cs="Times New Roman"/>
          <w:color w:val="000000"/>
          <w:sz w:val="22"/>
        </w:rPr>
        <w:t>0.01</w:t>
      </w:r>
      <w:r>
        <w:rPr>
          <w:rFonts w:ascii="Times New Roman" w:hAnsi="Times New Roman" w:cs="Times New Roman"/>
          <w:i/>
          <w:iCs/>
          <w:color w:val="000000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z w:val="22"/>
        </w:rPr>
        <w:t xml:space="preserve">compared with I-2; </w:t>
      </w:r>
      <w:proofErr w:type="spellStart"/>
      <w:r>
        <w:rPr>
          <w:rFonts w:ascii="Times New Roman" w:hAnsi="Times New Roman" w:cs="Times New Roman"/>
          <w:color w:val="000000"/>
          <w:sz w:val="22"/>
          <w:vertAlign w:val="superscript"/>
        </w:rPr>
        <w:t>c</w:t>
      </w:r>
      <w:r>
        <w:rPr>
          <w:rFonts w:ascii="Times New Roman" w:hAnsi="Times New Roman" w:cs="Times New Roman"/>
          <w:i/>
          <w:iCs/>
          <w:color w:val="000000"/>
          <w:sz w:val="22"/>
        </w:rPr>
        <w:t>P</w:t>
      </w:r>
      <w:proofErr w:type="spellEnd"/>
      <w:r>
        <w:rPr>
          <w:rFonts w:ascii="Times New Roman" w:hAnsi="Times New Roman" w:cs="Times New Roman"/>
          <w:i/>
          <w:iCs/>
          <w:color w:val="000000"/>
          <w:sz w:val="22"/>
        </w:rPr>
        <w:t xml:space="preserve"> &lt;</w:t>
      </w:r>
      <w:r>
        <w:rPr>
          <w:rFonts w:ascii="Times New Roman" w:hAnsi="Times New Roman" w:cs="Times New Roman"/>
          <w:color w:val="000000"/>
          <w:sz w:val="22"/>
        </w:rPr>
        <w:t>0.01</w:t>
      </w:r>
      <w:r>
        <w:rPr>
          <w:rFonts w:ascii="Times New Roman" w:hAnsi="Times New Roman" w:cs="Times New Roman"/>
          <w:i/>
          <w:iCs/>
          <w:color w:val="000000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z w:val="22"/>
        </w:rPr>
        <w:t xml:space="preserve">compared with I-4; </w:t>
      </w:r>
      <w:proofErr w:type="spellStart"/>
      <w:r>
        <w:rPr>
          <w:rFonts w:ascii="Times New Roman" w:hAnsi="Times New Roman" w:cs="Times New Roman"/>
          <w:i/>
          <w:iCs/>
          <w:color w:val="000000"/>
          <w:sz w:val="22"/>
          <w:vertAlign w:val="superscript"/>
        </w:rPr>
        <w:t>d</w:t>
      </w:r>
      <w:r>
        <w:rPr>
          <w:rFonts w:ascii="Times New Roman" w:hAnsi="Times New Roman" w:cs="Times New Roman"/>
          <w:i/>
          <w:iCs/>
          <w:color w:val="000000"/>
          <w:sz w:val="22"/>
        </w:rPr>
        <w:t>P</w:t>
      </w:r>
      <w:proofErr w:type="spellEnd"/>
      <w:r>
        <w:rPr>
          <w:rFonts w:ascii="Times New Roman" w:hAnsi="Times New Roman" w:cs="Times New Roman"/>
          <w:i/>
          <w:iCs/>
          <w:color w:val="000000"/>
          <w:sz w:val="22"/>
        </w:rPr>
        <w:t>&lt;</w:t>
      </w:r>
      <w:r>
        <w:rPr>
          <w:rFonts w:ascii="Times New Roman" w:hAnsi="Times New Roman" w:cs="Times New Roman"/>
          <w:color w:val="000000"/>
          <w:sz w:val="22"/>
        </w:rPr>
        <w:t xml:space="preserve">0.01 compared with Ctrl2; </w:t>
      </w:r>
      <w:proofErr w:type="spellStart"/>
      <w:r>
        <w:rPr>
          <w:rFonts w:ascii="Times New Roman" w:hAnsi="Times New Roman" w:cs="Times New Roman"/>
          <w:color w:val="000000"/>
          <w:sz w:val="22"/>
          <w:vertAlign w:val="superscript"/>
        </w:rPr>
        <w:t>e</w:t>
      </w:r>
      <w:r>
        <w:rPr>
          <w:rFonts w:ascii="Times New Roman" w:hAnsi="Times New Roman" w:cs="Times New Roman"/>
          <w:i/>
          <w:iCs/>
          <w:color w:val="000000"/>
          <w:sz w:val="22"/>
        </w:rPr>
        <w:t>P</w:t>
      </w:r>
      <w:proofErr w:type="spellEnd"/>
      <w:r>
        <w:rPr>
          <w:rFonts w:ascii="Times New Roman" w:hAnsi="Times New Roman" w:cs="Times New Roman"/>
          <w:i/>
          <w:iCs/>
          <w:color w:val="000000"/>
          <w:sz w:val="22"/>
        </w:rPr>
        <w:t xml:space="preserve"> &lt;</w:t>
      </w:r>
      <w:r>
        <w:rPr>
          <w:rFonts w:ascii="Times New Roman" w:hAnsi="Times New Roman" w:cs="Times New Roman"/>
          <w:color w:val="000000"/>
          <w:sz w:val="22"/>
        </w:rPr>
        <w:t>0.01</w:t>
      </w:r>
      <w:r>
        <w:rPr>
          <w:rFonts w:ascii="Times New Roman" w:hAnsi="Times New Roman" w:cs="Times New Roman"/>
          <w:i/>
          <w:iCs/>
          <w:color w:val="000000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z w:val="22"/>
        </w:rPr>
        <w:t xml:space="preserve">compared with ES; </w:t>
      </w:r>
      <w:proofErr w:type="spellStart"/>
      <w:r>
        <w:rPr>
          <w:rFonts w:ascii="Times New Roman" w:hAnsi="Times New Roman" w:cs="Times New Roman"/>
          <w:color w:val="000000"/>
          <w:sz w:val="22"/>
          <w:vertAlign w:val="superscript"/>
        </w:rPr>
        <w:t>f</w:t>
      </w:r>
      <w:r>
        <w:rPr>
          <w:rFonts w:ascii="Times New Roman" w:hAnsi="Times New Roman" w:cs="Times New Roman"/>
          <w:i/>
          <w:iCs/>
          <w:color w:val="000000"/>
          <w:sz w:val="22"/>
        </w:rPr>
        <w:t>P</w:t>
      </w:r>
      <w:proofErr w:type="spellEnd"/>
      <w:r>
        <w:rPr>
          <w:rFonts w:ascii="Times New Roman" w:hAnsi="Times New Roman" w:cs="Times New Roman"/>
          <w:i/>
          <w:iCs/>
          <w:color w:val="000000"/>
          <w:sz w:val="22"/>
        </w:rPr>
        <w:t xml:space="preserve"> &lt;</w:t>
      </w:r>
      <w:r>
        <w:rPr>
          <w:rFonts w:ascii="Times New Roman" w:hAnsi="Times New Roman" w:cs="Times New Roman"/>
          <w:color w:val="000000"/>
          <w:sz w:val="22"/>
        </w:rPr>
        <w:t>0.01</w:t>
      </w:r>
      <w:r>
        <w:rPr>
          <w:rFonts w:ascii="Times New Roman" w:hAnsi="Times New Roman" w:cs="Times New Roman"/>
          <w:i/>
          <w:iCs/>
          <w:color w:val="000000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z w:val="22"/>
        </w:rPr>
        <w:t>compared with NR.</w:t>
      </w:r>
      <w:bookmarkEnd w:id="4"/>
    </w:p>
    <w:p w:rsidR="00AD1398" w:rsidRDefault="00AD1398">
      <w:bookmarkStart w:id="5" w:name="_GoBack"/>
      <w:bookmarkEnd w:id="5"/>
    </w:p>
    <w:sectPr w:rsidR="00AD139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SimSun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DengXian Light">
    <w:altName w:val="Microsoft YaHei"/>
    <w:charset w:val="86"/>
    <w:family w:val="auto"/>
    <w:pitch w:val="variable"/>
    <w:sig w:usb0="00000000" w:usb1="38CF7CFA" w:usb2="00000016" w:usb3="00000000" w:csb0="0004000F" w:csb1="00000000"/>
  </w:font>
  <w:font w:name="AdvTT31ea7dbe">
    <w:altName w:val="Times New Roman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4955"/>
    <w:rsid w:val="00614955"/>
    <w:rsid w:val="00AD1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E5BCFF8-1777-4CD1-81A7-0609CDC6B7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14955"/>
    <w:pPr>
      <w:widowControl w:val="0"/>
      <w:spacing w:after="0" w:line="240" w:lineRule="auto"/>
      <w:jc w:val="both"/>
    </w:pPr>
    <w:rPr>
      <w:rFonts w:ascii="DengXian" w:eastAsia="DengXian Light" w:hAnsi="DengXian" w:cs="DengXian"/>
      <w:kern w:val="2"/>
      <w:sz w:val="21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ListParagraphChar">
    <w:name w:val="List Paragraph Char"/>
    <w:link w:val="ListParagraph"/>
    <w:uiPriority w:val="34"/>
    <w:locked/>
    <w:rsid w:val="00614955"/>
    <w:rPr>
      <w:kern w:val="2"/>
      <w:sz w:val="21"/>
      <w:lang w:eastAsia="zh-CN"/>
    </w:rPr>
  </w:style>
  <w:style w:type="paragraph" w:styleId="ListParagraph">
    <w:name w:val="List Paragraph"/>
    <w:basedOn w:val="Normal"/>
    <w:link w:val="ListParagraphChar"/>
    <w:uiPriority w:val="34"/>
    <w:qFormat/>
    <w:rsid w:val="00614955"/>
    <w:pPr>
      <w:ind w:firstLineChars="200" w:firstLine="420"/>
    </w:pPr>
    <w:rPr>
      <w:rFonts w:asciiTheme="minorHAnsi" w:eastAsiaTheme="minorHAnsi" w:hAnsiTheme="minorHAnsi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574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196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 Nature IT</Company>
  <LinksUpToDate>false</LinksUpToDate>
  <CharactersWithSpaces>1317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Bhushan Tandale</dc:creator>
  <cp:keywords/>
  <dc:description/>
  <cp:lastModifiedBy>Bhushan Tandale</cp:lastModifiedBy>
  <cp:revision>1</cp:revision>
  <dcterms:created xsi:type="dcterms:W3CDTF">2021-11-01T05:32:00Z</dcterms:created>
  <dcterms:modified xsi:type="dcterms:W3CDTF">2021-11-01T05:32:00Z</dcterms:modified>
</cp:coreProperties>
</file>