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26F1" w14:textId="77777777" w:rsidR="00CF504D" w:rsidRDefault="00000000">
      <w:pPr>
        <w:spacing w:after="80"/>
        <w:jc w:val="center"/>
      </w:pPr>
      <w:r>
        <w:rPr>
          <w:b/>
          <w:bCs/>
          <w:sz w:val="24"/>
          <w:szCs w:val="24"/>
        </w:rPr>
        <w:t>STROBE Statement — checklist of items for cohort studies</w:t>
      </w:r>
    </w:p>
    <w:p w14:paraId="1B7126F2" w14:textId="77777777" w:rsidR="00CF504D" w:rsidRDefault="00000000">
      <w:pPr>
        <w:spacing w:after="160"/>
      </w:pPr>
      <w:r>
        <w:rPr>
          <w:sz w:val="18"/>
          <w:szCs w:val="18"/>
        </w:rPr>
        <w:t xml:space="preserve">Manuscript: Cumulative incidence and determinants of carbapenem-resistant </w:t>
      </w:r>
      <w:proofErr w:type="spellStart"/>
      <w:r>
        <w:rPr>
          <w:i/>
          <w:iCs/>
          <w:sz w:val="18"/>
          <w:szCs w:val="18"/>
        </w:rPr>
        <w:t>Enterobacterales</w:t>
      </w:r>
      <w:proofErr w:type="spellEnd"/>
      <w:r>
        <w:rPr>
          <w:sz w:val="18"/>
          <w:szCs w:val="18"/>
        </w:rPr>
        <w:t xml:space="preserve"> clearance in hospitalized patients: a competing-risks analysis addressing surveillance-time, immortal-time, and ascertainment bias.</w:t>
      </w:r>
    </w:p>
    <w:tbl>
      <w:tblPr>
        <w:tblStyle w:val="ac"/>
        <w:tblW w:w="5000" w:type="pct"/>
        <w:tblLook w:val="0000" w:firstRow="0" w:lastRow="0" w:firstColumn="0" w:lastColumn="0" w:noHBand="0" w:noVBand="0"/>
      </w:tblPr>
      <w:tblGrid>
        <w:gridCol w:w="704"/>
        <w:gridCol w:w="4532"/>
        <w:gridCol w:w="4834"/>
      </w:tblGrid>
      <w:tr w:rsidR="00CF504D" w:rsidRPr="00020068" w14:paraId="1B7126F6" w14:textId="77777777" w:rsidTr="00020068">
        <w:tc>
          <w:tcPr>
            <w:tcW w:w="350" w:type="pct"/>
          </w:tcPr>
          <w:p w14:paraId="1B7126F3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rPr>
                <w:b/>
                <w:bCs/>
              </w:rPr>
              <w:t>Item</w:t>
            </w:r>
          </w:p>
        </w:tc>
        <w:tc>
          <w:tcPr>
            <w:tcW w:w="2250" w:type="pct"/>
          </w:tcPr>
          <w:p w14:paraId="1B7126F4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STROBE recommendation (cohort studies)</w:t>
            </w:r>
          </w:p>
        </w:tc>
        <w:tc>
          <w:tcPr>
            <w:tcW w:w="2400" w:type="pct"/>
          </w:tcPr>
          <w:p w14:paraId="1B7126F5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Location in manuscript</w:t>
            </w:r>
          </w:p>
        </w:tc>
      </w:tr>
      <w:tr w:rsidR="00CF504D" w:rsidRPr="00020068" w14:paraId="1B7126F8" w14:textId="77777777" w:rsidTr="00020068">
        <w:tc>
          <w:tcPr>
            <w:tcW w:w="0" w:type="auto"/>
            <w:gridSpan w:val="3"/>
          </w:tcPr>
          <w:p w14:paraId="1B7126F7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Title and abstract</w:t>
            </w:r>
          </w:p>
        </w:tc>
      </w:tr>
      <w:tr w:rsidR="00CF504D" w:rsidRPr="00020068" w14:paraId="1B7126FC" w14:textId="77777777" w:rsidTr="00020068">
        <w:tc>
          <w:tcPr>
            <w:tcW w:w="350" w:type="pct"/>
          </w:tcPr>
          <w:p w14:paraId="1B7126F9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</w:t>
            </w:r>
          </w:p>
        </w:tc>
        <w:tc>
          <w:tcPr>
            <w:tcW w:w="2250" w:type="pct"/>
          </w:tcPr>
          <w:p w14:paraId="1B7126FA" w14:textId="77777777" w:rsidR="00CF504D" w:rsidRPr="00020068" w:rsidRDefault="00000000">
            <w:pPr>
              <w:spacing w:after="20" w:line="252" w:lineRule="auto"/>
            </w:pPr>
            <w:r w:rsidRPr="00020068">
              <w:t>(a) Indicate the study design in the title or abstract. (b) Give a balanced, informative summary in the abstract.</w:t>
            </w:r>
          </w:p>
        </w:tc>
        <w:tc>
          <w:tcPr>
            <w:tcW w:w="2400" w:type="pct"/>
          </w:tcPr>
          <w:p w14:paraId="1B7126FB" w14:textId="77777777" w:rsidR="00CF504D" w:rsidRPr="00020068" w:rsidRDefault="00000000">
            <w:pPr>
              <w:spacing w:after="20" w:line="252" w:lineRule="auto"/>
            </w:pPr>
            <w:r w:rsidRPr="00020068">
              <w:t>(a) Title (“competing-risks analysis…”). (b) Structured Abstract (Background / Methods / Results / Conclusion).</w:t>
            </w:r>
          </w:p>
        </w:tc>
      </w:tr>
      <w:tr w:rsidR="00CF504D" w:rsidRPr="00020068" w14:paraId="1B7126FE" w14:textId="77777777" w:rsidTr="00020068">
        <w:tc>
          <w:tcPr>
            <w:tcW w:w="0" w:type="auto"/>
            <w:gridSpan w:val="3"/>
          </w:tcPr>
          <w:p w14:paraId="1B7126FD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Introduction</w:t>
            </w:r>
          </w:p>
        </w:tc>
      </w:tr>
      <w:tr w:rsidR="00CF504D" w:rsidRPr="00020068" w14:paraId="1B712702" w14:textId="77777777" w:rsidTr="00020068">
        <w:tc>
          <w:tcPr>
            <w:tcW w:w="350" w:type="pct"/>
          </w:tcPr>
          <w:p w14:paraId="1B7126FF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2</w:t>
            </w:r>
          </w:p>
        </w:tc>
        <w:tc>
          <w:tcPr>
            <w:tcW w:w="2250" w:type="pct"/>
          </w:tcPr>
          <w:p w14:paraId="1B712700" w14:textId="77777777" w:rsidR="00CF504D" w:rsidRPr="00020068" w:rsidRDefault="00000000">
            <w:pPr>
              <w:spacing w:after="20" w:line="252" w:lineRule="auto"/>
            </w:pPr>
            <w:r w:rsidRPr="00020068">
              <w:t>Background / rationale for the investigation.</w:t>
            </w:r>
          </w:p>
        </w:tc>
        <w:tc>
          <w:tcPr>
            <w:tcW w:w="2400" w:type="pct"/>
          </w:tcPr>
          <w:p w14:paraId="1B712701" w14:textId="77777777" w:rsidR="00CF504D" w:rsidRPr="00020068" w:rsidRDefault="00000000">
            <w:pPr>
              <w:spacing w:after="20" w:line="252" w:lineRule="auto"/>
            </w:pPr>
            <w:r w:rsidRPr="00020068">
              <w:t>Introduction, paragraphs 1–3.</w:t>
            </w:r>
          </w:p>
        </w:tc>
      </w:tr>
      <w:tr w:rsidR="00CF504D" w:rsidRPr="00020068" w14:paraId="1B712706" w14:textId="77777777" w:rsidTr="00020068">
        <w:tc>
          <w:tcPr>
            <w:tcW w:w="350" w:type="pct"/>
          </w:tcPr>
          <w:p w14:paraId="1B712703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3</w:t>
            </w:r>
          </w:p>
        </w:tc>
        <w:tc>
          <w:tcPr>
            <w:tcW w:w="2250" w:type="pct"/>
          </w:tcPr>
          <w:p w14:paraId="1B712704" w14:textId="77777777" w:rsidR="00CF504D" w:rsidRPr="00020068" w:rsidRDefault="00000000">
            <w:pPr>
              <w:spacing w:after="20" w:line="252" w:lineRule="auto"/>
            </w:pPr>
            <w:r w:rsidRPr="00020068">
              <w:t>State specific objectives, including any pre-specified hypotheses.</w:t>
            </w:r>
          </w:p>
        </w:tc>
        <w:tc>
          <w:tcPr>
            <w:tcW w:w="2400" w:type="pct"/>
          </w:tcPr>
          <w:p w14:paraId="1B712705" w14:textId="77777777" w:rsidR="00CF504D" w:rsidRPr="00020068" w:rsidRDefault="00000000">
            <w:pPr>
              <w:spacing w:after="20" w:line="252" w:lineRule="auto"/>
            </w:pPr>
            <w:r w:rsidRPr="00020068">
              <w:t>Introduction, final paragraph (two pre-specified aims).</w:t>
            </w:r>
          </w:p>
        </w:tc>
      </w:tr>
      <w:tr w:rsidR="00CF504D" w:rsidRPr="00020068" w14:paraId="1B712708" w14:textId="77777777" w:rsidTr="00020068">
        <w:tc>
          <w:tcPr>
            <w:tcW w:w="0" w:type="auto"/>
            <w:gridSpan w:val="3"/>
          </w:tcPr>
          <w:p w14:paraId="1B712707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Methods</w:t>
            </w:r>
          </w:p>
        </w:tc>
      </w:tr>
      <w:tr w:rsidR="00CF504D" w:rsidRPr="00020068" w14:paraId="1B71270C" w14:textId="77777777" w:rsidTr="00020068">
        <w:tc>
          <w:tcPr>
            <w:tcW w:w="350" w:type="pct"/>
          </w:tcPr>
          <w:p w14:paraId="1B712709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4</w:t>
            </w:r>
          </w:p>
        </w:tc>
        <w:tc>
          <w:tcPr>
            <w:tcW w:w="2250" w:type="pct"/>
          </w:tcPr>
          <w:p w14:paraId="1B71270A" w14:textId="77777777" w:rsidR="00CF504D" w:rsidRPr="00020068" w:rsidRDefault="00000000">
            <w:pPr>
              <w:spacing w:after="20" w:line="252" w:lineRule="auto"/>
            </w:pPr>
            <w:r w:rsidRPr="00020068">
              <w:t>Present key elements of the study design.</w:t>
            </w:r>
          </w:p>
        </w:tc>
        <w:tc>
          <w:tcPr>
            <w:tcW w:w="2400" w:type="pct"/>
          </w:tcPr>
          <w:p w14:paraId="1B71270B" w14:textId="77777777" w:rsidR="00CF504D" w:rsidRPr="00020068" w:rsidRDefault="00000000">
            <w:pPr>
              <w:spacing w:after="20" w:line="252" w:lineRule="auto"/>
            </w:pPr>
            <w:r w:rsidRPr="00020068">
              <w:t>Methods – Study design and setting (retrospective cohort).</w:t>
            </w:r>
          </w:p>
        </w:tc>
      </w:tr>
      <w:tr w:rsidR="00CF504D" w:rsidRPr="00020068" w14:paraId="1B712710" w14:textId="77777777" w:rsidTr="00020068">
        <w:tc>
          <w:tcPr>
            <w:tcW w:w="350" w:type="pct"/>
          </w:tcPr>
          <w:p w14:paraId="1B71270D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5</w:t>
            </w:r>
          </w:p>
        </w:tc>
        <w:tc>
          <w:tcPr>
            <w:tcW w:w="2250" w:type="pct"/>
          </w:tcPr>
          <w:p w14:paraId="1B71270E" w14:textId="77777777" w:rsidR="00CF504D" w:rsidRPr="00020068" w:rsidRDefault="00000000">
            <w:pPr>
              <w:spacing w:after="20" w:line="252" w:lineRule="auto"/>
            </w:pPr>
            <w:r w:rsidRPr="00020068">
              <w:t>Setting, locations, and relevant dates (recruitment, exposure, follow-up).</w:t>
            </w:r>
          </w:p>
        </w:tc>
        <w:tc>
          <w:tcPr>
            <w:tcW w:w="2400" w:type="pct"/>
          </w:tcPr>
          <w:p w14:paraId="1B71270F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Methods – Study design and setting (700-bed tertiary </w:t>
            </w:r>
            <w:proofErr w:type="spellStart"/>
            <w:r w:rsidRPr="00020068">
              <w:t>centre</w:t>
            </w:r>
            <w:proofErr w:type="spellEnd"/>
            <w:r w:rsidRPr="00020068">
              <w:t>, Seoul; Jan 2020–Dec 2023).</w:t>
            </w:r>
          </w:p>
        </w:tc>
      </w:tr>
      <w:tr w:rsidR="00CF504D" w:rsidRPr="00020068" w14:paraId="1B712714" w14:textId="77777777" w:rsidTr="00020068">
        <w:tc>
          <w:tcPr>
            <w:tcW w:w="350" w:type="pct"/>
          </w:tcPr>
          <w:p w14:paraId="1B712711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6</w:t>
            </w:r>
          </w:p>
        </w:tc>
        <w:tc>
          <w:tcPr>
            <w:tcW w:w="2250" w:type="pct"/>
          </w:tcPr>
          <w:p w14:paraId="1B712712" w14:textId="77777777" w:rsidR="00CF504D" w:rsidRPr="00020068" w:rsidRDefault="00000000">
            <w:pPr>
              <w:spacing w:after="20" w:line="252" w:lineRule="auto"/>
            </w:pPr>
            <w:r w:rsidRPr="00020068">
              <w:t>(a) Eligibility criteria, sources, methods of selection, and follow-up. (b) Matched-study methods – not applicable.</w:t>
            </w:r>
          </w:p>
        </w:tc>
        <w:tc>
          <w:tcPr>
            <w:tcW w:w="2400" w:type="pct"/>
          </w:tcPr>
          <w:p w14:paraId="1B712713" w14:textId="77777777" w:rsidR="00CF504D" w:rsidRPr="00020068" w:rsidRDefault="00000000">
            <w:pPr>
              <w:spacing w:after="20" w:line="252" w:lineRule="auto"/>
            </w:pPr>
            <w:r w:rsidRPr="00020068">
              <w:t>Methods – Study population (adults ≥18 yr with first CRE detection; index date; single inclusion); follow-up via serial surveillance cultures.</w:t>
            </w:r>
          </w:p>
        </w:tc>
      </w:tr>
      <w:tr w:rsidR="00CF504D" w:rsidRPr="00020068" w14:paraId="1B712718" w14:textId="77777777" w:rsidTr="00020068">
        <w:tc>
          <w:tcPr>
            <w:tcW w:w="350" w:type="pct"/>
          </w:tcPr>
          <w:p w14:paraId="1B712715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7</w:t>
            </w:r>
          </w:p>
        </w:tc>
        <w:tc>
          <w:tcPr>
            <w:tcW w:w="2250" w:type="pct"/>
          </w:tcPr>
          <w:p w14:paraId="1B712716" w14:textId="77777777" w:rsidR="00CF504D" w:rsidRPr="00020068" w:rsidRDefault="00000000">
            <w:pPr>
              <w:spacing w:after="20" w:line="252" w:lineRule="auto"/>
            </w:pPr>
            <w:r w:rsidRPr="00020068">
              <w:t>Clearly define outcomes, exposures, predictors, confounders, effect modifiers.</w:t>
            </w:r>
          </w:p>
        </w:tc>
        <w:tc>
          <w:tcPr>
            <w:tcW w:w="2400" w:type="pct"/>
          </w:tcPr>
          <w:p w14:paraId="1B712717" w14:textId="77777777" w:rsidR="00CF504D" w:rsidRPr="00020068" w:rsidRDefault="00000000">
            <w:pPr>
              <w:spacing w:after="20" w:line="252" w:lineRule="auto"/>
            </w:pPr>
            <w:r w:rsidRPr="00020068">
              <w:t>Methods – Definitions (clearance; 30-day mortality; in-hospital death as competing event) and Covariates.</w:t>
            </w:r>
          </w:p>
        </w:tc>
      </w:tr>
      <w:tr w:rsidR="00CF504D" w:rsidRPr="00020068" w14:paraId="1B71271C" w14:textId="77777777" w:rsidTr="00020068">
        <w:tc>
          <w:tcPr>
            <w:tcW w:w="350" w:type="pct"/>
          </w:tcPr>
          <w:p w14:paraId="1B712719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8</w:t>
            </w:r>
          </w:p>
        </w:tc>
        <w:tc>
          <w:tcPr>
            <w:tcW w:w="2250" w:type="pct"/>
          </w:tcPr>
          <w:p w14:paraId="1B71271A" w14:textId="77777777" w:rsidR="00CF504D" w:rsidRPr="00020068" w:rsidRDefault="00000000">
            <w:pPr>
              <w:spacing w:after="20" w:line="252" w:lineRule="auto"/>
            </w:pPr>
            <w:r w:rsidRPr="00020068">
              <w:t>Sources of data and details of methods of assessment for each variable.</w:t>
            </w:r>
          </w:p>
        </w:tc>
        <w:tc>
          <w:tcPr>
            <w:tcW w:w="2400" w:type="pct"/>
          </w:tcPr>
          <w:p w14:paraId="1B71271B" w14:textId="77777777" w:rsidR="00CF504D" w:rsidRPr="00020068" w:rsidRDefault="00000000">
            <w:pPr>
              <w:spacing w:after="20" w:line="252" w:lineRule="auto"/>
            </w:pPr>
            <w:r w:rsidRPr="00020068">
              <w:t>Methods – Microbiological methods (VITEK 2, MALDI-TOF MS, Xpert Carba-R); Covariates (EMR review, defined at index date).</w:t>
            </w:r>
          </w:p>
        </w:tc>
      </w:tr>
      <w:tr w:rsidR="00CF504D" w:rsidRPr="00020068" w14:paraId="1B712720" w14:textId="77777777" w:rsidTr="00020068">
        <w:tc>
          <w:tcPr>
            <w:tcW w:w="350" w:type="pct"/>
          </w:tcPr>
          <w:p w14:paraId="1B71271D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9</w:t>
            </w:r>
          </w:p>
        </w:tc>
        <w:tc>
          <w:tcPr>
            <w:tcW w:w="2250" w:type="pct"/>
          </w:tcPr>
          <w:p w14:paraId="1B71271E" w14:textId="77777777" w:rsidR="00CF504D" w:rsidRPr="00020068" w:rsidRDefault="00000000">
            <w:pPr>
              <w:spacing w:after="20" w:line="252" w:lineRule="auto"/>
            </w:pPr>
            <w:r w:rsidRPr="00020068">
              <w:t>Describe any efforts to address potential sources of bias.</w:t>
            </w:r>
          </w:p>
        </w:tc>
        <w:tc>
          <w:tcPr>
            <w:tcW w:w="2400" w:type="pct"/>
          </w:tcPr>
          <w:p w14:paraId="1B71271F" w14:textId="77777777" w:rsidR="00CF504D" w:rsidRPr="00020068" w:rsidRDefault="00000000">
            <w:pPr>
              <w:spacing w:after="20" w:line="252" w:lineRule="auto"/>
            </w:pPr>
            <w:r w:rsidRPr="00020068">
              <w:t>Introduction (surveillance-time, immortal-time, ascertainment biases); Methods – Statistical analysis (competing-risks modelling; time-varying covariate; sensitivity analysis).</w:t>
            </w:r>
          </w:p>
        </w:tc>
      </w:tr>
      <w:tr w:rsidR="00CF504D" w:rsidRPr="00020068" w14:paraId="1B712724" w14:textId="77777777" w:rsidTr="00020068">
        <w:tc>
          <w:tcPr>
            <w:tcW w:w="350" w:type="pct"/>
          </w:tcPr>
          <w:p w14:paraId="1B712721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10</w:t>
            </w:r>
          </w:p>
        </w:tc>
        <w:tc>
          <w:tcPr>
            <w:tcW w:w="2250" w:type="pct"/>
          </w:tcPr>
          <w:p w14:paraId="1B712722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Explain how the study size </w:t>
            </w:r>
            <w:proofErr w:type="gramStart"/>
            <w:r w:rsidRPr="00020068">
              <w:t>was arrived</w:t>
            </w:r>
            <w:proofErr w:type="gramEnd"/>
            <w:r w:rsidRPr="00020068">
              <w:t xml:space="preserve"> at.</w:t>
            </w:r>
          </w:p>
        </w:tc>
        <w:tc>
          <w:tcPr>
            <w:tcW w:w="2400" w:type="pct"/>
          </w:tcPr>
          <w:p w14:paraId="1B712723" w14:textId="77777777" w:rsidR="00CF504D" w:rsidRPr="00020068" w:rsidRDefault="00000000">
            <w:pPr>
              <w:spacing w:after="20" w:line="252" w:lineRule="auto"/>
            </w:pPr>
            <w:r w:rsidRPr="00020068">
              <w:t>Methods – Study population (all eligible patients during the study period; no a priori sample-size calculation); event count and its impact discussed in Limitations.</w:t>
            </w:r>
          </w:p>
        </w:tc>
      </w:tr>
      <w:tr w:rsidR="00CF504D" w:rsidRPr="00020068" w14:paraId="1B712728" w14:textId="77777777" w:rsidTr="00020068">
        <w:tc>
          <w:tcPr>
            <w:tcW w:w="350" w:type="pct"/>
          </w:tcPr>
          <w:p w14:paraId="1B712725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11</w:t>
            </w:r>
          </w:p>
        </w:tc>
        <w:tc>
          <w:tcPr>
            <w:tcW w:w="2250" w:type="pct"/>
          </w:tcPr>
          <w:p w14:paraId="1B712726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Explain how quantitative variables </w:t>
            </w:r>
            <w:proofErr w:type="gramStart"/>
            <w:r w:rsidRPr="00020068">
              <w:t>were handled / groupings</w:t>
            </w:r>
            <w:proofErr w:type="gramEnd"/>
            <w:r w:rsidRPr="00020068">
              <w:t xml:space="preserve"> chosen.</w:t>
            </w:r>
          </w:p>
        </w:tc>
        <w:tc>
          <w:tcPr>
            <w:tcW w:w="2400" w:type="pct"/>
          </w:tcPr>
          <w:p w14:paraId="1B712727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Methods – Covariates and Statistical analysis (age </w:t>
            </w:r>
            <w:proofErr w:type="spellStart"/>
            <w:r w:rsidRPr="00020068">
              <w:t>dichotomised</w:t>
            </w:r>
            <w:proofErr w:type="spellEnd"/>
            <w:r w:rsidRPr="00020068">
              <w:t xml:space="preserve"> at ≥65 yr; continuous variables as median [IQR]).</w:t>
            </w:r>
          </w:p>
        </w:tc>
      </w:tr>
      <w:tr w:rsidR="00CF504D" w:rsidRPr="00020068" w14:paraId="1B71272C" w14:textId="77777777" w:rsidTr="00020068">
        <w:tc>
          <w:tcPr>
            <w:tcW w:w="350" w:type="pct"/>
          </w:tcPr>
          <w:p w14:paraId="1B712729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12</w:t>
            </w:r>
          </w:p>
        </w:tc>
        <w:tc>
          <w:tcPr>
            <w:tcW w:w="2250" w:type="pct"/>
          </w:tcPr>
          <w:p w14:paraId="1B71272A" w14:textId="77777777" w:rsidR="00CF504D" w:rsidRPr="00020068" w:rsidRDefault="00000000">
            <w:pPr>
              <w:spacing w:after="20" w:line="252" w:lineRule="auto"/>
            </w:pPr>
            <w:r w:rsidRPr="00020068">
              <w:t>Statistical methods: (a) all methods incl. confounding control; (b) subgroups / interactions; (c) handling of missing data; (d) loss to follow-up / censoring; (e) sensitivity analyses.</w:t>
            </w:r>
          </w:p>
        </w:tc>
        <w:tc>
          <w:tcPr>
            <w:tcW w:w="2400" w:type="pct"/>
          </w:tcPr>
          <w:p w14:paraId="1B71272B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Methods – Statistical analysis: (a) Aalen–Johansen, cause-specific Cox, Fine–Gray, time-varying Cox; (b) </w:t>
            </w:r>
            <w:proofErr w:type="spellStart"/>
            <w:r w:rsidRPr="00020068">
              <w:t>carbapenemase</w:t>
            </w:r>
            <w:proofErr w:type="spellEnd"/>
            <w:r w:rsidRPr="00020068">
              <w:t>-status subgroup; (c) see footnote *; (d) discharge treated as censoring, in-hospital death as competing event; (e) sensitivity analysis.</w:t>
            </w:r>
          </w:p>
        </w:tc>
      </w:tr>
      <w:tr w:rsidR="00CF504D" w:rsidRPr="00020068" w14:paraId="1B71272E" w14:textId="77777777" w:rsidTr="00020068">
        <w:tc>
          <w:tcPr>
            <w:tcW w:w="0" w:type="auto"/>
            <w:gridSpan w:val="3"/>
          </w:tcPr>
          <w:p w14:paraId="1B71272D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Results</w:t>
            </w:r>
          </w:p>
        </w:tc>
      </w:tr>
      <w:tr w:rsidR="00CF504D" w:rsidRPr="00020068" w14:paraId="1B712732" w14:textId="77777777" w:rsidTr="00020068">
        <w:tc>
          <w:tcPr>
            <w:tcW w:w="350" w:type="pct"/>
          </w:tcPr>
          <w:p w14:paraId="1B71272F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13</w:t>
            </w:r>
          </w:p>
        </w:tc>
        <w:tc>
          <w:tcPr>
            <w:tcW w:w="2250" w:type="pct"/>
          </w:tcPr>
          <w:p w14:paraId="1B712730" w14:textId="77777777" w:rsidR="00CF504D" w:rsidRPr="00020068" w:rsidRDefault="00000000">
            <w:pPr>
              <w:spacing w:after="20" w:line="252" w:lineRule="auto"/>
            </w:pPr>
            <w:r w:rsidRPr="00020068">
              <w:t>(a) Numbers at each stage. (b) Reasons for non-participation. (c) Consider a flow diagram.</w:t>
            </w:r>
          </w:p>
        </w:tc>
        <w:tc>
          <w:tcPr>
            <w:tcW w:w="2400" w:type="pct"/>
          </w:tcPr>
          <w:p w14:paraId="1B712731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(a) Results – Study population (432 identified → 428 </w:t>
            </w:r>
            <w:proofErr w:type="spellStart"/>
            <w:r w:rsidRPr="00020068">
              <w:t>analysed</w:t>
            </w:r>
            <w:proofErr w:type="spellEnd"/>
            <w:r w:rsidRPr="00020068">
              <w:t>). (b) Excluded: aged &lt;18 yr (n = 4). (c) Figure S1 (flow diagram).</w:t>
            </w:r>
          </w:p>
        </w:tc>
      </w:tr>
      <w:tr w:rsidR="00CF504D" w:rsidRPr="00020068" w14:paraId="1B712736" w14:textId="77777777" w:rsidTr="00020068">
        <w:tc>
          <w:tcPr>
            <w:tcW w:w="350" w:type="pct"/>
          </w:tcPr>
          <w:p w14:paraId="1B712733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14</w:t>
            </w:r>
          </w:p>
        </w:tc>
        <w:tc>
          <w:tcPr>
            <w:tcW w:w="2250" w:type="pct"/>
          </w:tcPr>
          <w:p w14:paraId="1B712734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(a) Characteristics of participants. (b) Number with missing data per variable. (c) </w:t>
            </w:r>
            <w:proofErr w:type="spellStart"/>
            <w:r w:rsidRPr="00020068">
              <w:t>Summarise</w:t>
            </w:r>
            <w:proofErr w:type="spellEnd"/>
            <w:r w:rsidRPr="00020068">
              <w:t xml:space="preserve"> follow-up time.</w:t>
            </w:r>
          </w:p>
        </w:tc>
        <w:tc>
          <w:tcPr>
            <w:tcW w:w="2400" w:type="pct"/>
          </w:tcPr>
          <w:p w14:paraId="1B712735" w14:textId="77777777" w:rsidR="00CF504D" w:rsidRPr="00020068" w:rsidRDefault="00000000">
            <w:pPr>
              <w:spacing w:after="20" w:line="252" w:lineRule="auto"/>
            </w:pPr>
            <w:r w:rsidRPr="00020068">
              <w:t>(a) Table 1, Table 2; Results – Baseline / Microbiological characteristics. (b) see footnote *. (c) Median time to clearance 30 days; cumulative incidence to day 120 (Fig 3).</w:t>
            </w:r>
          </w:p>
        </w:tc>
      </w:tr>
      <w:tr w:rsidR="00CF504D" w:rsidRPr="00020068" w14:paraId="1B71273A" w14:textId="77777777" w:rsidTr="00020068">
        <w:tc>
          <w:tcPr>
            <w:tcW w:w="350" w:type="pct"/>
          </w:tcPr>
          <w:p w14:paraId="1B712737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15</w:t>
            </w:r>
          </w:p>
        </w:tc>
        <w:tc>
          <w:tcPr>
            <w:tcW w:w="2250" w:type="pct"/>
          </w:tcPr>
          <w:p w14:paraId="1B712738" w14:textId="77777777" w:rsidR="00CF504D" w:rsidRPr="00020068" w:rsidRDefault="00000000">
            <w:pPr>
              <w:spacing w:after="20" w:line="252" w:lineRule="auto"/>
            </w:pPr>
            <w:r w:rsidRPr="00020068">
              <w:t>Report numbers of outcome events or summary measures over time.</w:t>
            </w:r>
          </w:p>
        </w:tc>
        <w:tc>
          <w:tcPr>
            <w:tcW w:w="2400" w:type="pct"/>
          </w:tcPr>
          <w:p w14:paraId="1B712739" w14:textId="77777777" w:rsidR="00CF504D" w:rsidRPr="00020068" w:rsidRDefault="00000000">
            <w:pPr>
              <w:spacing w:after="20" w:line="252" w:lineRule="auto"/>
            </w:pPr>
            <w:r w:rsidRPr="00020068">
              <w:t>Results – Study population &amp; Cumulative incidence (65 clearances, 363 persistent, 72 deaths); Tables 3–4.</w:t>
            </w:r>
          </w:p>
        </w:tc>
      </w:tr>
      <w:tr w:rsidR="00CF504D" w:rsidRPr="00020068" w14:paraId="1B71273E" w14:textId="77777777" w:rsidTr="00020068">
        <w:tc>
          <w:tcPr>
            <w:tcW w:w="350" w:type="pct"/>
          </w:tcPr>
          <w:p w14:paraId="1B71273B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16</w:t>
            </w:r>
          </w:p>
        </w:tc>
        <w:tc>
          <w:tcPr>
            <w:tcW w:w="2250" w:type="pct"/>
          </w:tcPr>
          <w:p w14:paraId="1B71273C" w14:textId="77777777" w:rsidR="00CF504D" w:rsidRPr="00020068" w:rsidRDefault="00000000">
            <w:pPr>
              <w:spacing w:after="20" w:line="252" w:lineRule="auto"/>
            </w:pPr>
            <w:r w:rsidRPr="00020068">
              <w:t>(a) Unadjusted and adjusted estimates with 95% CI. (b) Category boundaries for continuous variables. (c) Translate relative risk to absolute risk if relevant.</w:t>
            </w:r>
          </w:p>
        </w:tc>
        <w:tc>
          <w:tcPr>
            <w:tcW w:w="2400" w:type="pct"/>
          </w:tcPr>
          <w:p w14:paraId="1B71273D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(a) Tables 3 &amp; 4, Figure 2 (adjusted HR / </w:t>
            </w:r>
            <w:proofErr w:type="spellStart"/>
            <w:r w:rsidRPr="00020068">
              <w:t>sHR</w:t>
            </w:r>
            <w:proofErr w:type="spellEnd"/>
            <w:r w:rsidRPr="00020068">
              <w:t xml:space="preserve"> with 95% CI). (b) Age ≥65 yr boundary reported. (c) Absolute risk = cumulative incidence of clearance (Fig 3).</w:t>
            </w:r>
          </w:p>
        </w:tc>
      </w:tr>
      <w:tr w:rsidR="00CF504D" w:rsidRPr="00020068" w14:paraId="1B712742" w14:textId="77777777" w:rsidTr="00020068">
        <w:tc>
          <w:tcPr>
            <w:tcW w:w="350" w:type="pct"/>
          </w:tcPr>
          <w:p w14:paraId="1B71273F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lastRenderedPageBreak/>
              <w:t>17</w:t>
            </w:r>
          </w:p>
        </w:tc>
        <w:tc>
          <w:tcPr>
            <w:tcW w:w="2250" w:type="pct"/>
          </w:tcPr>
          <w:p w14:paraId="1B712740" w14:textId="77777777" w:rsidR="00CF504D" w:rsidRPr="00020068" w:rsidRDefault="00000000">
            <w:pPr>
              <w:spacing w:after="20" w:line="252" w:lineRule="auto"/>
            </w:pPr>
            <w:r w:rsidRPr="00020068">
              <w:t>Other analyses (subgroups, interactions, sensitivity).</w:t>
            </w:r>
          </w:p>
        </w:tc>
        <w:tc>
          <w:tcPr>
            <w:tcW w:w="2400" w:type="pct"/>
          </w:tcPr>
          <w:p w14:paraId="1B712741" w14:textId="77777777" w:rsidR="00CF504D" w:rsidRPr="00020068" w:rsidRDefault="00000000">
            <w:pPr>
              <w:spacing w:after="20" w:line="252" w:lineRule="auto"/>
            </w:pPr>
            <w:r w:rsidRPr="00020068">
              <w:t xml:space="preserve">Results – Sensitivity analysis (Supplementary Table 1); </w:t>
            </w:r>
            <w:proofErr w:type="spellStart"/>
            <w:r w:rsidRPr="00020068">
              <w:t>carbapenemase</w:t>
            </w:r>
            <w:proofErr w:type="spellEnd"/>
            <w:r w:rsidRPr="00020068">
              <w:t>-status subgroup (Fig 3B).</w:t>
            </w:r>
          </w:p>
        </w:tc>
      </w:tr>
      <w:tr w:rsidR="00CF504D" w:rsidRPr="00020068" w14:paraId="1B712744" w14:textId="77777777" w:rsidTr="00020068">
        <w:tc>
          <w:tcPr>
            <w:tcW w:w="0" w:type="auto"/>
            <w:gridSpan w:val="3"/>
          </w:tcPr>
          <w:p w14:paraId="1B712743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Discussion</w:t>
            </w:r>
          </w:p>
        </w:tc>
      </w:tr>
      <w:tr w:rsidR="00CF504D" w:rsidRPr="00020068" w14:paraId="1B712748" w14:textId="77777777" w:rsidTr="00020068">
        <w:tc>
          <w:tcPr>
            <w:tcW w:w="350" w:type="pct"/>
          </w:tcPr>
          <w:p w14:paraId="1B712745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18</w:t>
            </w:r>
          </w:p>
        </w:tc>
        <w:tc>
          <w:tcPr>
            <w:tcW w:w="2250" w:type="pct"/>
          </w:tcPr>
          <w:p w14:paraId="1B712746" w14:textId="77777777" w:rsidR="00CF504D" w:rsidRPr="00020068" w:rsidRDefault="00000000">
            <w:pPr>
              <w:spacing w:after="20" w:line="252" w:lineRule="auto"/>
            </w:pPr>
            <w:proofErr w:type="spellStart"/>
            <w:r w:rsidRPr="00020068">
              <w:t>Summarise</w:t>
            </w:r>
            <w:proofErr w:type="spellEnd"/>
            <w:r w:rsidRPr="00020068">
              <w:t xml:space="preserve"> key results with reference to study objectives.</w:t>
            </w:r>
          </w:p>
        </w:tc>
        <w:tc>
          <w:tcPr>
            <w:tcW w:w="2400" w:type="pct"/>
          </w:tcPr>
          <w:p w14:paraId="1B712747" w14:textId="77777777" w:rsidR="00CF504D" w:rsidRPr="00020068" w:rsidRDefault="00000000">
            <w:pPr>
              <w:spacing w:after="20" w:line="252" w:lineRule="auto"/>
            </w:pPr>
            <w:r w:rsidRPr="00020068">
              <w:t>Discussion, paragraph 1.</w:t>
            </w:r>
          </w:p>
        </w:tc>
      </w:tr>
      <w:tr w:rsidR="00CF504D" w:rsidRPr="00020068" w14:paraId="1B71274C" w14:textId="77777777" w:rsidTr="00020068">
        <w:tc>
          <w:tcPr>
            <w:tcW w:w="350" w:type="pct"/>
          </w:tcPr>
          <w:p w14:paraId="1B712749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19</w:t>
            </w:r>
          </w:p>
        </w:tc>
        <w:tc>
          <w:tcPr>
            <w:tcW w:w="2250" w:type="pct"/>
          </w:tcPr>
          <w:p w14:paraId="1B71274A" w14:textId="77777777" w:rsidR="00CF504D" w:rsidRPr="00020068" w:rsidRDefault="00000000">
            <w:pPr>
              <w:spacing w:after="20" w:line="252" w:lineRule="auto"/>
            </w:pPr>
            <w:r w:rsidRPr="00020068">
              <w:t>Limitations, including sources of bias and imprecision.</w:t>
            </w:r>
          </w:p>
        </w:tc>
        <w:tc>
          <w:tcPr>
            <w:tcW w:w="2400" w:type="pct"/>
          </w:tcPr>
          <w:p w14:paraId="1B71274B" w14:textId="77777777" w:rsidR="00CF504D" w:rsidRPr="00020068" w:rsidRDefault="00000000">
            <w:pPr>
              <w:spacing w:after="20" w:line="252" w:lineRule="auto"/>
            </w:pPr>
            <w:r w:rsidRPr="00020068">
              <w:t>Discussion – limitations paragraph.</w:t>
            </w:r>
          </w:p>
        </w:tc>
      </w:tr>
      <w:tr w:rsidR="00CF504D" w:rsidRPr="00020068" w14:paraId="1B712750" w14:textId="77777777" w:rsidTr="00020068">
        <w:tc>
          <w:tcPr>
            <w:tcW w:w="350" w:type="pct"/>
          </w:tcPr>
          <w:p w14:paraId="1B71274D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20</w:t>
            </w:r>
          </w:p>
        </w:tc>
        <w:tc>
          <w:tcPr>
            <w:tcW w:w="2250" w:type="pct"/>
          </w:tcPr>
          <w:p w14:paraId="1B71274E" w14:textId="77777777" w:rsidR="00CF504D" w:rsidRPr="00020068" w:rsidRDefault="00000000">
            <w:pPr>
              <w:spacing w:after="20" w:line="252" w:lineRule="auto"/>
            </w:pPr>
            <w:r w:rsidRPr="00020068">
              <w:t>Cautious overall interpretation considering objectives, limitations, similar studies.</w:t>
            </w:r>
          </w:p>
        </w:tc>
        <w:tc>
          <w:tcPr>
            <w:tcW w:w="2400" w:type="pct"/>
          </w:tcPr>
          <w:p w14:paraId="1B71274F" w14:textId="77777777" w:rsidR="00CF504D" w:rsidRPr="00020068" w:rsidRDefault="00000000">
            <w:pPr>
              <w:spacing w:after="20" w:line="252" w:lineRule="auto"/>
            </w:pPr>
            <w:r w:rsidRPr="00020068">
              <w:t>Discussion, paragraphs 2–6.</w:t>
            </w:r>
          </w:p>
        </w:tc>
      </w:tr>
      <w:tr w:rsidR="00CF504D" w:rsidRPr="00020068" w14:paraId="1B712754" w14:textId="77777777" w:rsidTr="00020068">
        <w:tc>
          <w:tcPr>
            <w:tcW w:w="350" w:type="pct"/>
          </w:tcPr>
          <w:p w14:paraId="1B712751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21</w:t>
            </w:r>
          </w:p>
        </w:tc>
        <w:tc>
          <w:tcPr>
            <w:tcW w:w="2250" w:type="pct"/>
          </w:tcPr>
          <w:p w14:paraId="1B712752" w14:textId="77777777" w:rsidR="00CF504D" w:rsidRPr="00020068" w:rsidRDefault="00000000">
            <w:pPr>
              <w:spacing w:after="20" w:line="252" w:lineRule="auto"/>
            </w:pPr>
            <w:proofErr w:type="spellStart"/>
            <w:r w:rsidRPr="00020068">
              <w:t>Generalisability</w:t>
            </w:r>
            <w:proofErr w:type="spellEnd"/>
            <w:r w:rsidRPr="00020068">
              <w:t xml:space="preserve"> (external validity).</w:t>
            </w:r>
          </w:p>
        </w:tc>
        <w:tc>
          <w:tcPr>
            <w:tcW w:w="2400" w:type="pct"/>
          </w:tcPr>
          <w:p w14:paraId="1B712753" w14:textId="77777777" w:rsidR="00CF504D" w:rsidRPr="00020068" w:rsidRDefault="00000000">
            <w:pPr>
              <w:spacing w:after="20" w:line="252" w:lineRule="auto"/>
            </w:pPr>
            <w:r w:rsidRPr="00020068">
              <w:t>Discussion – limitations (single-</w:t>
            </w:r>
            <w:proofErr w:type="spellStart"/>
            <w:r w:rsidRPr="00020068">
              <w:t>centre</w:t>
            </w:r>
            <w:proofErr w:type="spellEnd"/>
            <w:r w:rsidRPr="00020068">
              <w:t>, KPC-predominant East Asian setting).</w:t>
            </w:r>
          </w:p>
        </w:tc>
      </w:tr>
      <w:tr w:rsidR="00CF504D" w:rsidRPr="00020068" w14:paraId="1B712756" w14:textId="77777777" w:rsidTr="00020068">
        <w:tc>
          <w:tcPr>
            <w:tcW w:w="0" w:type="auto"/>
            <w:gridSpan w:val="3"/>
          </w:tcPr>
          <w:p w14:paraId="1B712755" w14:textId="77777777" w:rsidR="00CF504D" w:rsidRPr="00020068" w:rsidRDefault="00000000">
            <w:pPr>
              <w:spacing w:after="20" w:line="252" w:lineRule="auto"/>
            </w:pPr>
            <w:r w:rsidRPr="00020068">
              <w:rPr>
                <w:b/>
                <w:bCs/>
              </w:rPr>
              <w:t>Other information</w:t>
            </w:r>
          </w:p>
        </w:tc>
      </w:tr>
      <w:tr w:rsidR="00CF504D" w:rsidRPr="00020068" w14:paraId="1B71275A" w14:textId="77777777" w:rsidTr="00020068">
        <w:tc>
          <w:tcPr>
            <w:tcW w:w="350" w:type="pct"/>
          </w:tcPr>
          <w:p w14:paraId="1B712757" w14:textId="77777777" w:rsidR="00CF504D" w:rsidRPr="00020068" w:rsidRDefault="00000000">
            <w:pPr>
              <w:spacing w:after="20" w:line="252" w:lineRule="auto"/>
              <w:jc w:val="center"/>
            </w:pPr>
            <w:r w:rsidRPr="00020068">
              <w:t>22</w:t>
            </w:r>
          </w:p>
        </w:tc>
        <w:tc>
          <w:tcPr>
            <w:tcW w:w="2250" w:type="pct"/>
          </w:tcPr>
          <w:p w14:paraId="1B712758" w14:textId="77777777" w:rsidR="00CF504D" w:rsidRPr="00020068" w:rsidRDefault="00000000">
            <w:pPr>
              <w:spacing w:after="20" w:line="252" w:lineRule="auto"/>
            </w:pPr>
            <w:r w:rsidRPr="00020068">
              <w:t>Funding and the role of funders.</w:t>
            </w:r>
          </w:p>
        </w:tc>
        <w:tc>
          <w:tcPr>
            <w:tcW w:w="2400" w:type="pct"/>
          </w:tcPr>
          <w:p w14:paraId="1B712759" w14:textId="77777777" w:rsidR="00CF504D" w:rsidRPr="00020068" w:rsidRDefault="00000000">
            <w:pPr>
              <w:spacing w:after="20" w:line="252" w:lineRule="auto"/>
            </w:pPr>
            <w:r w:rsidRPr="00020068">
              <w:t>Declarations – Funding.</w:t>
            </w:r>
          </w:p>
        </w:tc>
      </w:tr>
    </w:tbl>
    <w:p w14:paraId="1B71275B" w14:textId="77777777" w:rsidR="00CF504D" w:rsidRPr="00020068" w:rsidRDefault="00000000">
      <w:pPr>
        <w:spacing w:before="160" w:after="60"/>
      </w:pPr>
      <w:r w:rsidRPr="00020068">
        <w:rPr>
          <w:b/>
          <w:bCs/>
          <w:sz w:val="18"/>
          <w:szCs w:val="18"/>
        </w:rPr>
        <w:t xml:space="preserve">* Missing data: </w:t>
      </w:r>
      <w:r w:rsidRPr="00020068">
        <w:rPr>
          <w:sz w:val="18"/>
          <w:szCs w:val="18"/>
        </w:rPr>
        <w:t>the pre-specified covariates were ascertained from complete electronic medical records; if any variable had missing values, state this and the handling (e.g., complete-case analysis) in Methods (item 12c) and the per-variable counts in Results (item 14b) before submission.</w:t>
      </w:r>
    </w:p>
    <w:p w14:paraId="1B71275C" w14:textId="77777777" w:rsidR="00CF504D" w:rsidRPr="00020068" w:rsidRDefault="00000000">
      <w:pPr>
        <w:spacing w:after="60"/>
      </w:pPr>
      <w:r w:rsidRPr="00020068">
        <w:rPr>
          <w:b/>
          <w:bCs/>
          <w:sz w:val="18"/>
          <w:szCs w:val="18"/>
        </w:rPr>
        <w:t xml:space="preserve">Note: </w:t>
      </w:r>
      <w:r w:rsidRPr="00020068">
        <w:rPr>
          <w:sz w:val="18"/>
          <w:szCs w:val="18"/>
        </w:rPr>
        <w:t>page/line numbers should be added against the final formatted manuscript; locations above refer to named sections, tables, and figures.</w:t>
      </w:r>
    </w:p>
    <w:p w14:paraId="1B71275D" w14:textId="77777777" w:rsidR="00CF504D" w:rsidRPr="00020068" w:rsidRDefault="00000000">
      <w:r w:rsidRPr="00020068">
        <w:rPr>
          <w:sz w:val="18"/>
          <w:szCs w:val="18"/>
        </w:rPr>
        <w:t xml:space="preserve">Reference: von Elm E, et al. The STROBE Statement. Lancet </w:t>
      </w:r>
      <w:proofErr w:type="gramStart"/>
      <w:r w:rsidRPr="00020068">
        <w:rPr>
          <w:sz w:val="18"/>
          <w:szCs w:val="18"/>
        </w:rPr>
        <w:t>2007;370:1453</w:t>
      </w:r>
      <w:proofErr w:type="gramEnd"/>
      <w:r w:rsidRPr="00020068">
        <w:rPr>
          <w:sz w:val="18"/>
          <w:szCs w:val="18"/>
        </w:rPr>
        <w:t>–7 (reference [15]).</w:t>
      </w:r>
    </w:p>
    <w:sectPr w:rsidR="00CF504D" w:rsidRPr="00020068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A5525" w14:textId="77777777" w:rsidR="008A742E" w:rsidRDefault="008A742E" w:rsidP="00020068">
      <w:r>
        <w:separator/>
      </w:r>
    </w:p>
  </w:endnote>
  <w:endnote w:type="continuationSeparator" w:id="0">
    <w:p w14:paraId="47D36E7C" w14:textId="77777777" w:rsidR="008A742E" w:rsidRDefault="008A742E" w:rsidP="0002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6046" w14:textId="77777777" w:rsidR="008A742E" w:rsidRDefault="008A742E" w:rsidP="00020068">
      <w:r>
        <w:separator/>
      </w:r>
    </w:p>
  </w:footnote>
  <w:footnote w:type="continuationSeparator" w:id="0">
    <w:p w14:paraId="6595111D" w14:textId="77777777" w:rsidR="008A742E" w:rsidRDefault="008A742E" w:rsidP="00020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E29BC"/>
    <w:multiLevelType w:val="hybridMultilevel"/>
    <w:tmpl w:val="B8D8AB84"/>
    <w:lvl w:ilvl="0" w:tplc="5666E1DE">
      <w:start w:val="1"/>
      <w:numFmt w:val="bullet"/>
      <w:lvlText w:val="●"/>
      <w:lvlJc w:val="left"/>
      <w:pPr>
        <w:ind w:left="720" w:hanging="360"/>
      </w:pPr>
    </w:lvl>
    <w:lvl w:ilvl="1" w:tplc="8C9E32B4">
      <w:start w:val="1"/>
      <w:numFmt w:val="bullet"/>
      <w:lvlText w:val="○"/>
      <w:lvlJc w:val="left"/>
      <w:pPr>
        <w:ind w:left="1440" w:hanging="360"/>
      </w:pPr>
    </w:lvl>
    <w:lvl w:ilvl="2" w:tplc="78E0C954">
      <w:start w:val="1"/>
      <w:numFmt w:val="bullet"/>
      <w:lvlText w:val="■"/>
      <w:lvlJc w:val="left"/>
      <w:pPr>
        <w:ind w:left="2160" w:hanging="360"/>
      </w:pPr>
    </w:lvl>
    <w:lvl w:ilvl="3" w:tplc="4740F4DE">
      <w:start w:val="1"/>
      <w:numFmt w:val="bullet"/>
      <w:lvlText w:val="●"/>
      <w:lvlJc w:val="left"/>
      <w:pPr>
        <w:ind w:left="2880" w:hanging="360"/>
      </w:pPr>
    </w:lvl>
    <w:lvl w:ilvl="4" w:tplc="991EA030">
      <w:start w:val="1"/>
      <w:numFmt w:val="bullet"/>
      <w:lvlText w:val="○"/>
      <w:lvlJc w:val="left"/>
      <w:pPr>
        <w:ind w:left="3600" w:hanging="360"/>
      </w:pPr>
    </w:lvl>
    <w:lvl w:ilvl="5" w:tplc="FD48721A">
      <w:start w:val="1"/>
      <w:numFmt w:val="bullet"/>
      <w:lvlText w:val="■"/>
      <w:lvlJc w:val="left"/>
      <w:pPr>
        <w:ind w:left="4320" w:hanging="360"/>
      </w:pPr>
    </w:lvl>
    <w:lvl w:ilvl="6" w:tplc="BA04E00A">
      <w:start w:val="1"/>
      <w:numFmt w:val="bullet"/>
      <w:lvlText w:val="●"/>
      <w:lvlJc w:val="left"/>
      <w:pPr>
        <w:ind w:left="5040" w:hanging="360"/>
      </w:pPr>
    </w:lvl>
    <w:lvl w:ilvl="7" w:tplc="7452C9EE">
      <w:start w:val="1"/>
      <w:numFmt w:val="bullet"/>
      <w:lvlText w:val="●"/>
      <w:lvlJc w:val="left"/>
      <w:pPr>
        <w:ind w:left="5760" w:hanging="360"/>
      </w:pPr>
    </w:lvl>
    <w:lvl w:ilvl="8" w:tplc="3C6AFAB0">
      <w:start w:val="1"/>
      <w:numFmt w:val="bullet"/>
      <w:lvlText w:val="●"/>
      <w:lvlJc w:val="left"/>
      <w:pPr>
        <w:ind w:left="6480" w:hanging="360"/>
      </w:pPr>
    </w:lvl>
  </w:abstractNum>
  <w:num w:numId="1" w16cid:durableId="15273265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4D"/>
    <w:rsid w:val="00020068"/>
    <w:rsid w:val="008A742E"/>
    <w:rsid w:val="00933CBB"/>
    <w:rsid w:val="00CF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126F1"/>
  <w15:docId w15:val="{D665B217-51B1-4645-977B-5326F486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gu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02006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020068"/>
  </w:style>
  <w:style w:type="paragraph" w:styleId="ab">
    <w:name w:val="footer"/>
    <w:basedOn w:val="a"/>
    <w:link w:val="Char2"/>
    <w:uiPriority w:val="99"/>
    <w:unhideWhenUsed/>
    <w:rsid w:val="0002006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020068"/>
  </w:style>
  <w:style w:type="table" w:styleId="ac">
    <w:name w:val="Table Grid"/>
    <w:basedOn w:val="a1"/>
    <w:uiPriority w:val="39"/>
    <w:rsid w:val="0002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Jiho Kang</cp:lastModifiedBy>
  <cp:revision>2</cp:revision>
  <dcterms:created xsi:type="dcterms:W3CDTF">2026-06-19T05:44:00Z</dcterms:created>
  <dcterms:modified xsi:type="dcterms:W3CDTF">2026-06-19T06:53:00Z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b4d2ddb8-b726-4f64-abcd-482f903af1c9</vt:lpwstr>
  </property>
</Properties>
</file>