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29415" w14:textId="770B770B" w:rsidR="00ED72A1" w:rsidRDefault="00ED72A1" w:rsidP="0022591E">
      <w:pPr>
        <w:spacing w:after="120"/>
        <w:rPr>
          <w:rFonts w:eastAsia="맑은 고딕" w:cs="Times New Roman"/>
          <w:b/>
          <w:bCs/>
          <w:color w:val="000000"/>
          <w:sz w:val="22"/>
          <w:lang w:eastAsia="ko-KR"/>
        </w:rPr>
      </w:pPr>
      <w:r w:rsidRPr="00ED72A1">
        <w:rPr>
          <w:rFonts w:cs="Times New Roman"/>
          <w:b/>
          <w:color w:val="000000"/>
          <w:sz w:val="22"/>
        </w:rPr>
        <w:t>Supplementary Information</w:t>
      </w:r>
    </w:p>
    <w:p w14:paraId="6BB25365" w14:textId="7306364E" w:rsidR="00ED72A1" w:rsidRDefault="00ED72A1" w:rsidP="0022591E">
      <w:pPr>
        <w:spacing w:after="120"/>
        <w:rPr>
          <w:rFonts w:eastAsia="맑은 고딕" w:cs="Times New Roman" w:hint="eastAsia"/>
          <w:b/>
          <w:bCs/>
          <w:color w:val="000000"/>
          <w:sz w:val="22"/>
          <w:lang w:eastAsia="ko-KR"/>
        </w:rPr>
      </w:pPr>
      <w:r>
        <w:rPr>
          <w:rFonts w:eastAsia="맑은 고딕" w:cs="Times New Roman" w:hint="eastAsia"/>
          <w:b/>
          <w:bCs/>
          <w:color w:val="000000"/>
          <w:sz w:val="22"/>
          <w:lang w:eastAsia="ko-KR"/>
        </w:rPr>
        <w:t>for</w:t>
      </w:r>
    </w:p>
    <w:p w14:paraId="09D7A30A" w14:textId="06A7BAB5" w:rsidR="00DB2A07" w:rsidRPr="00ED72A1" w:rsidRDefault="00000000" w:rsidP="0022591E">
      <w:pPr>
        <w:spacing w:after="120"/>
        <w:rPr>
          <w:rFonts w:cs="Times New Roman"/>
          <w:b/>
          <w:bCs/>
          <w:i/>
          <w:iCs/>
          <w:sz w:val="22"/>
        </w:rPr>
      </w:pPr>
      <w:r w:rsidRPr="00ED72A1">
        <w:rPr>
          <w:rFonts w:cs="Times New Roman"/>
          <w:b/>
          <w:bCs/>
          <w:i/>
          <w:iCs/>
          <w:color w:val="000000"/>
          <w:sz w:val="22"/>
        </w:rPr>
        <w:t>Assessing decoupled biological responses in Korean stream biomonitoring using a multi-taxon Community Dynamics Index framework</w:t>
      </w:r>
    </w:p>
    <w:p w14:paraId="30966B3C" w14:textId="77777777" w:rsidR="00B93E06" w:rsidRPr="00ED72A1" w:rsidRDefault="00000000" w:rsidP="0022591E">
      <w:pPr>
        <w:spacing w:after="120"/>
        <w:rPr>
          <w:rFonts w:eastAsia="맑은 고딕" w:cs="Times New Roman"/>
          <w:color w:val="000000"/>
          <w:sz w:val="22"/>
          <w:lang w:eastAsia="ko-KR"/>
        </w:rPr>
      </w:pPr>
      <w:r w:rsidRPr="00ED72A1">
        <w:rPr>
          <w:rFonts w:cs="Times New Roman"/>
          <w:color w:val="000000"/>
          <w:sz w:val="22"/>
        </w:rPr>
        <w:t>This Supplementary Information supports the Environmental Monitoring and Assessment submission and is synchronized with the revised biomonitoring and environmental-assessment framing, Table 1 structure, split-half reliability analyses, structural random-pairing null model, persistence-gradient interpretation, and revised data/code reproducibility boundary.</w:t>
      </w:r>
    </w:p>
    <w:p w14:paraId="2FAEEE01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159CA3E8" w14:textId="77777777" w:rsidR="00DB2A07" w:rsidRPr="00ED72A1" w:rsidRDefault="00000000" w:rsidP="0022591E">
      <w:pPr>
        <w:pStyle w:val="1"/>
        <w:spacing w:before="0" w:after="12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D72A1">
        <w:rPr>
          <w:rFonts w:ascii="Times New Roman" w:hAnsi="Times New Roman" w:cs="Times New Roman"/>
          <w:bCs w:val="0"/>
          <w:color w:val="000000"/>
          <w:sz w:val="22"/>
          <w:szCs w:val="22"/>
        </w:rPr>
        <w:t>Supplementary Note 1. Dataset construction and reporting boundary</w:t>
      </w:r>
    </w:p>
    <w:p w14:paraId="3548BD38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The raw monitoring database was preserved without deletion or zero-imputation. The primary evidence base for the manuscript is the strict tri-taxon matched core dataset where epilithic diatoms, benthic macroinvertebrates, and fish were observed at the same site, in the same year, and in both survey rounds. Broader taxon-specific and pairwise datasets were retained for sensitivity analyses only. Missing assemblage records were treated as missing observations rather than true zero abundance.</w:t>
      </w:r>
    </w:p>
    <w:p w14:paraId="3F43B1FB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428FE130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>Supplementary Table S1. Detailed dataset structure and audit trail before and after strict tri-taxon matching.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76"/>
        <w:gridCol w:w="1474"/>
        <w:gridCol w:w="1474"/>
        <w:gridCol w:w="1474"/>
        <w:gridCol w:w="1474"/>
        <w:gridCol w:w="3215"/>
      </w:tblGrid>
      <w:tr w:rsidR="00DB2A07" w:rsidRPr="00ED72A1" w14:paraId="61AF9B69" w14:textId="77777777" w:rsidTr="00ED72A1">
        <w:trPr>
          <w:jc w:val="center"/>
        </w:trPr>
        <w:tc>
          <w:tcPr>
            <w:tcW w:w="1676" w:type="dxa"/>
            <w:vAlign w:val="center"/>
          </w:tcPr>
          <w:p w14:paraId="24BED21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Item</w:t>
            </w:r>
          </w:p>
        </w:tc>
        <w:tc>
          <w:tcPr>
            <w:tcW w:w="1474" w:type="dxa"/>
            <w:vAlign w:val="center"/>
          </w:tcPr>
          <w:p w14:paraId="478EAC8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</w:t>
            </w:r>
          </w:p>
        </w:tc>
        <w:tc>
          <w:tcPr>
            <w:tcW w:w="1474" w:type="dxa"/>
            <w:vAlign w:val="center"/>
          </w:tcPr>
          <w:p w14:paraId="477D674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</w:t>
            </w:r>
          </w:p>
        </w:tc>
        <w:tc>
          <w:tcPr>
            <w:tcW w:w="1474" w:type="dxa"/>
            <w:vAlign w:val="center"/>
          </w:tcPr>
          <w:p w14:paraId="30F0A78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</w:t>
            </w:r>
          </w:p>
        </w:tc>
        <w:tc>
          <w:tcPr>
            <w:tcW w:w="1474" w:type="dxa"/>
            <w:vAlign w:val="center"/>
          </w:tcPr>
          <w:p w14:paraId="1B58970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Intersection/core</w:t>
            </w:r>
          </w:p>
        </w:tc>
        <w:tc>
          <w:tcPr>
            <w:tcW w:w="3215" w:type="dxa"/>
            <w:vAlign w:val="center"/>
          </w:tcPr>
          <w:p w14:paraId="30A5BF7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Interpretation</w:t>
            </w:r>
          </w:p>
        </w:tc>
      </w:tr>
      <w:tr w:rsidR="00DB2A07" w:rsidRPr="00ED72A1" w14:paraId="421D5EEE" w14:textId="77777777" w:rsidTr="0018569A">
        <w:trPr>
          <w:jc w:val="center"/>
        </w:trPr>
        <w:tc>
          <w:tcPr>
            <w:tcW w:w="1676" w:type="dxa"/>
            <w:vAlign w:val="center"/>
          </w:tcPr>
          <w:p w14:paraId="28EA012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Raw taxon records</w:t>
            </w:r>
          </w:p>
        </w:tc>
        <w:tc>
          <w:tcPr>
            <w:tcW w:w="1474" w:type="dxa"/>
            <w:vAlign w:val="center"/>
          </w:tcPr>
          <w:p w14:paraId="343B389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692,145</w:t>
            </w:r>
          </w:p>
        </w:tc>
        <w:tc>
          <w:tcPr>
            <w:tcW w:w="1474" w:type="dxa"/>
            <w:vAlign w:val="center"/>
          </w:tcPr>
          <w:p w14:paraId="5EF6E99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367,165</w:t>
            </w:r>
          </w:p>
        </w:tc>
        <w:tc>
          <w:tcPr>
            <w:tcW w:w="1474" w:type="dxa"/>
            <w:vAlign w:val="center"/>
          </w:tcPr>
          <w:p w14:paraId="416D60C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188,605</w:t>
            </w:r>
          </w:p>
        </w:tc>
        <w:tc>
          <w:tcPr>
            <w:tcW w:w="1474" w:type="dxa"/>
            <w:vAlign w:val="center"/>
          </w:tcPr>
          <w:p w14:paraId="1C25F72D" w14:textId="77777777" w:rsidR="00DB2A07" w:rsidRPr="00ED72A1" w:rsidRDefault="00DB2A07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</w:p>
        </w:tc>
        <w:tc>
          <w:tcPr>
            <w:tcW w:w="3215" w:type="dxa"/>
            <w:vAlign w:val="center"/>
          </w:tcPr>
          <w:p w14:paraId="7788471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Original taxon-level rows by assemblage.</w:t>
            </w:r>
          </w:p>
        </w:tc>
      </w:tr>
      <w:tr w:rsidR="00DB2A07" w:rsidRPr="00ED72A1" w14:paraId="054FD052" w14:textId="77777777" w:rsidTr="0018569A">
        <w:trPr>
          <w:jc w:val="center"/>
        </w:trPr>
        <w:tc>
          <w:tcPr>
            <w:tcW w:w="1676" w:type="dxa"/>
            <w:vAlign w:val="center"/>
          </w:tcPr>
          <w:p w14:paraId="7BCFB53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Unique site codes</w:t>
            </w:r>
          </w:p>
        </w:tc>
        <w:tc>
          <w:tcPr>
            <w:tcW w:w="1474" w:type="dxa"/>
            <w:vAlign w:val="center"/>
          </w:tcPr>
          <w:p w14:paraId="6A68CAC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3,038</w:t>
            </w:r>
          </w:p>
        </w:tc>
        <w:tc>
          <w:tcPr>
            <w:tcW w:w="1474" w:type="dxa"/>
            <w:vAlign w:val="center"/>
          </w:tcPr>
          <w:p w14:paraId="5137805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3,037</w:t>
            </w:r>
          </w:p>
        </w:tc>
        <w:tc>
          <w:tcPr>
            <w:tcW w:w="1474" w:type="dxa"/>
            <w:vAlign w:val="center"/>
          </w:tcPr>
          <w:p w14:paraId="594474B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3,038</w:t>
            </w:r>
          </w:p>
        </w:tc>
        <w:tc>
          <w:tcPr>
            <w:tcW w:w="1474" w:type="dxa"/>
            <w:vAlign w:val="center"/>
          </w:tcPr>
          <w:p w14:paraId="323E267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3,036</w:t>
            </w:r>
          </w:p>
        </w:tc>
        <w:tc>
          <w:tcPr>
            <w:tcW w:w="3215" w:type="dxa"/>
            <w:vAlign w:val="center"/>
          </w:tcPr>
          <w:p w14:paraId="155552A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Common site-code intersection is the spatial basis for strict matching.</w:t>
            </w:r>
          </w:p>
        </w:tc>
      </w:tr>
      <w:tr w:rsidR="00DB2A07" w:rsidRPr="00ED72A1" w14:paraId="6EDD47FE" w14:textId="77777777" w:rsidTr="0018569A">
        <w:trPr>
          <w:jc w:val="center"/>
        </w:trPr>
        <w:tc>
          <w:tcPr>
            <w:tcW w:w="1676" w:type="dxa"/>
            <w:vAlign w:val="center"/>
          </w:tcPr>
          <w:p w14:paraId="61F7877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Site-year-round samples</w:t>
            </w:r>
          </w:p>
        </w:tc>
        <w:tc>
          <w:tcPr>
            <w:tcW w:w="1474" w:type="dxa"/>
            <w:vAlign w:val="center"/>
          </w:tcPr>
          <w:p w14:paraId="7015E55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27,677</w:t>
            </w:r>
          </w:p>
        </w:tc>
        <w:tc>
          <w:tcPr>
            <w:tcW w:w="1474" w:type="dxa"/>
            <w:vAlign w:val="center"/>
          </w:tcPr>
          <w:p w14:paraId="130BD1B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27,642</w:t>
            </w:r>
          </w:p>
        </w:tc>
        <w:tc>
          <w:tcPr>
            <w:tcW w:w="1474" w:type="dxa"/>
            <w:vAlign w:val="center"/>
          </w:tcPr>
          <w:p w14:paraId="4777FE5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27,443</w:t>
            </w:r>
          </w:p>
        </w:tc>
        <w:tc>
          <w:tcPr>
            <w:tcW w:w="1474" w:type="dxa"/>
            <w:vAlign w:val="center"/>
          </w:tcPr>
          <w:p w14:paraId="616437C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27,192</w:t>
            </w:r>
          </w:p>
        </w:tc>
        <w:tc>
          <w:tcPr>
            <w:tcW w:w="3215" w:type="dxa"/>
            <w:vAlign w:val="center"/>
          </w:tcPr>
          <w:p w14:paraId="5CBD8D2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A sample is defined by year + round + site code.</w:t>
            </w:r>
          </w:p>
        </w:tc>
      </w:tr>
      <w:tr w:rsidR="00DB2A07" w:rsidRPr="00ED72A1" w14:paraId="1F913B88" w14:textId="77777777" w:rsidTr="0018569A">
        <w:trPr>
          <w:jc w:val="center"/>
        </w:trPr>
        <w:tc>
          <w:tcPr>
            <w:tcW w:w="1676" w:type="dxa"/>
            <w:vAlign w:val="center"/>
          </w:tcPr>
          <w:p w14:paraId="3A1FBCE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Paired site-years by assemblage</w:t>
            </w:r>
          </w:p>
        </w:tc>
        <w:tc>
          <w:tcPr>
            <w:tcW w:w="1474" w:type="dxa"/>
            <w:vAlign w:val="center"/>
          </w:tcPr>
          <w:p w14:paraId="6E9EDDD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13,751</w:t>
            </w:r>
          </w:p>
        </w:tc>
        <w:tc>
          <w:tcPr>
            <w:tcW w:w="1474" w:type="dxa"/>
            <w:vAlign w:val="center"/>
          </w:tcPr>
          <w:p w14:paraId="5FB10E2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13,703</w:t>
            </w:r>
          </w:p>
        </w:tc>
        <w:tc>
          <w:tcPr>
            <w:tcW w:w="1474" w:type="dxa"/>
            <w:vAlign w:val="center"/>
          </w:tcPr>
          <w:p w14:paraId="26786C4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13,584</w:t>
            </w:r>
          </w:p>
        </w:tc>
        <w:tc>
          <w:tcPr>
            <w:tcW w:w="1474" w:type="dxa"/>
            <w:vAlign w:val="center"/>
          </w:tcPr>
          <w:p w14:paraId="74DF64B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13,386</w:t>
            </w:r>
          </w:p>
        </w:tc>
        <w:tc>
          <w:tcPr>
            <w:tcW w:w="3215" w:type="dxa"/>
            <w:vAlign w:val="center"/>
          </w:tcPr>
          <w:p w14:paraId="3926C64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 xml:space="preserve">A paired site-year has both </w:t>
            </w:r>
            <w:proofErr w:type="gramStart"/>
            <w:r w:rsidRPr="00ED72A1">
              <w:rPr>
                <w:rFonts w:cs="Times New Roman"/>
                <w:bCs/>
                <w:color w:val="000000"/>
                <w:sz w:val="22"/>
              </w:rPr>
              <w:t>survey rounds</w:t>
            </w:r>
            <w:proofErr w:type="gramEnd"/>
            <w:r w:rsidRPr="00ED72A1">
              <w:rPr>
                <w:rFonts w:cs="Times New Roman"/>
                <w:bCs/>
                <w:color w:val="000000"/>
                <w:sz w:val="22"/>
              </w:rPr>
              <w:t xml:space="preserve"> 1 and 2.</w:t>
            </w:r>
          </w:p>
        </w:tc>
      </w:tr>
      <w:tr w:rsidR="00DB2A07" w:rsidRPr="00ED72A1" w14:paraId="56C55710" w14:textId="77777777" w:rsidTr="0018569A">
        <w:trPr>
          <w:jc w:val="center"/>
        </w:trPr>
        <w:tc>
          <w:tcPr>
            <w:tcW w:w="1676" w:type="dxa"/>
            <w:vAlign w:val="center"/>
          </w:tcPr>
          <w:p w14:paraId="21A58A8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Taxon names in raw file</w:t>
            </w:r>
          </w:p>
        </w:tc>
        <w:tc>
          <w:tcPr>
            <w:tcW w:w="1474" w:type="dxa"/>
            <w:vAlign w:val="center"/>
          </w:tcPr>
          <w:p w14:paraId="66C11B4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788</w:t>
            </w:r>
          </w:p>
        </w:tc>
        <w:tc>
          <w:tcPr>
            <w:tcW w:w="1474" w:type="dxa"/>
            <w:vAlign w:val="center"/>
          </w:tcPr>
          <w:p w14:paraId="193FC39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748</w:t>
            </w:r>
          </w:p>
        </w:tc>
        <w:tc>
          <w:tcPr>
            <w:tcW w:w="1474" w:type="dxa"/>
            <w:vAlign w:val="center"/>
          </w:tcPr>
          <w:p w14:paraId="3E3F411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326</w:t>
            </w:r>
          </w:p>
        </w:tc>
        <w:tc>
          <w:tcPr>
            <w:tcW w:w="1474" w:type="dxa"/>
            <w:vAlign w:val="center"/>
          </w:tcPr>
          <w:p w14:paraId="1BAFC80C" w14:textId="77777777" w:rsidR="00DB2A07" w:rsidRPr="00ED72A1" w:rsidRDefault="00DB2A07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</w:p>
        </w:tc>
        <w:tc>
          <w:tcPr>
            <w:tcW w:w="3215" w:type="dxa"/>
            <w:vAlign w:val="center"/>
          </w:tcPr>
          <w:p w14:paraId="419A47E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Raw taxon-name richness before taxonomic harmonization.</w:t>
            </w:r>
          </w:p>
        </w:tc>
      </w:tr>
    </w:tbl>
    <w:p w14:paraId="6BA9DB19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Note. The intersection/core column defines the matched basis for primary cross-assemblage inference. This supplementary table retains the full audit trail, whereas main-text Table 1 was simplified to foreground the numerical evidence base and improve readability.</w:t>
      </w:r>
    </w:p>
    <w:p w14:paraId="2DC1DD9B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3FDE0057" w14:textId="77777777" w:rsidR="00DB2A07" w:rsidRPr="00ED72A1" w:rsidRDefault="00000000" w:rsidP="0022591E">
      <w:pPr>
        <w:pStyle w:val="1"/>
        <w:spacing w:before="0" w:after="12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D72A1">
        <w:rPr>
          <w:rFonts w:ascii="Times New Roman" w:hAnsi="Times New Roman" w:cs="Times New Roman"/>
          <w:bCs w:val="0"/>
          <w:color w:val="000000"/>
          <w:sz w:val="22"/>
          <w:szCs w:val="22"/>
        </w:rPr>
        <w:t>Supplementary Note 2. Primary Hellinger-CDI outputs used for main-text results and figures</w:t>
      </w:r>
    </w:p>
    <w:p w14:paraId="42BFDA27" w14:textId="77777777" w:rsidR="00DB2A07" w:rsidRPr="00ED72A1" w:rsidRDefault="00000000" w:rsidP="0022591E">
      <w:pPr>
        <w:spacing w:after="120"/>
        <w:rPr>
          <w:rFonts w:cs="Times New Roman"/>
          <w:bCs/>
          <w:sz w:val="22"/>
          <w:highlight w:val="yellow"/>
        </w:rPr>
      </w:pPr>
      <w:r w:rsidRPr="00ED72A1">
        <w:rPr>
          <w:rFonts w:cs="Times New Roman"/>
          <w:bCs/>
          <w:color w:val="000000"/>
          <w:sz w:val="22"/>
        </w:rPr>
        <w:t>The following tables record the numerical outputs supporting the main-text figure callouts. Hellinger-CDI was kept as the primary geometry because it is deterministic, compositionally appropriate for sparse community matrices, and directly applicable to all three assemblages after relative-abundance transformation.</w:t>
      </w:r>
    </w:p>
    <w:p w14:paraId="5520EE1F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 xml:space="preserve">The manuscript reports the bounded Hellinger-distance interpretation: Hellinger-CDI = </w:t>
      </w:r>
      <w:proofErr w:type="gramStart"/>
      <w:r w:rsidRPr="00ED72A1">
        <w:rPr>
          <w:rFonts w:cs="Times New Roman"/>
          <w:bCs/>
          <w:color w:val="000000"/>
          <w:sz w:val="22"/>
        </w:rPr>
        <w:t>sqrt(</w:t>
      </w:r>
      <w:proofErr w:type="gramEnd"/>
      <w:r w:rsidRPr="00ED72A1">
        <w:rPr>
          <w:rFonts w:cs="Times New Roman"/>
          <w:bCs/>
          <w:color w:val="000000"/>
          <w:sz w:val="22"/>
        </w:rPr>
        <w:t xml:space="preserve">2 - 2·BC), where BC is the Bhattacharyya coefficient, with a theoretical range from 0 to </w:t>
      </w:r>
      <w:proofErr w:type="gramStart"/>
      <w:r w:rsidRPr="00ED72A1">
        <w:rPr>
          <w:rFonts w:cs="Times New Roman"/>
          <w:bCs/>
          <w:color w:val="000000"/>
          <w:sz w:val="22"/>
        </w:rPr>
        <w:t>sqrt(</w:t>
      </w:r>
      <w:proofErr w:type="gramEnd"/>
      <w:r w:rsidRPr="00ED72A1">
        <w:rPr>
          <w:rFonts w:cs="Times New Roman"/>
          <w:bCs/>
          <w:color w:val="000000"/>
          <w:sz w:val="22"/>
        </w:rPr>
        <w:t>2) ≈ 1.414. This addition clarifies why observed CDI can be expressed as a percentage of the theoretical maximum while still requiring biological caution in cross-assemblage interpretation.</w:t>
      </w:r>
    </w:p>
    <w:p w14:paraId="0915F30A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6B5C00F0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lastRenderedPageBreak/>
        <w:t>Supplementary Table S2. Assemblage-specific Hellinger-CDI distribution statistics in the primary tri-taxon core dataset.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886"/>
        <w:gridCol w:w="886"/>
        <w:gridCol w:w="887"/>
        <w:gridCol w:w="886"/>
        <w:gridCol w:w="886"/>
        <w:gridCol w:w="886"/>
        <w:gridCol w:w="886"/>
        <w:gridCol w:w="886"/>
        <w:gridCol w:w="887"/>
      </w:tblGrid>
      <w:tr w:rsidR="00DB2A07" w:rsidRPr="00ED72A1" w14:paraId="27B89B79" w14:textId="77777777" w:rsidTr="00ED72A1">
        <w:trPr>
          <w:jc w:val="center"/>
        </w:trPr>
        <w:tc>
          <w:tcPr>
            <w:tcW w:w="886" w:type="dxa"/>
            <w:vAlign w:val="center"/>
          </w:tcPr>
          <w:p w14:paraId="439CE3A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Assemblage</w:t>
            </w:r>
          </w:p>
        </w:tc>
        <w:tc>
          <w:tcPr>
            <w:tcW w:w="886" w:type="dxa"/>
            <w:vAlign w:val="center"/>
          </w:tcPr>
          <w:p w14:paraId="74D78B0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 paired site-years</w:t>
            </w:r>
          </w:p>
        </w:tc>
        <w:tc>
          <w:tcPr>
            <w:tcW w:w="886" w:type="dxa"/>
            <w:vAlign w:val="center"/>
          </w:tcPr>
          <w:p w14:paraId="0BFCD52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Mean Hellinger-CDI</w:t>
            </w:r>
          </w:p>
        </w:tc>
        <w:tc>
          <w:tcPr>
            <w:tcW w:w="886" w:type="dxa"/>
            <w:vAlign w:val="center"/>
          </w:tcPr>
          <w:p w14:paraId="7D89CB5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 xml:space="preserve">Mean / </w:t>
            </w:r>
            <w:proofErr w:type="gramStart"/>
            <w:r w:rsidRPr="00ED72A1">
              <w:rPr>
                <w:rFonts w:cs="Times New Roman"/>
                <w:bCs/>
                <w:color w:val="000000"/>
                <w:sz w:val="22"/>
              </w:rPr>
              <w:t>sqrt(</w:t>
            </w:r>
            <w:proofErr w:type="gramEnd"/>
            <w:r w:rsidRPr="00ED72A1">
              <w:rPr>
                <w:rFonts w:cs="Times New Roman"/>
                <w:bCs/>
                <w:color w:val="000000"/>
                <w:sz w:val="22"/>
              </w:rPr>
              <w:t>2) (%)</w:t>
            </w:r>
          </w:p>
        </w:tc>
        <w:tc>
          <w:tcPr>
            <w:tcW w:w="886" w:type="dxa"/>
            <w:vAlign w:val="center"/>
          </w:tcPr>
          <w:p w14:paraId="2A4C010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SD</w:t>
            </w:r>
          </w:p>
        </w:tc>
        <w:tc>
          <w:tcPr>
            <w:tcW w:w="887" w:type="dxa"/>
            <w:vAlign w:val="center"/>
          </w:tcPr>
          <w:p w14:paraId="40D0841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Median</w:t>
            </w:r>
          </w:p>
        </w:tc>
        <w:tc>
          <w:tcPr>
            <w:tcW w:w="886" w:type="dxa"/>
            <w:vAlign w:val="center"/>
          </w:tcPr>
          <w:p w14:paraId="1A69688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Q25</w:t>
            </w:r>
          </w:p>
        </w:tc>
        <w:tc>
          <w:tcPr>
            <w:tcW w:w="886" w:type="dxa"/>
            <w:vAlign w:val="center"/>
          </w:tcPr>
          <w:p w14:paraId="58DC305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Q33 low threshold</w:t>
            </w:r>
          </w:p>
        </w:tc>
        <w:tc>
          <w:tcPr>
            <w:tcW w:w="886" w:type="dxa"/>
            <w:vAlign w:val="center"/>
          </w:tcPr>
          <w:p w14:paraId="1237CBB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Q67 high threshold</w:t>
            </w:r>
          </w:p>
        </w:tc>
        <w:tc>
          <w:tcPr>
            <w:tcW w:w="886" w:type="dxa"/>
            <w:vAlign w:val="center"/>
          </w:tcPr>
          <w:p w14:paraId="018E9E8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Q75</w:t>
            </w:r>
          </w:p>
        </w:tc>
        <w:tc>
          <w:tcPr>
            <w:tcW w:w="886" w:type="dxa"/>
            <w:vAlign w:val="center"/>
          </w:tcPr>
          <w:p w14:paraId="57641DE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Min</w:t>
            </w:r>
          </w:p>
        </w:tc>
        <w:tc>
          <w:tcPr>
            <w:tcW w:w="887" w:type="dxa"/>
            <w:vAlign w:val="center"/>
          </w:tcPr>
          <w:p w14:paraId="36DBC24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Max</w:t>
            </w:r>
          </w:p>
        </w:tc>
      </w:tr>
      <w:tr w:rsidR="00DB2A07" w:rsidRPr="00ED72A1" w14:paraId="1BE4C790" w14:textId="77777777" w:rsidTr="0018569A">
        <w:trPr>
          <w:jc w:val="center"/>
        </w:trPr>
        <w:tc>
          <w:tcPr>
            <w:tcW w:w="886" w:type="dxa"/>
            <w:vAlign w:val="center"/>
          </w:tcPr>
          <w:p w14:paraId="7031329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</w:t>
            </w:r>
          </w:p>
        </w:tc>
        <w:tc>
          <w:tcPr>
            <w:tcW w:w="886" w:type="dxa"/>
            <w:vAlign w:val="center"/>
          </w:tcPr>
          <w:p w14:paraId="2A6ECF8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13,386</w:t>
            </w:r>
          </w:p>
        </w:tc>
        <w:tc>
          <w:tcPr>
            <w:tcW w:w="886" w:type="dxa"/>
            <w:vAlign w:val="center"/>
          </w:tcPr>
          <w:p w14:paraId="781D486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0.988</w:t>
            </w:r>
          </w:p>
        </w:tc>
        <w:tc>
          <w:tcPr>
            <w:tcW w:w="886" w:type="dxa"/>
            <w:vAlign w:val="center"/>
          </w:tcPr>
          <w:p w14:paraId="1670BFF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69.9</w:t>
            </w:r>
          </w:p>
        </w:tc>
        <w:tc>
          <w:tcPr>
            <w:tcW w:w="886" w:type="dxa"/>
            <w:vAlign w:val="center"/>
          </w:tcPr>
          <w:p w14:paraId="7E81211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0.225</w:t>
            </w:r>
          </w:p>
        </w:tc>
        <w:tc>
          <w:tcPr>
            <w:tcW w:w="887" w:type="dxa"/>
            <w:vAlign w:val="center"/>
          </w:tcPr>
          <w:p w14:paraId="3ADFA90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1.008</w:t>
            </w:r>
          </w:p>
        </w:tc>
        <w:tc>
          <w:tcPr>
            <w:tcW w:w="886" w:type="dxa"/>
            <w:vAlign w:val="center"/>
          </w:tcPr>
          <w:p w14:paraId="31644F9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0.854</w:t>
            </w:r>
          </w:p>
        </w:tc>
        <w:tc>
          <w:tcPr>
            <w:tcW w:w="886" w:type="dxa"/>
            <w:vAlign w:val="center"/>
          </w:tcPr>
          <w:p w14:paraId="704DB90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0.909</w:t>
            </w:r>
          </w:p>
        </w:tc>
        <w:tc>
          <w:tcPr>
            <w:tcW w:w="886" w:type="dxa"/>
            <w:vAlign w:val="center"/>
          </w:tcPr>
          <w:p w14:paraId="70C040B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1.101</w:t>
            </w:r>
          </w:p>
        </w:tc>
        <w:tc>
          <w:tcPr>
            <w:tcW w:w="886" w:type="dxa"/>
            <w:vAlign w:val="center"/>
          </w:tcPr>
          <w:p w14:paraId="1A7ECFF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1.147</w:t>
            </w:r>
          </w:p>
        </w:tc>
        <w:tc>
          <w:tcPr>
            <w:tcW w:w="886" w:type="dxa"/>
            <w:vAlign w:val="center"/>
          </w:tcPr>
          <w:p w14:paraId="0DFC445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0.000</w:t>
            </w:r>
          </w:p>
        </w:tc>
        <w:tc>
          <w:tcPr>
            <w:tcW w:w="887" w:type="dxa"/>
            <w:vAlign w:val="center"/>
          </w:tcPr>
          <w:p w14:paraId="21D5A34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1.414</w:t>
            </w:r>
          </w:p>
        </w:tc>
      </w:tr>
      <w:tr w:rsidR="00DB2A07" w:rsidRPr="00ED72A1" w14:paraId="01360907" w14:textId="77777777" w:rsidTr="0018569A">
        <w:trPr>
          <w:jc w:val="center"/>
        </w:trPr>
        <w:tc>
          <w:tcPr>
            <w:tcW w:w="886" w:type="dxa"/>
            <w:vAlign w:val="center"/>
          </w:tcPr>
          <w:p w14:paraId="32C895B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</w:t>
            </w:r>
          </w:p>
        </w:tc>
        <w:tc>
          <w:tcPr>
            <w:tcW w:w="886" w:type="dxa"/>
            <w:vAlign w:val="center"/>
          </w:tcPr>
          <w:p w14:paraId="54243C0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13,386</w:t>
            </w:r>
          </w:p>
        </w:tc>
        <w:tc>
          <w:tcPr>
            <w:tcW w:w="886" w:type="dxa"/>
            <w:vAlign w:val="center"/>
          </w:tcPr>
          <w:p w14:paraId="0D1F113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0.903</w:t>
            </w:r>
          </w:p>
        </w:tc>
        <w:tc>
          <w:tcPr>
            <w:tcW w:w="886" w:type="dxa"/>
            <w:vAlign w:val="center"/>
          </w:tcPr>
          <w:p w14:paraId="7BE4217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63.9</w:t>
            </w:r>
          </w:p>
        </w:tc>
        <w:tc>
          <w:tcPr>
            <w:tcW w:w="886" w:type="dxa"/>
            <w:vAlign w:val="center"/>
          </w:tcPr>
          <w:p w14:paraId="79E43B0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0.287</w:t>
            </w:r>
          </w:p>
        </w:tc>
        <w:tc>
          <w:tcPr>
            <w:tcW w:w="887" w:type="dxa"/>
            <w:vAlign w:val="center"/>
          </w:tcPr>
          <w:p w14:paraId="43B8638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0.934</w:t>
            </w:r>
          </w:p>
        </w:tc>
        <w:tc>
          <w:tcPr>
            <w:tcW w:w="886" w:type="dxa"/>
            <w:vAlign w:val="center"/>
          </w:tcPr>
          <w:p w14:paraId="13CE83D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0.720</w:t>
            </w:r>
          </w:p>
        </w:tc>
        <w:tc>
          <w:tcPr>
            <w:tcW w:w="886" w:type="dxa"/>
            <w:vAlign w:val="center"/>
          </w:tcPr>
          <w:p w14:paraId="74A399A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0.799</w:t>
            </w:r>
          </w:p>
        </w:tc>
        <w:tc>
          <w:tcPr>
            <w:tcW w:w="886" w:type="dxa"/>
            <w:vAlign w:val="center"/>
          </w:tcPr>
          <w:p w14:paraId="434991E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1.056</w:t>
            </w:r>
          </w:p>
        </w:tc>
        <w:tc>
          <w:tcPr>
            <w:tcW w:w="886" w:type="dxa"/>
            <w:vAlign w:val="center"/>
          </w:tcPr>
          <w:p w14:paraId="786E16D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1.116</w:t>
            </w:r>
          </w:p>
        </w:tc>
        <w:tc>
          <w:tcPr>
            <w:tcW w:w="886" w:type="dxa"/>
            <w:vAlign w:val="center"/>
          </w:tcPr>
          <w:p w14:paraId="327009F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0.000</w:t>
            </w:r>
          </w:p>
        </w:tc>
        <w:tc>
          <w:tcPr>
            <w:tcW w:w="887" w:type="dxa"/>
            <w:vAlign w:val="center"/>
          </w:tcPr>
          <w:p w14:paraId="0F3BB90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1.414</w:t>
            </w:r>
          </w:p>
        </w:tc>
      </w:tr>
      <w:tr w:rsidR="00DB2A07" w:rsidRPr="00ED72A1" w14:paraId="4AD70392" w14:textId="77777777" w:rsidTr="0018569A">
        <w:trPr>
          <w:jc w:val="center"/>
        </w:trPr>
        <w:tc>
          <w:tcPr>
            <w:tcW w:w="886" w:type="dxa"/>
            <w:vAlign w:val="center"/>
          </w:tcPr>
          <w:p w14:paraId="11050FF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</w:t>
            </w:r>
          </w:p>
        </w:tc>
        <w:tc>
          <w:tcPr>
            <w:tcW w:w="886" w:type="dxa"/>
            <w:vAlign w:val="center"/>
          </w:tcPr>
          <w:p w14:paraId="0A420F9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13,386</w:t>
            </w:r>
          </w:p>
        </w:tc>
        <w:tc>
          <w:tcPr>
            <w:tcW w:w="886" w:type="dxa"/>
            <w:vAlign w:val="center"/>
          </w:tcPr>
          <w:p w14:paraId="235D9E5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0.636</w:t>
            </w:r>
          </w:p>
        </w:tc>
        <w:tc>
          <w:tcPr>
            <w:tcW w:w="886" w:type="dxa"/>
            <w:vAlign w:val="center"/>
          </w:tcPr>
          <w:p w14:paraId="5990367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45.0</w:t>
            </w:r>
          </w:p>
        </w:tc>
        <w:tc>
          <w:tcPr>
            <w:tcW w:w="886" w:type="dxa"/>
            <w:vAlign w:val="center"/>
          </w:tcPr>
          <w:p w14:paraId="0C85BCE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0.309</w:t>
            </w:r>
          </w:p>
        </w:tc>
        <w:tc>
          <w:tcPr>
            <w:tcW w:w="887" w:type="dxa"/>
            <w:vAlign w:val="center"/>
          </w:tcPr>
          <w:p w14:paraId="01AB862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0.612</w:t>
            </w:r>
          </w:p>
        </w:tc>
        <w:tc>
          <w:tcPr>
            <w:tcW w:w="886" w:type="dxa"/>
            <w:vAlign w:val="center"/>
          </w:tcPr>
          <w:p w14:paraId="2C45BF5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0.417</w:t>
            </w:r>
          </w:p>
        </w:tc>
        <w:tc>
          <w:tcPr>
            <w:tcW w:w="886" w:type="dxa"/>
            <w:vAlign w:val="center"/>
          </w:tcPr>
          <w:p w14:paraId="0ACB13A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0.482</w:t>
            </w:r>
          </w:p>
        </w:tc>
        <w:tc>
          <w:tcPr>
            <w:tcW w:w="886" w:type="dxa"/>
            <w:vAlign w:val="center"/>
          </w:tcPr>
          <w:p w14:paraId="2BBEA9D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0.754</w:t>
            </w:r>
          </w:p>
        </w:tc>
        <w:tc>
          <w:tcPr>
            <w:tcW w:w="886" w:type="dxa"/>
            <w:vAlign w:val="center"/>
          </w:tcPr>
          <w:p w14:paraId="4C87713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0.835</w:t>
            </w:r>
          </w:p>
        </w:tc>
        <w:tc>
          <w:tcPr>
            <w:tcW w:w="886" w:type="dxa"/>
            <w:vAlign w:val="center"/>
          </w:tcPr>
          <w:p w14:paraId="030EC3A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0.000</w:t>
            </w:r>
          </w:p>
        </w:tc>
        <w:tc>
          <w:tcPr>
            <w:tcW w:w="887" w:type="dxa"/>
            <w:vAlign w:val="center"/>
          </w:tcPr>
          <w:p w14:paraId="687425B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1.414</w:t>
            </w:r>
          </w:p>
        </w:tc>
      </w:tr>
    </w:tbl>
    <w:p w14:paraId="35B0C3B8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 xml:space="preserve">Note. The mean / </w:t>
      </w:r>
      <w:proofErr w:type="gramStart"/>
      <w:r w:rsidRPr="00ED72A1">
        <w:rPr>
          <w:rFonts w:cs="Times New Roman"/>
          <w:bCs/>
          <w:color w:val="000000"/>
          <w:sz w:val="22"/>
        </w:rPr>
        <w:t>sqrt(</w:t>
      </w:r>
      <w:proofErr w:type="gramEnd"/>
      <w:r w:rsidRPr="00ED72A1">
        <w:rPr>
          <w:rFonts w:cs="Times New Roman"/>
          <w:bCs/>
          <w:color w:val="000000"/>
          <w:sz w:val="22"/>
        </w:rPr>
        <w:t>2) column reports observed CDI as a fraction of the theoretical Hellinger-CDI maximum. The 33rd and 67th percentiles define empirical low and high CDI thresholds for response-class assignment. They are dataset-relative diagnostic thresholds, not universal biological-quality boundaries.</w:t>
      </w:r>
    </w:p>
    <w:p w14:paraId="1F6B7955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1A7F4634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>Supplementary Table S3. Cross-assemblage synchrony and split-half reliability checks.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51"/>
        <w:gridCol w:w="1251"/>
        <w:gridCol w:w="1251"/>
        <w:gridCol w:w="1252"/>
        <w:gridCol w:w="1251"/>
        <w:gridCol w:w="1251"/>
        <w:gridCol w:w="1251"/>
        <w:gridCol w:w="1946"/>
      </w:tblGrid>
      <w:tr w:rsidR="00DB2A07" w:rsidRPr="00ED72A1" w14:paraId="21C2C5E4" w14:textId="77777777" w:rsidTr="00ED72A1">
        <w:trPr>
          <w:jc w:val="center"/>
        </w:trPr>
        <w:tc>
          <w:tcPr>
            <w:tcW w:w="1251" w:type="dxa"/>
            <w:vAlign w:val="center"/>
          </w:tcPr>
          <w:p w14:paraId="1FB4E6A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Part A: comparison</w:t>
            </w:r>
          </w:p>
        </w:tc>
        <w:tc>
          <w:tcPr>
            <w:tcW w:w="1251" w:type="dxa"/>
            <w:vAlign w:val="center"/>
          </w:tcPr>
          <w:p w14:paraId="7A022DA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</w:t>
            </w:r>
          </w:p>
        </w:tc>
        <w:tc>
          <w:tcPr>
            <w:tcW w:w="1251" w:type="dxa"/>
            <w:vAlign w:val="center"/>
          </w:tcPr>
          <w:p w14:paraId="409E18F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Pearson r</w:t>
            </w:r>
          </w:p>
        </w:tc>
        <w:tc>
          <w:tcPr>
            <w:tcW w:w="1252" w:type="dxa"/>
            <w:vAlign w:val="center"/>
          </w:tcPr>
          <w:p w14:paraId="0C317A1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Spearman rho</w:t>
            </w:r>
          </w:p>
        </w:tc>
        <w:tc>
          <w:tcPr>
            <w:tcW w:w="1251" w:type="dxa"/>
            <w:vAlign w:val="center"/>
          </w:tcPr>
          <w:p w14:paraId="6126094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Count-split reliability ceiling</w:t>
            </w:r>
          </w:p>
        </w:tc>
        <w:tc>
          <w:tcPr>
            <w:tcW w:w="1251" w:type="dxa"/>
            <w:vAlign w:val="center"/>
          </w:tcPr>
          <w:p w14:paraId="0B3E5D0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Disattenuated Pearson r (count-split)</w:t>
            </w:r>
          </w:p>
        </w:tc>
        <w:tc>
          <w:tcPr>
            <w:tcW w:w="1251" w:type="dxa"/>
            <w:vAlign w:val="center"/>
          </w:tcPr>
          <w:p w14:paraId="7283C1E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Disattenuated Pearson r (species-split)</w:t>
            </w:r>
          </w:p>
        </w:tc>
        <w:tc>
          <w:tcPr>
            <w:tcW w:w="1946" w:type="dxa"/>
            <w:vAlign w:val="center"/>
          </w:tcPr>
          <w:p w14:paraId="43B2145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Interpretation</w:t>
            </w:r>
          </w:p>
        </w:tc>
      </w:tr>
      <w:tr w:rsidR="00DB2A07" w:rsidRPr="00ED72A1" w14:paraId="419EBE3F" w14:textId="77777777" w:rsidTr="0018569A">
        <w:trPr>
          <w:jc w:val="center"/>
        </w:trPr>
        <w:tc>
          <w:tcPr>
            <w:tcW w:w="1251" w:type="dxa"/>
            <w:vAlign w:val="center"/>
          </w:tcPr>
          <w:p w14:paraId="482E7A7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Diatom–Macroinvertebrate</w:t>
            </w:r>
          </w:p>
        </w:tc>
        <w:tc>
          <w:tcPr>
            <w:tcW w:w="1251" w:type="dxa"/>
            <w:vAlign w:val="center"/>
          </w:tcPr>
          <w:p w14:paraId="3A1D21B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13,386</w:t>
            </w:r>
          </w:p>
        </w:tc>
        <w:tc>
          <w:tcPr>
            <w:tcW w:w="1251" w:type="dxa"/>
            <w:vAlign w:val="center"/>
          </w:tcPr>
          <w:p w14:paraId="0AA428D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0.005</w:t>
            </w:r>
          </w:p>
        </w:tc>
        <w:tc>
          <w:tcPr>
            <w:tcW w:w="1252" w:type="dxa"/>
            <w:vAlign w:val="center"/>
          </w:tcPr>
          <w:p w14:paraId="56BF065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-0.012</w:t>
            </w:r>
          </w:p>
        </w:tc>
        <w:tc>
          <w:tcPr>
            <w:tcW w:w="1251" w:type="dxa"/>
            <w:vAlign w:val="center"/>
          </w:tcPr>
          <w:p w14:paraId="7962E95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0.993</w:t>
            </w:r>
          </w:p>
        </w:tc>
        <w:tc>
          <w:tcPr>
            <w:tcW w:w="1251" w:type="dxa"/>
            <w:vAlign w:val="center"/>
          </w:tcPr>
          <w:p w14:paraId="629F394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0.005</w:t>
            </w:r>
          </w:p>
        </w:tc>
        <w:tc>
          <w:tcPr>
            <w:tcW w:w="1251" w:type="dxa"/>
            <w:vAlign w:val="center"/>
          </w:tcPr>
          <w:p w14:paraId="11651DF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0.009</w:t>
            </w:r>
          </w:p>
        </w:tc>
        <w:tc>
          <w:tcPr>
            <w:tcW w:w="1946" w:type="dxa"/>
            <w:vAlign w:val="center"/>
          </w:tcPr>
          <w:p w14:paraId="6F3AE63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Near-zero synchrony retained after reliability correction.</w:t>
            </w:r>
          </w:p>
        </w:tc>
      </w:tr>
      <w:tr w:rsidR="00DB2A07" w:rsidRPr="00ED72A1" w14:paraId="3F758146" w14:textId="77777777" w:rsidTr="0018569A">
        <w:trPr>
          <w:jc w:val="center"/>
        </w:trPr>
        <w:tc>
          <w:tcPr>
            <w:tcW w:w="1251" w:type="dxa"/>
            <w:vAlign w:val="center"/>
          </w:tcPr>
          <w:p w14:paraId="01F550E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Diatom–Fish</w:t>
            </w:r>
          </w:p>
        </w:tc>
        <w:tc>
          <w:tcPr>
            <w:tcW w:w="1251" w:type="dxa"/>
            <w:vAlign w:val="center"/>
          </w:tcPr>
          <w:p w14:paraId="3B2C80F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13,386</w:t>
            </w:r>
          </w:p>
        </w:tc>
        <w:tc>
          <w:tcPr>
            <w:tcW w:w="1251" w:type="dxa"/>
            <w:vAlign w:val="center"/>
          </w:tcPr>
          <w:p w14:paraId="355D14B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0.041</w:t>
            </w:r>
          </w:p>
        </w:tc>
        <w:tc>
          <w:tcPr>
            <w:tcW w:w="1252" w:type="dxa"/>
            <w:vAlign w:val="center"/>
          </w:tcPr>
          <w:p w14:paraId="4EEFD6A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0.034</w:t>
            </w:r>
          </w:p>
        </w:tc>
        <w:tc>
          <w:tcPr>
            <w:tcW w:w="1251" w:type="dxa"/>
            <w:vAlign w:val="center"/>
          </w:tcPr>
          <w:p w14:paraId="620A339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0.969</w:t>
            </w:r>
          </w:p>
        </w:tc>
        <w:tc>
          <w:tcPr>
            <w:tcW w:w="1251" w:type="dxa"/>
            <w:vAlign w:val="center"/>
          </w:tcPr>
          <w:p w14:paraId="3C69CB7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0.042</w:t>
            </w:r>
          </w:p>
        </w:tc>
        <w:tc>
          <w:tcPr>
            <w:tcW w:w="1251" w:type="dxa"/>
            <w:vAlign w:val="center"/>
          </w:tcPr>
          <w:p w14:paraId="41AEB8F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0.085</w:t>
            </w:r>
          </w:p>
        </w:tc>
        <w:tc>
          <w:tcPr>
            <w:tcW w:w="1946" w:type="dxa"/>
            <w:vAlign w:val="center"/>
          </w:tcPr>
          <w:p w14:paraId="66FAD2C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Near-zero synchrony retained after reliability correction.</w:t>
            </w:r>
          </w:p>
        </w:tc>
      </w:tr>
      <w:tr w:rsidR="00DB2A07" w:rsidRPr="00ED72A1" w14:paraId="78BAF21D" w14:textId="77777777" w:rsidTr="0018569A">
        <w:trPr>
          <w:jc w:val="center"/>
        </w:trPr>
        <w:tc>
          <w:tcPr>
            <w:tcW w:w="1251" w:type="dxa"/>
            <w:vAlign w:val="center"/>
          </w:tcPr>
          <w:p w14:paraId="19ED37D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Macroinvertebrate–Fish</w:t>
            </w:r>
          </w:p>
        </w:tc>
        <w:tc>
          <w:tcPr>
            <w:tcW w:w="1251" w:type="dxa"/>
            <w:vAlign w:val="center"/>
          </w:tcPr>
          <w:p w14:paraId="3C85068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13,386</w:t>
            </w:r>
          </w:p>
        </w:tc>
        <w:tc>
          <w:tcPr>
            <w:tcW w:w="1251" w:type="dxa"/>
            <w:vAlign w:val="center"/>
          </w:tcPr>
          <w:p w14:paraId="565862C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-0.010</w:t>
            </w:r>
          </w:p>
        </w:tc>
        <w:tc>
          <w:tcPr>
            <w:tcW w:w="1252" w:type="dxa"/>
            <w:vAlign w:val="center"/>
          </w:tcPr>
          <w:p w14:paraId="17D332A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-0.014</w:t>
            </w:r>
          </w:p>
        </w:tc>
        <w:tc>
          <w:tcPr>
            <w:tcW w:w="1251" w:type="dxa"/>
            <w:vAlign w:val="center"/>
          </w:tcPr>
          <w:p w14:paraId="1C4C1FB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0.962</w:t>
            </w:r>
          </w:p>
        </w:tc>
        <w:tc>
          <w:tcPr>
            <w:tcW w:w="1251" w:type="dxa"/>
            <w:vAlign w:val="center"/>
          </w:tcPr>
          <w:p w14:paraId="2F6A906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-0.011</w:t>
            </w:r>
          </w:p>
        </w:tc>
        <w:tc>
          <w:tcPr>
            <w:tcW w:w="1251" w:type="dxa"/>
            <w:vAlign w:val="center"/>
          </w:tcPr>
          <w:p w14:paraId="26323A6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-0.022</w:t>
            </w:r>
          </w:p>
        </w:tc>
        <w:tc>
          <w:tcPr>
            <w:tcW w:w="1946" w:type="dxa"/>
            <w:vAlign w:val="center"/>
          </w:tcPr>
          <w:p w14:paraId="6FF72E5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Near-zero synchrony retained after reliability correction.</w:t>
            </w:r>
          </w:p>
        </w:tc>
      </w:tr>
    </w:tbl>
    <w:p w14:paraId="36E72943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Note. This table supports the main-text interpretation that weak cross-assemblage synchrony is not primarily a count-split sampling-noise artifact. Species-split results are treated as a conservative internal-consistency diagnostic rather than a direct sampling-error estimate.</w:t>
      </w:r>
    </w:p>
    <w:p w14:paraId="36CFF677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342EB951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>Supplementary Table S3B. Assemblage-specific split-half reliability diagnostics.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42"/>
        <w:gridCol w:w="1843"/>
        <w:gridCol w:w="4851"/>
      </w:tblGrid>
      <w:tr w:rsidR="00DB2A07" w:rsidRPr="00ED72A1" w14:paraId="26441036" w14:textId="77777777" w:rsidTr="00ED72A1">
        <w:trPr>
          <w:jc w:val="center"/>
        </w:trPr>
        <w:tc>
          <w:tcPr>
            <w:tcW w:w="2127" w:type="dxa"/>
            <w:vAlign w:val="center"/>
          </w:tcPr>
          <w:p w14:paraId="7F88163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Assemblage</w:t>
            </w:r>
          </w:p>
        </w:tc>
        <w:tc>
          <w:tcPr>
            <w:tcW w:w="1842" w:type="dxa"/>
            <w:vAlign w:val="center"/>
          </w:tcPr>
          <w:p w14:paraId="22CA1CB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Count-split Spearman-Brown reliability</w:t>
            </w:r>
          </w:p>
        </w:tc>
        <w:tc>
          <w:tcPr>
            <w:tcW w:w="1843" w:type="dxa"/>
            <w:vAlign w:val="center"/>
          </w:tcPr>
          <w:p w14:paraId="3EBD852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Species-split Spearman-Brown reliability</w:t>
            </w:r>
          </w:p>
        </w:tc>
        <w:tc>
          <w:tcPr>
            <w:tcW w:w="4851" w:type="dxa"/>
            <w:vAlign w:val="center"/>
          </w:tcPr>
          <w:p w14:paraId="07AA2B1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Interpretation</w:t>
            </w:r>
          </w:p>
        </w:tc>
      </w:tr>
      <w:tr w:rsidR="00DB2A07" w:rsidRPr="00ED72A1" w14:paraId="6E468613" w14:textId="77777777" w:rsidTr="0018569A">
        <w:trPr>
          <w:jc w:val="center"/>
        </w:trPr>
        <w:tc>
          <w:tcPr>
            <w:tcW w:w="2127" w:type="dxa"/>
            <w:vAlign w:val="center"/>
          </w:tcPr>
          <w:p w14:paraId="1C2EAEF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</w:t>
            </w:r>
          </w:p>
        </w:tc>
        <w:tc>
          <w:tcPr>
            <w:tcW w:w="1842" w:type="dxa"/>
            <w:vAlign w:val="center"/>
          </w:tcPr>
          <w:p w14:paraId="45FA771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1.000</w:t>
            </w:r>
          </w:p>
        </w:tc>
        <w:tc>
          <w:tcPr>
            <w:tcW w:w="1843" w:type="dxa"/>
            <w:vAlign w:val="center"/>
          </w:tcPr>
          <w:p w14:paraId="34B8A7B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0.559</w:t>
            </w:r>
          </w:p>
        </w:tc>
        <w:tc>
          <w:tcPr>
            <w:tcW w:w="4851" w:type="dxa"/>
            <w:vAlign w:val="center"/>
          </w:tcPr>
          <w:p w14:paraId="2B0808C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Count-split reliability saturated; species-split suggests that CDI signal is not uniformly distributed across all taxa.</w:t>
            </w:r>
          </w:p>
        </w:tc>
      </w:tr>
      <w:tr w:rsidR="00DB2A07" w:rsidRPr="00ED72A1" w14:paraId="12D14996" w14:textId="77777777" w:rsidTr="0018569A">
        <w:trPr>
          <w:jc w:val="center"/>
        </w:trPr>
        <w:tc>
          <w:tcPr>
            <w:tcW w:w="2127" w:type="dxa"/>
            <w:vAlign w:val="center"/>
          </w:tcPr>
          <w:p w14:paraId="22926C6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</w:t>
            </w:r>
          </w:p>
        </w:tc>
        <w:tc>
          <w:tcPr>
            <w:tcW w:w="1842" w:type="dxa"/>
            <w:vAlign w:val="center"/>
          </w:tcPr>
          <w:p w14:paraId="6656969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0.986</w:t>
            </w:r>
          </w:p>
        </w:tc>
        <w:tc>
          <w:tcPr>
            <w:tcW w:w="1843" w:type="dxa"/>
            <w:vAlign w:val="center"/>
          </w:tcPr>
          <w:p w14:paraId="22DC2ED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0.546</w:t>
            </w:r>
          </w:p>
        </w:tc>
        <w:tc>
          <w:tcPr>
            <w:tcW w:w="4851" w:type="dxa"/>
            <w:vAlign w:val="center"/>
          </w:tcPr>
          <w:p w14:paraId="73FED8D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Very high count-split reliability; moderate species-split internal consistency.</w:t>
            </w:r>
          </w:p>
        </w:tc>
      </w:tr>
      <w:tr w:rsidR="00DB2A07" w:rsidRPr="00ED72A1" w14:paraId="737259B5" w14:textId="77777777" w:rsidTr="0018569A">
        <w:trPr>
          <w:jc w:val="center"/>
        </w:trPr>
        <w:tc>
          <w:tcPr>
            <w:tcW w:w="2127" w:type="dxa"/>
            <w:vAlign w:val="center"/>
          </w:tcPr>
          <w:p w14:paraId="0200A9A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</w:t>
            </w:r>
          </w:p>
        </w:tc>
        <w:tc>
          <w:tcPr>
            <w:tcW w:w="1842" w:type="dxa"/>
            <w:vAlign w:val="center"/>
          </w:tcPr>
          <w:p w14:paraId="6E7A35C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0.939</w:t>
            </w:r>
          </w:p>
        </w:tc>
        <w:tc>
          <w:tcPr>
            <w:tcW w:w="1843" w:type="dxa"/>
            <w:vAlign w:val="center"/>
          </w:tcPr>
          <w:p w14:paraId="616EDF2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0.418</w:t>
            </w:r>
          </w:p>
        </w:tc>
        <w:tc>
          <w:tcPr>
            <w:tcW w:w="4851" w:type="dxa"/>
            <w:vAlign w:val="center"/>
          </w:tcPr>
          <w:p w14:paraId="7573B84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 xml:space="preserve">High count-split reliability; lower species-split </w:t>
            </w:r>
            <w:r w:rsidRPr="00ED72A1">
              <w:rPr>
                <w:rFonts w:cs="Times New Roman"/>
                <w:bCs/>
                <w:color w:val="000000"/>
                <w:sz w:val="22"/>
              </w:rPr>
              <w:lastRenderedPageBreak/>
              <w:t>value indicates stronger dependence on a subset of taxa or dominance structure.</w:t>
            </w:r>
          </w:p>
        </w:tc>
      </w:tr>
    </w:tbl>
    <w:p w14:paraId="04E858CA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lastRenderedPageBreak/>
        <w:t>Note. The count-split values are the appropriate reliability ceiling for assessing whether near-zero cross-assemblage correlations could be caused by sampling noise. The species-split values are reported as a stricter diagnostic of internal consistency.</w:t>
      </w:r>
    </w:p>
    <w:p w14:paraId="526257FD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63139B37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>Supplementary Table S4. Multi-taxon CDI response-class distribution in the primary tri-taxon core dataset.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9"/>
        <w:gridCol w:w="2059"/>
        <w:gridCol w:w="1377"/>
        <w:gridCol w:w="1417"/>
        <w:gridCol w:w="3722"/>
      </w:tblGrid>
      <w:tr w:rsidR="00DB2A07" w:rsidRPr="00ED72A1" w14:paraId="3389D219" w14:textId="77777777" w:rsidTr="00ED72A1">
        <w:trPr>
          <w:trHeight w:val="510"/>
          <w:jc w:val="center"/>
        </w:trPr>
        <w:tc>
          <w:tcPr>
            <w:tcW w:w="2059" w:type="dxa"/>
            <w:vAlign w:val="center"/>
          </w:tcPr>
          <w:p w14:paraId="02368A0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Response class</w:t>
            </w:r>
          </w:p>
        </w:tc>
        <w:tc>
          <w:tcPr>
            <w:tcW w:w="2059" w:type="dxa"/>
            <w:vAlign w:val="center"/>
          </w:tcPr>
          <w:p w14:paraId="015A5B2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Operational criterion</w:t>
            </w:r>
          </w:p>
        </w:tc>
        <w:tc>
          <w:tcPr>
            <w:tcW w:w="1377" w:type="dxa"/>
            <w:vAlign w:val="center"/>
          </w:tcPr>
          <w:p w14:paraId="0268BA6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</w:t>
            </w:r>
          </w:p>
        </w:tc>
        <w:tc>
          <w:tcPr>
            <w:tcW w:w="1417" w:type="dxa"/>
            <w:vAlign w:val="center"/>
          </w:tcPr>
          <w:p w14:paraId="06C2A40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Percent</w:t>
            </w:r>
          </w:p>
        </w:tc>
        <w:tc>
          <w:tcPr>
            <w:tcW w:w="3722" w:type="dxa"/>
            <w:vAlign w:val="center"/>
          </w:tcPr>
          <w:p w14:paraId="741A646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Ecological interpretation</w:t>
            </w:r>
          </w:p>
        </w:tc>
      </w:tr>
      <w:tr w:rsidR="00DB2A07" w:rsidRPr="00ED72A1" w14:paraId="67DED371" w14:textId="77777777" w:rsidTr="0018569A">
        <w:trPr>
          <w:jc w:val="center"/>
        </w:trPr>
        <w:tc>
          <w:tcPr>
            <w:tcW w:w="2059" w:type="dxa"/>
            <w:vAlign w:val="center"/>
          </w:tcPr>
          <w:p w14:paraId="494DE95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Mixed/intermediate response</w:t>
            </w:r>
          </w:p>
        </w:tc>
        <w:tc>
          <w:tcPr>
            <w:tcW w:w="2059" w:type="dxa"/>
            <w:vAlign w:val="center"/>
          </w:tcPr>
          <w:p w14:paraId="4CFE7E4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Intermediate combinations or no clear high-CDI dominant pattern</w:t>
            </w:r>
          </w:p>
        </w:tc>
        <w:tc>
          <w:tcPr>
            <w:tcW w:w="1377" w:type="dxa"/>
            <w:vAlign w:val="center"/>
          </w:tcPr>
          <w:p w14:paraId="5A3F86C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3,602</w:t>
            </w:r>
          </w:p>
        </w:tc>
        <w:tc>
          <w:tcPr>
            <w:tcW w:w="1417" w:type="dxa"/>
            <w:vAlign w:val="center"/>
          </w:tcPr>
          <w:p w14:paraId="5221FBA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26.9</w:t>
            </w:r>
          </w:p>
        </w:tc>
        <w:tc>
          <w:tcPr>
            <w:tcW w:w="3722" w:type="dxa"/>
            <w:vAlign w:val="center"/>
          </w:tcPr>
          <w:p w14:paraId="7CBFDF1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No single diagnostic pathway; requires driver-level interpretation</w:t>
            </w:r>
          </w:p>
        </w:tc>
      </w:tr>
      <w:tr w:rsidR="00DB2A07" w:rsidRPr="00ED72A1" w14:paraId="03EC34C0" w14:textId="77777777" w:rsidTr="0018569A">
        <w:trPr>
          <w:jc w:val="center"/>
        </w:trPr>
        <w:tc>
          <w:tcPr>
            <w:tcW w:w="2059" w:type="dxa"/>
            <w:vAlign w:val="center"/>
          </w:tcPr>
          <w:p w14:paraId="6A627E9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Diatom-sensitive early-warning</w:t>
            </w:r>
          </w:p>
        </w:tc>
        <w:tc>
          <w:tcPr>
            <w:tcW w:w="2059" w:type="dxa"/>
            <w:vAlign w:val="center"/>
          </w:tcPr>
          <w:p w14:paraId="5F9EB62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 high; macroinvertebrate and fish not high</w:t>
            </w:r>
          </w:p>
        </w:tc>
        <w:tc>
          <w:tcPr>
            <w:tcW w:w="1377" w:type="dxa"/>
            <w:vAlign w:val="center"/>
          </w:tcPr>
          <w:p w14:paraId="66BECD7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1,965</w:t>
            </w:r>
          </w:p>
        </w:tc>
        <w:tc>
          <w:tcPr>
            <w:tcW w:w="1417" w:type="dxa"/>
            <w:vAlign w:val="center"/>
          </w:tcPr>
          <w:p w14:paraId="40DCF2C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14.7</w:t>
            </w:r>
          </w:p>
        </w:tc>
        <w:tc>
          <w:tcPr>
            <w:tcW w:w="3722" w:type="dxa"/>
            <w:vAlign w:val="center"/>
          </w:tcPr>
          <w:p w14:paraId="775B482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Rapid biofilm-level response to surface water-quality or substrate-surface change</w:t>
            </w:r>
          </w:p>
        </w:tc>
      </w:tr>
      <w:tr w:rsidR="00DB2A07" w:rsidRPr="00ED72A1" w14:paraId="55FC734D" w14:textId="77777777" w:rsidTr="0018569A">
        <w:trPr>
          <w:jc w:val="center"/>
        </w:trPr>
        <w:tc>
          <w:tcPr>
            <w:tcW w:w="2059" w:type="dxa"/>
            <w:vAlign w:val="center"/>
          </w:tcPr>
          <w:p w14:paraId="17B053F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Macroinvertebrate-dominant habitat response</w:t>
            </w:r>
          </w:p>
        </w:tc>
        <w:tc>
          <w:tcPr>
            <w:tcW w:w="2059" w:type="dxa"/>
            <w:vAlign w:val="center"/>
          </w:tcPr>
          <w:p w14:paraId="6290DBC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 high; diatom and fish not high</w:t>
            </w:r>
          </w:p>
        </w:tc>
        <w:tc>
          <w:tcPr>
            <w:tcW w:w="1377" w:type="dxa"/>
            <w:vAlign w:val="center"/>
          </w:tcPr>
          <w:p w14:paraId="6A4C46F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1,947</w:t>
            </w:r>
          </w:p>
        </w:tc>
        <w:tc>
          <w:tcPr>
            <w:tcW w:w="1417" w:type="dxa"/>
            <w:vAlign w:val="center"/>
          </w:tcPr>
          <w:p w14:paraId="0B4B849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14.5</w:t>
            </w:r>
          </w:p>
        </w:tc>
        <w:tc>
          <w:tcPr>
            <w:tcW w:w="3722" w:type="dxa"/>
            <w:vAlign w:val="center"/>
          </w:tcPr>
          <w:p w14:paraId="6B2A6F4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Benthic habitat, sediment, substrate, or organic-matter pathway</w:t>
            </w:r>
          </w:p>
        </w:tc>
      </w:tr>
      <w:tr w:rsidR="00DB2A07" w:rsidRPr="00ED72A1" w14:paraId="00DE1D49" w14:textId="77777777" w:rsidTr="0018569A">
        <w:trPr>
          <w:jc w:val="center"/>
        </w:trPr>
        <w:tc>
          <w:tcPr>
            <w:tcW w:w="2059" w:type="dxa"/>
            <w:vAlign w:val="center"/>
          </w:tcPr>
          <w:p w14:paraId="50E02FE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Fish-dominant mobility/connectivity response</w:t>
            </w:r>
          </w:p>
        </w:tc>
        <w:tc>
          <w:tcPr>
            <w:tcW w:w="2059" w:type="dxa"/>
            <w:vAlign w:val="center"/>
          </w:tcPr>
          <w:p w14:paraId="439AB67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 high; diatom and macroinvertebrate not high</w:t>
            </w:r>
          </w:p>
        </w:tc>
        <w:tc>
          <w:tcPr>
            <w:tcW w:w="1377" w:type="dxa"/>
            <w:vAlign w:val="center"/>
          </w:tcPr>
          <w:p w14:paraId="2155DAC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1,926</w:t>
            </w:r>
          </w:p>
        </w:tc>
        <w:tc>
          <w:tcPr>
            <w:tcW w:w="1417" w:type="dxa"/>
            <w:vAlign w:val="center"/>
          </w:tcPr>
          <w:p w14:paraId="75B5DF7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14.4</w:t>
            </w:r>
          </w:p>
        </w:tc>
        <w:tc>
          <w:tcPr>
            <w:tcW w:w="3722" w:type="dxa"/>
            <w:vAlign w:val="center"/>
          </w:tcPr>
          <w:p w14:paraId="5D4A279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Mobility-, refuge-, or connectivity-mediated redistribution</w:t>
            </w:r>
          </w:p>
        </w:tc>
      </w:tr>
      <w:tr w:rsidR="00DB2A07" w:rsidRPr="00ED72A1" w14:paraId="138CBC2B" w14:textId="77777777" w:rsidTr="0018569A">
        <w:trPr>
          <w:jc w:val="center"/>
        </w:trPr>
        <w:tc>
          <w:tcPr>
            <w:tcW w:w="2059" w:type="dxa"/>
            <w:vAlign w:val="center"/>
          </w:tcPr>
          <w:p w14:paraId="641620E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Coupled benthic-fish response</w:t>
            </w:r>
          </w:p>
        </w:tc>
        <w:tc>
          <w:tcPr>
            <w:tcW w:w="2059" w:type="dxa"/>
            <w:vAlign w:val="center"/>
          </w:tcPr>
          <w:p w14:paraId="3FFA392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 and fish high; diatom not high</w:t>
            </w:r>
          </w:p>
        </w:tc>
        <w:tc>
          <w:tcPr>
            <w:tcW w:w="1377" w:type="dxa"/>
            <w:vAlign w:val="center"/>
          </w:tcPr>
          <w:p w14:paraId="7D6E972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1,005</w:t>
            </w:r>
          </w:p>
        </w:tc>
        <w:tc>
          <w:tcPr>
            <w:tcW w:w="1417" w:type="dxa"/>
            <w:vAlign w:val="center"/>
          </w:tcPr>
          <w:p w14:paraId="16A9B02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7.5</w:t>
            </w:r>
          </w:p>
        </w:tc>
        <w:tc>
          <w:tcPr>
            <w:tcW w:w="3722" w:type="dxa"/>
            <w:vAlign w:val="center"/>
          </w:tcPr>
          <w:p w14:paraId="06D77AC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Benthic-habitat to mobile-assemblage transmission</w:t>
            </w:r>
          </w:p>
        </w:tc>
      </w:tr>
      <w:tr w:rsidR="00DB2A07" w:rsidRPr="00ED72A1" w14:paraId="238921F1" w14:textId="77777777" w:rsidTr="0018569A">
        <w:trPr>
          <w:jc w:val="center"/>
        </w:trPr>
        <w:tc>
          <w:tcPr>
            <w:tcW w:w="2059" w:type="dxa"/>
            <w:vAlign w:val="center"/>
          </w:tcPr>
          <w:p w14:paraId="191B7BB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Diatom-fish decoupled response</w:t>
            </w:r>
          </w:p>
        </w:tc>
        <w:tc>
          <w:tcPr>
            <w:tcW w:w="2059" w:type="dxa"/>
            <w:vAlign w:val="center"/>
          </w:tcPr>
          <w:p w14:paraId="4E66CB6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 and fish high; macroinvertebrate not high</w:t>
            </w:r>
          </w:p>
        </w:tc>
        <w:tc>
          <w:tcPr>
            <w:tcW w:w="1377" w:type="dxa"/>
            <w:vAlign w:val="center"/>
          </w:tcPr>
          <w:p w14:paraId="58958AF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987</w:t>
            </w:r>
          </w:p>
        </w:tc>
        <w:tc>
          <w:tcPr>
            <w:tcW w:w="1417" w:type="dxa"/>
            <w:vAlign w:val="center"/>
          </w:tcPr>
          <w:p w14:paraId="7C0175E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7.4</w:t>
            </w:r>
          </w:p>
        </w:tc>
        <w:tc>
          <w:tcPr>
            <w:tcW w:w="3722" w:type="dxa"/>
            <w:vAlign w:val="center"/>
          </w:tcPr>
          <w:p w14:paraId="5F14298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Decoupled surface-biofilm and mobile-community response</w:t>
            </w:r>
          </w:p>
        </w:tc>
      </w:tr>
      <w:tr w:rsidR="00DB2A07" w:rsidRPr="00ED72A1" w14:paraId="66AFA5F3" w14:textId="77777777" w:rsidTr="0018569A">
        <w:trPr>
          <w:jc w:val="center"/>
        </w:trPr>
        <w:tc>
          <w:tcPr>
            <w:tcW w:w="2059" w:type="dxa"/>
            <w:vAlign w:val="center"/>
          </w:tcPr>
          <w:p w14:paraId="5EE7D97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Coupled biofilm-benthic habitat response</w:t>
            </w:r>
          </w:p>
        </w:tc>
        <w:tc>
          <w:tcPr>
            <w:tcW w:w="2059" w:type="dxa"/>
            <w:vAlign w:val="center"/>
          </w:tcPr>
          <w:p w14:paraId="7F8F806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 and macroinvertebrate high; fish not high</w:t>
            </w:r>
          </w:p>
        </w:tc>
        <w:tc>
          <w:tcPr>
            <w:tcW w:w="1377" w:type="dxa"/>
            <w:vAlign w:val="center"/>
          </w:tcPr>
          <w:p w14:paraId="3F3EC4A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966</w:t>
            </w:r>
          </w:p>
        </w:tc>
        <w:tc>
          <w:tcPr>
            <w:tcW w:w="1417" w:type="dxa"/>
            <w:vAlign w:val="center"/>
          </w:tcPr>
          <w:p w14:paraId="660AA8E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7.2</w:t>
            </w:r>
          </w:p>
        </w:tc>
        <w:tc>
          <w:tcPr>
            <w:tcW w:w="3722" w:type="dxa"/>
            <w:vAlign w:val="center"/>
          </w:tcPr>
          <w:p w14:paraId="41FECA9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Coupled biofilm-benthic pathway, possibly substrate or benthic habitat disturbance</w:t>
            </w:r>
          </w:p>
        </w:tc>
      </w:tr>
      <w:tr w:rsidR="00DB2A07" w:rsidRPr="00ED72A1" w14:paraId="2DB5A4C7" w14:textId="77777777" w:rsidTr="0018569A">
        <w:trPr>
          <w:jc w:val="center"/>
        </w:trPr>
        <w:tc>
          <w:tcPr>
            <w:tcW w:w="2059" w:type="dxa"/>
            <w:vAlign w:val="center"/>
          </w:tcPr>
          <w:p w14:paraId="7B7E4EF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Whole-ecosystem high-CDI reorganization</w:t>
            </w:r>
          </w:p>
        </w:tc>
        <w:tc>
          <w:tcPr>
            <w:tcW w:w="2059" w:type="dxa"/>
            <w:vAlign w:val="center"/>
          </w:tcPr>
          <w:p w14:paraId="37A844F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All three assemblages high</w:t>
            </w:r>
          </w:p>
        </w:tc>
        <w:tc>
          <w:tcPr>
            <w:tcW w:w="1377" w:type="dxa"/>
            <w:vAlign w:val="center"/>
          </w:tcPr>
          <w:p w14:paraId="4D6A1BC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545</w:t>
            </w:r>
          </w:p>
        </w:tc>
        <w:tc>
          <w:tcPr>
            <w:tcW w:w="1417" w:type="dxa"/>
            <w:vAlign w:val="center"/>
          </w:tcPr>
          <w:p w14:paraId="7AB8AB0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4.1</w:t>
            </w:r>
          </w:p>
        </w:tc>
        <w:tc>
          <w:tcPr>
            <w:tcW w:w="3722" w:type="dxa"/>
            <w:vAlign w:val="center"/>
          </w:tcPr>
          <w:p w14:paraId="1985666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Community displacement propagated across biofilm, benthos, and fish</w:t>
            </w:r>
          </w:p>
        </w:tc>
      </w:tr>
      <w:tr w:rsidR="00DB2A07" w:rsidRPr="00ED72A1" w14:paraId="7BBD54C6" w14:textId="77777777" w:rsidTr="0018569A">
        <w:trPr>
          <w:jc w:val="center"/>
        </w:trPr>
        <w:tc>
          <w:tcPr>
            <w:tcW w:w="2059" w:type="dxa"/>
            <w:vAlign w:val="center"/>
          </w:tcPr>
          <w:p w14:paraId="2C7F44B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Stable/low-CDI all taxa</w:t>
            </w:r>
          </w:p>
        </w:tc>
        <w:tc>
          <w:tcPr>
            <w:tcW w:w="2059" w:type="dxa"/>
            <w:vAlign w:val="center"/>
          </w:tcPr>
          <w:p w14:paraId="297B822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All three assemblages below lower-tertile CDI thresholds</w:t>
            </w:r>
          </w:p>
        </w:tc>
        <w:tc>
          <w:tcPr>
            <w:tcW w:w="1377" w:type="dxa"/>
            <w:vAlign w:val="center"/>
          </w:tcPr>
          <w:p w14:paraId="023C3CE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443</w:t>
            </w:r>
          </w:p>
        </w:tc>
        <w:tc>
          <w:tcPr>
            <w:tcW w:w="1417" w:type="dxa"/>
            <w:vAlign w:val="center"/>
          </w:tcPr>
          <w:p w14:paraId="5BF928A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3.3</w:t>
            </w:r>
          </w:p>
        </w:tc>
        <w:tc>
          <w:tcPr>
            <w:tcW w:w="3722" w:type="dxa"/>
            <w:vAlign w:val="center"/>
          </w:tcPr>
          <w:p w14:paraId="0098A9F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Resistance, weak survey-round displacement, or chronic low-change state</w:t>
            </w:r>
          </w:p>
        </w:tc>
      </w:tr>
    </w:tbl>
    <w:p w14:paraId="296A2D4A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Note. Response classes translate assemblage-specific displacement combinations into diagnostic hypotheses. They should not be treated as fixed impairment classes or causal-driver categories.</w:t>
      </w:r>
    </w:p>
    <w:p w14:paraId="05A75DCE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766545AD" w14:textId="77777777" w:rsidR="00DB2A07" w:rsidRPr="00ED72A1" w:rsidRDefault="00000000" w:rsidP="0022591E">
      <w:pPr>
        <w:pStyle w:val="1"/>
        <w:spacing w:before="0" w:after="12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D72A1">
        <w:rPr>
          <w:rFonts w:ascii="Times New Roman" w:hAnsi="Times New Roman" w:cs="Times New Roman"/>
          <w:bCs w:val="0"/>
          <w:color w:val="000000"/>
          <w:sz w:val="22"/>
          <w:szCs w:val="22"/>
        </w:rPr>
        <w:lastRenderedPageBreak/>
        <w:t>Supplementary Note 3. Temporal and basin-level summaries</w:t>
      </w:r>
    </w:p>
    <w:p w14:paraId="262EF19D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 xml:space="preserve">Annual and basin-level summaries are descriptive. They identify temporal and spatial </w:t>
      </w:r>
      <w:proofErr w:type="gramStart"/>
      <w:r w:rsidRPr="00ED72A1">
        <w:rPr>
          <w:rFonts w:cs="Times New Roman"/>
          <w:bCs/>
          <w:color w:val="000000"/>
          <w:sz w:val="22"/>
        </w:rPr>
        <w:t>structure</w:t>
      </w:r>
      <w:proofErr w:type="gramEnd"/>
      <w:r w:rsidRPr="00ED72A1">
        <w:rPr>
          <w:rFonts w:cs="Times New Roman"/>
          <w:bCs/>
          <w:color w:val="000000"/>
          <w:sz w:val="22"/>
        </w:rPr>
        <w:t xml:space="preserve"> in assemblage-specific displacement and decoupling, but they do not by themselves establish rainfall causality or environmental-driver mechanisms.</w:t>
      </w:r>
    </w:p>
    <w:p w14:paraId="53A6B5D9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71F7DFEF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 xml:space="preserve">Supplementary Table S5. </w:t>
      </w:r>
      <w:proofErr w:type="gramStart"/>
      <w:r w:rsidRPr="00ED72A1">
        <w:rPr>
          <w:rFonts w:cs="Times New Roman"/>
          <w:b/>
          <w:color w:val="000000"/>
          <w:sz w:val="22"/>
        </w:rPr>
        <w:t>Annual</w:t>
      </w:r>
      <w:proofErr w:type="gramEnd"/>
      <w:r w:rsidRPr="00ED72A1">
        <w:rPr>
          <w:rFonts w:cs="Times New Roman"/>
          <w:b/>
          <w:color w:val="000000"/>
          <w:sz w:val="22"/>
        </w:rPr>
        <w:t xml:space="preserve"> mean Hellinger-CDI and decoupling summaries.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875"/>
      </w:tblGrid>
      <w:tr w:rsidR="00DB2A07" w:rsidRPr="00ED72A1" w14:paraId="6A9196F9" w14:textId="77777777" w:rsidTr="00ED72A1">
        <w:trPr>
          <w:jc w:val="center"/>
        </w:trPr>
        <w:tc>
          <w:tcPr>
            <w:tcW w:w="1749" w:type="dxa"/>
            <w:vAlign w:val="center"/>
          </w:tcPr>
          <w:p w14:paraId="4D56D41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Year</w:t>
            </w:r>
          </w:p>
        </w:tc>
        <w:tc>
          <w:tcPr>
            <w:tcW w:w="1749" w:type="dxa"/>
            <w:vAlign w:val="center"/>
          </w:tcPr>
          <w:p w14:paraId="1713C21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</w:t>
            </w:r>
          </w:p>
        </w:tc>
        <w:tc>
          <w:tcPr>
            <w:tcW w:w="1749" w:type="dxa"/>
            <w:vAlign w:val="center"/>
          </w:tcPr>
          <w:p w14:paraId="6C099B4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 mean CDI</w:t>
            </w:r>
          </w:p>
        </w:tc>
        <w:tc>
          <w:tcPr>
            <w:tcW w:w="1749" w:type="dxa"/>
            <w:vAlign w:val="center"/>
          </w:tcPr>
          <w:p w14:paraId="479627F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proofErr w:type="gramStart"/>
            <w:r w:rsidRPr="00ED72A1">
              <w:rPr>
                <w:rFonts w:cs="Times New Roman"/>
                <w:bCs/>
                <w:color w:val="000000"/>
                <w:sz w:val="22"/>
              </w:rPr>
              <w:t>Macroinvertebrate</w:t>
            </w:r>
            <w:proofErr w:type="gramEnd"/>
            <w:r w:rsidRPr="00ED72A1">
              <w:rPr>
                <w:rFonts w:cs="Times New Roman"/>
                <w:bCs/>
                <w:color w:val="000000"/>
                <w:sz w:val="22"/>
              </w:rPr>
              <w:t xml:space="preserve"> mean CDI</w:t>
            </w:r>
          </w:p>
        </w:tc>
        <w:tc>
          <w:tcPr>
            <w:tcW w:w="1749" w:type="dxa"/>
            <w:vAlign w:val="center"/>
          </w:tcPr>
          <w:p w14:paraId="668710D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 mean CDI</w:t>
            </w:r>
          </w:p>
        </w:tc>
        <w:tc>
          <w:tcPr>
            <w:tcW w:w="1875" w:type="dxa"/>
            <w:vAlign w:val="center"/>
          </w:tcPr>
          <w:p w14:paraId="669E864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Mean standardized CDI range</w:t>
            </w:r>
          </w:p>
        </w:tc>
      </w:tr>
      <w:tr w:rsidR="00DB2A07" w:rsidRPr="00ED72A1" w14:paraId="01FA6C24" w14:textId="77777777" w:rsidTr="0018569A">
        <w:trPr>
          <w:jc w:val="center"/>
        </w:trPr>
        <w:tc>
          <w:tcPr>
            <w:tcW w:w="1749" w:type="dxa"/>
            <w:vAlign w:val="center"/>
          </w:tcPr>
          <w:p w14:paraId="6E59B81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2011</w:t>
            </w:r>
          </w:p>
        </w:tc>
        <w:tc>
          <w:tcPr>
            <w:tcW w:w="1749" w:type="dxa"/>
            <w:vAlign w:val="center"/>
          </w:tcPr>
          <w:p w14:paraId="02F8C1F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776</w:t>
            </w:r>
          </w:p>
        </w:tc>
        <w:tc>
          <w:tcPr>
            <w:tcW w:w="1749" w:type="dxa"/>
            <w:vAlign w:val="center"/>
          </w:tcPr>
          <w:p w14:paraId="1C37138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1.061</w:t>
            </w:r>
          </w:p>
        </w:tc>
        <w:tc>
          <w:tcPr>
            <w:tcW w:w="1749" w:type="dxa"/>
            <w:vAlign w:val="center"/>
          </w:tcPr>
          <w:p w14:paraId="07F5DFB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0.899</w:t>
            </w:r>
          </w:p>
        </w:tc>
        <w:tc>
          <w:tcPr>
            <w:tcW w:w="1749" w:type="dxa"/>
            <w:vAlign w:val="center"/>
          </w:tcPr>
          <w:p w14:paraId="7E954C7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0.653</w:t>
            </w:r>
          </w:p>
        </w:tc>
        <w:tc>
          <w:tcPr>
            <w:tcW w:w="1875" w:type="dxa"/>
            <w:vAlign w:val="center"/>
          </w:tcPr>
          <w:p w14:paraId="40A4811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1.810</w:t>
            </w:r>
          </w:p>
        </w:tc>
      </w:tr>
      <w:tr w:rsidR="00DB2A07" w:rsidRPr="00ED72A1" w14:paraId="2EE2955E" w14:textId="77777777" w:rsidTr="0018569A">
        <w:trPr>
          <w:jc w:val="center"/>
        </w:trPr>
        <w:tc>
          <w:tcPr>
            <w:tcW w:w="1749" w:type="dxa"/>
            <w:vAlign w:val="center"/>
          </w:tcPr>
          <w:p w14:paraId="7F13477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2012</w:t>
            </w:r>
          </w:p>
        </w:tc>
        <w:tc>
          <w:tcPr>
            <w:tcW w:w="1749" w:type="dxa"/>
            <w:vAlign w:val="center"/>
          </w:tcPr>
          <w:p w14:paraId="21A893E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924</w:t>
            </w:r>
          </w:p>
        </w:tc>
        <w:tc>
          <w:tcPr>
            <w:tcW w:w="1749" w:type="dxa"/>
            <w:vAlign w:val="center"/>
          </w:tcPr>
          <w:p w14:paraId="5B3E7A8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1.066</w:t>
            </w:r>
          </w:p>
        </w:tc>
        <w:tc>
          <w:tcPr>
            <w:tcW w:w="1749" w:type="dxa"/>
            <w:vAlign w:val="center"/>
          </w:tcPr>
          <w:p w14:paraId="06EE773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0.925</w:t>
            </w:r>
          </w:p>
        </w:tc>
        <w:tc>
          <w:tcPr>
            <w:tcW w:w="1749" w:type="dxa"/>
            <w:vAlign w:val="center"/>
          </w:tcPr>
          <w:p w14:paraId="055F3B7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0.608</w:t>
            </w:r>
          </w:p>
        </w:tc>
        <w:tc>
          <w:tcPr>
            <w:tcW w:w="1875" w:type="dxa"/>
            <w:vAlign w:val="center"/>
          </w:tcPr>
          <w:p w14:paraId="3179F61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1.681</w:t>
            </w:r>
          </w:p>
        </w:tc>
      </w:tr>
      <w:tr w:rsidR="00DB2A07" w:rsidRPr="00ED72A1" w14:paraId="3D07C8F6" w14:textId="77777777" w:rsidTr="0018569A">
        <w:trPr>
          <w:jc w:val="center"/>
        </w:trPr>
        <w:tc>
          <w:tcPr>
            <w:tcW w:w="1749" w:type="dxa"/>
            <w:vAlign w:val="center"/>
          </w:tcPr>
          <w:p w14:paraId="4588F5C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2013</w:t>
            </w:r>
          </w:p>
        </w:tc>
        <w:tc>
          <w:tcPr>
            <w:tcW w:w="1749" w:type="dxa"/>
            <w:vAlign w:val="center"/>
          </w:tcPr>
          <w:p w14:paraId="324A1A8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933</w:t>
            </w:r>
          </w:p>
        </w:tc>
        <w:tc>
          <w:tcPr>
            <w:tcW w:w="1749" w:type="dxa"/>
            <w:vAlign w:val="center"/>
          </w:tcPr>
          <w:p w14:paraId="5FE8863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1.030</w:t>
            </w:r>
          </w:p>
        </w:tc>
        <w:tc>
          <w:tcPr>
            <w:tcW w:w="1749" w:type="dxa"/>
            <w:vAlign w:val="center"/>
          </w:tcPr>
          <w:p w14:paraId="76717EE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0.872</w:t>
            </w:r>
          </w:p>
        </w:tc>
        <w:tc>
          <w:tcPr>
            <w:tcW w:w="1749" w:type="dxa"/>
            <w:vAlign w:val="center"/>
          </w:tcPr>
          <w:p w14:paraId="7B1F954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0.591</w:t>
            </w:r>
          </w:p>
        </w:tc>
        <w:tc>
          <w:tcPr>
            <w:tcW w:w="1875" w:type="dxa"/>
            <w:vAlign w:val="center"/>
          </w:tcPr>
          <w:p w14:paraId="05AF9C3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1.740</w:t>
            </w:r>
          </w:p>
        </w:tc>
      </w:tr>
      <w:tr w:rsidR="00DB2A07" w:rsidRPr="00ED72A1" w14:paraId="78B56073" w14:textId="77777777" w:rsidTr="0018569A">
        <w:trPr>
          <w:jc w:val="center"/>
        </w:trPr>
        <w:tc>
          <w:tcPr>
            <w:tcW w:w="1749" w:type="dxa"/>
            <w:vAlign w:val="center"/>
          </w:tcPr>
          <w:p w14:paraId="6EB551F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2014</w:t>
            </w:r>
          </w:p>
        </w:tc>
        <w:tc>
          <w:tcPr>
            <w:tcW w:w="1749" w:type="dxa"/>
            <w:vAlign w:val="center"/>
          </w:tcPr>
          <w:p w14:paraId="3D157CD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930</w:t>
            </w:r>
          </w:p>
        </w:tc>
        <w:tc>
          <w:tcPr>
            <w:tcW w:w="1749" w:type="dxa"/>
            <w:vAlign w:val="center"/>
          </w:tcPr>
          <w:p w14:paraId="7C6237E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0.871</w:t>
            </w:r>
          </w:p>
        </w:tc>
        <w:tc>
          <w:tcPr>
            <w:tcW w:w="1749" w:type="dxa"/>
            <w:vAlign w:val="center"/>
          </w:tcPr>
          <w:p w14:paraId="5F07EB9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0.868</w:t>
            </w:r>
          </w:p>
        </w:tc>
        <w:tc>
          <w:tcPr>
            <w:tcW w:w="1749" w:type="dxa"/>
            <w:vAlign w:val="center"/>
          </w:tcPr>
          <w:p w14:paraId="4DE6DD8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0.586</w:t>
            </w:r>
          </w:p>
        </w:tc>
        <w:tc>
          <w:tcPr>
            <w:tcW w:w="1875" w:type="dxa"/>
            <w:vAlign w:val="center"/>
          </w:tcPr>
          <w:p w14:paraId="2CCE12D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1.697</w:t>
            </w:r>
          </w:p>
        </w:tc>
      </w:tr>
      <w:tr w:rsidR="00DB2A07" w:rsidRPr="00ED72A1" w14:paraId="38575150" w14:textId="77777777" w:rsidTr="0018569A">
        <w:trPr>
          <w:jc w:val="center"/>
        </w:trPr>
        <w:tc>
          <w:tcPr>
            <w:tcW w:w="1749" w:type="dxa"/>
            <w:vAlign w:val="center"/>
          </w:tcPr>
          <w:p w14:paraId="61420B4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2015</w:t>
            </w:r>
          </w:p>
        </w:tc>
        <w:tc>
          <w:tcPr>
            <w:tcW w:w="1749" w:type="dxa"/>
            <w:vAlign w:val="center"/>
          </w:tcPr>
          <w:p w14:paraId="3DB73AB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932</w:t>
            </w:r>
          </w:p>
        </w:tc>
        <w:tc>
          <w:tcPr>
            <w:tcW w:w="1749" w:type="dxa"/>
            <w:vAlign w:val="center"/>
          </w:tcPr>
          <w:p w14:paraId="3953965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0.904</w:t>
            </w:r>
          </w:p>
        </w:tc>
        <w:tc>
          <w:tcPr>
            <w:tcW w:w="1749" w:type="dxa"/>
            <w:vAlign w:val="center"/>
          </w:tcPr>
          <w:p w14:paraId="56BB024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0.955</w:t>
            </w:r>
          </w:p>
        </w:tc>
        <w:tc>
          <w:tcPr>
            <w:tcW w:w="1749" w:type="dxa"/>
            <w:vAlign w:val="center"/>
          </w:tcPr>
          <w:p w14:paraId="5F53885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0.614</w:t>
            </w:r>
          </w:p>
        </w:tc>
        <w:tc>
          <w:tcPr>
            <w:tcW w:w="1875" w:type="dxa"/>
            <w:vAlign w:val="center"/>
          </w:tcPr>
          <w:p w14:paraId="22A1E83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1.809</w:t>
            </w:r>
          </w:p>
        </w:tc>
      </w:tr>
      <w:tr w:rsidR="00DB2A07" w:rsidRPr="00ED72A1" w14:paraId="2DF1EACC" w14:textId="77777777" w:rsidTr="0018569A">
        <w:trPr>
          <w:jc w:val="center"/>
        </w:trPr>
        <w:tc>
          <w:tcPr>
            <w:tcW w:w="1749" w:type="dxa"/>
            <w:vAlign w:val="center"/>
          </w:tcPr>
          <w:p w14:paraId="08D74C2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2016</w:t>
            </w:r>
          </w:p>
        </w:tc>
        <w:tc>
          <w:tcPr>
            <w:tcW w:w="1749" w:type="dxa"/>
            <w:vAlign w:val="center"/>
          </w:tcPr>
          <w:p w14:paraId="4690F85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1,119</w:t>
            </w:r>
          </w:p>
        </w:tc>
        <w:tc>
          <w:tcPr>
            <w:tcW w:w="1749" w:type="dxa"/>
            <w:vAlign w:val="center"/>
          </w:tcPr>
          <w:p w14:paraId="4294E83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0.945</w:t>
            </w:r>
          </w:p>
        </w:tc>
        <w:tc>
          <w:tcPr>
            <w:tcW w:w="1749" w:type="dxa"/>
            <w:vAlign w:val="center"/>
          </w:tcPr>
          <w:p w14:paraId="659D7D6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0.921</w:t>
            </w:r>
          </w:p>
        </w:tc>
        <w:tc>
          <w:tcPr>
            <w:tcW w:w="1749" w:type="dxa"/>
            <w:vAlign w:val="center"/>
          </w:tcPr>
          <w:p w14:paraId="65E139E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0.640</w:t>
            </w:r>
          </w:p>
        </w:tc>
        <w:tc>
          <w:tcPr>
            <w:tcW w:w="1875" w:type="dxa"/>
            <w:vAlign w:val="center"/>
          </w:tcPr>
          <w:p w14:paraId="0C76359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1.853</w:t>
            </w:r>
          </w:p>
        </w:tc>
      </w:tr>
      <w:tr w:rsidR="00DB2A07" w:rsidRPr="00ED72A1" w14:paraId="5954AD6F" w14:textId="77777777" w:rsidTr="0018569A">
        <w:trPr>
          <w:jc w:val="center"/>
        </w:trPr>
        <w:tc>
          <w:tcPr>
            <w:tcW w:w="1749" w:type="dxa"/>
            <w:vAlign w:val="center"/>
          </w:tcPr>
          <w:p w14:paraId="34C955E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2017</w:t>
            </w:r>
          </w:p>
        </w:tc>
        <w:tc>
          <w:tcPr>
            <w:tcW w:w="1749" w:type="dxa"/>
            <w:vAlign w:val="center"/>
          </w:tcPr>
          <w:p w14:paraId="2AF11E7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1,043</w:t>
            </w:r>
          </w:p>
        </w:tc>
        <w:tc>
          <w:tcPr>
            <w:tcW w:w="1749" w:type="dxa"/>
            <w:vAlign w:val="center"/>
          </w:tcPr>
          <w:p w14:paraId="7F2A80C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0.983</w:t>
            </w:r>
          </w:p>
        </w:tc>
        <w:tc>
          <w:tcPr>
            <w:tcW w:w="1749" w:type="dxa"/>
            <w:vAlign w:val="center"/>
          </w:tcPr>
          <w:p w14:paraId="1C9AA84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0.944</w:t>
            </w:r>
          </w:p>
        </w:tc>
        <w:tc>
          <w:tcPr>
            <w:tcW w:w="1749" w:type="dxa"/>
            <w:vAlign w:val="center"/>
          </w:tcPr>
          <w:p w14:paraId="7435C9B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0.666</w:t>
            </w:r>
          </w:p>
        </w:tc>
        <w:tc>
          <w:tcPr>
            <w:tcW w:w="1875" w:type="dxa"/>
            <w:vAlign w:val="center"/>
          </w:tcPr>
          <w:p w14:paraId="4E882DD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1.697</w:t>
            </w:r>
          </w:p>
        </w:tc>
      </w:tr>
      <w:tr w:rsidR="00DB2A07" w:rsidRPr="00ED72A1" w14:paraId="1E53E64C" w14:textId="77777777" w:rsidTr="0018569A">
        <w:trPr>
          <w:jc w:val="center"/>
        </w:trPr>
        <w:tc>
          <w:tcPr>
            <w:tcW w:w="1749" w:type="dxa"/>
            <w:vAlign w:val="center"/>
          </w:tcPr>
          <w:p w14:paraId="208E6AF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2018</w:t>
            </w:r>
          </w:p>
        </w:tc>
        <w:tc>
          <w:tcPr>
            <w:tcW w:w="1749" w:type="dxa"/>
            <w:vAlign w:val="center"/>
          </w:tcPr>
          <w:p w14:paraId="12AA784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1,105</w:t>
            </w:r>
          </w:p>
        </w:tc>
        <w:tc>
          <w:tcPr>
            <w:tcW w:w="1749" w:type="dxa"/>
            <w:vAlign w:val="center"/>
          </w:tcPr>
          <w:p w14:paraId="30D5CB0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1.008</w:t>
            </w:r>
          </w:p>
        </w:tc>
        <w:tc>
          <w:tcPr>
            <w:tcW w:w="1749" w:type="dxa"/>
            <w:vAlign w:val="center"/>
          </w:tcPr>
          <w:p w14:paraId="14DAE06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0.917</w:t>
            </w:r>
          </w:p>
        </w:tc>
        <w:tc>
          <w:tcPr>
            <w:tcW w:w="1749" w:type="dxa"/>
            <w:vAlign w:val="center"/>
          </w:tcPr>
          <w:p w14:paraId="2BE08C5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0.595</w:t>
            </w:r>
          </w:p>
        </w:tc>
        <w:tc>
          <w:tcPr>
            <w:tcW w:w="1875" w:type="dxa"/>
            <w:vAlign w:val="center"/>
          </w:tcPr>
          <w:p w14:paraId="6075B2A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1.608</w:t>
            </w:r>
          </w:p>
        </w:tc>
      </w:tr>
      <w:tr w:rsidR="00DB2A07" w:rsidRPr="00ED72A1" w14:paraId="5F8DFEBE" w14:textId="77777777" w:rsidTr="0018569A">
        <w:trPr>
          <w:jc w:val="center"/>
        </w:trPr>
        <w:tc>
          <w:tcPr>
            <w:tcW w:w="1749" w:type="dxa"/>
            <w:vAlign w:val="center"/>
          </w:tcPr>
          <w:p w14:paraId="13B6B07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2019</w:t>
            </w:r>
          </w:p>
        </w:tc>
        <w:tc>
          <w:tcPr>
            <w:tcW w:w="1749" w:type="dxa"/>
            <w:vAlign w:val="center"/>
          </w:tcPr>
          <w:p w14:paraId="629CFB0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1,131</w:t>
            </w:r>
          </w:p>
        </w:tc>
        <w:tc>
          <w:tcPr>
            <w:tcW w:w="1749" w:type="dxa"/>
            <w:vAlign w:val="center"/>
          </w:tcPr>
          <w:p w14:paraId="3B56488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0.935</w:t>
            </w:r>
          </w:p>
        </w:tc>
        <w:tc>
          <w:tcPr>
            <w:tcW w:w="1749" w:type="dxa"/>
            <w:vAlign w:val="center"/>
          </w:tcPr>
          <w:p w14:paraId="782943D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0.911</w:t>
            </w:r>
          </w:p>
        </w:tc>
        <w:tc>
          <w:tcPr>
            <w:tcW w:w="1749" w:type="dxa"/>
            <w:vAlign w:val="center"/>
          </w:tcPr>
          <w:p w14:paraId="621CCFB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0.627</w:t>
            </w:r>
          </w:p>
        </w:tc>
        <w:tc>
          <w:tcPr>
            <w:tcW w:w="1875" w:type="dxa"/>
            <w:vAlign w:val="center"/>
          </w:tcPr>
          <w:p w14:paraId="065AAC3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1.632</w:t>
            </w:r>
          </w:p>
        </w:tc>
      </w:tr>
      <w:tr w:rsidR="00DB2A07" w:rsidRPr="00ED72A1" w14:paraId="57D8551A" w14:textId="77777777" w:rsidTr="0018569A">
        <w:trPr>
          <w:jc w:val="center"/>
        </w:trPr>
        <w:tc>
          <w:tcPr>
            <w:tcW w:w="1749" w:type="dxa"/>
            <w:vAlign w:val="center"/>
          </w:tcPr>
          <w:p w14:paraId="6572986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2020</w:t>
            </w:r>
          </w:p>
        </w:tc>
        <w:tc>
          <w:tcPr>
            <w:tcW w:w="1749" w:type="dxa"/>
            <w:vAlign w:val="center"/>
          </w:tcPr>
          <w:p w14:paraId="784DE8B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1,133</w:t>
            </w:r>
          </w:p>
        </w:tc>
        <w:tc>
          <w:tcPr>
            <w:tcW w:w="1749" w:type="dxa"/>
            <w:vAlign w:val="center"/>
          </w:tcPr>
          <w:p w14:paraId="5FE6400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1.016</w:t>
            </w:r>
          </w:p>
        </w:tc>
        <w:tc>
          <w:tcPr>
            <w:tcW w:w="1749" w:type="dxa"/>
            <w:vAlign w:val="center"/>
          </w:tcPr>
          <w:p w14:paraId="1F33FEC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0.887</w:t>
            </w:r>
          </w:p>
        </w:tc>
        <w:tc>
          <w:tcPr>
            <w:tcW w:w="1749" w:type="dxa"/>
            <w:vAlign w:val="center"/>
          </w:tcPr>
          <w:p w14:paraId="28C1D9C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0.686</w:t>
            </w:r>
          </w:p>
        </w:tc>
        <w:tc>
          <w:tcPr>
            <w:tcW w:w="1875" w:type="dxa"/>
            <w:vAlign w:val="center"/>
          </w:tcPr>
          <w:p w14:paraId="2FCC9E0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1.629</w:t>
            </w:r>
          </w:p>
        </w:tc>
      </w:tr>
      <w:tr w:rsidR="00DB2A07" w:rsidRPr="00ED72A1" w14:paraId="498128C5" w14:textId="77777777" w:rsidTr="0018569A">
        <w:trPr>
          <w:jc w:val="center"/>
        </w:trPr>
        <w:tc>
          <w:tcPr>
            <w:tcW w:w="1749" w:type="dxa"/>
            <w:vAlign w:val="center"/>
          </w:tcPr>
          <w:p w14:paraId="2145B45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2021</w:t>
            </w:r>
          </w:p>
        </w:tc>
        <w:tc>
          <w:tcPr>
            <w:tcW w:w="1749" w:type="dxa"/>
            <w:vAlign w:val="center"/>
          </w:tcPr>
          <w:p w14:paraId="0A253F8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1,132</w:t>
            </w:r>
          </w:p>
        </w:tc>
        <w:tc>
          <w:tcPr>
            <w:tcW w:w="1749" w:type="dxa"/>
            <w:vAlign w:val="center"/>
          </w:tcPr>
          <w:p w14:paraId="520325E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1.011</w:t>
            </w:r>
          </w:p>
        </w:tc>
        <w:tc>
          <w:tcPr>
            <w:tcW w:w="1749" w:type="dxa"/>
            <w:vAlign w:val="center"/>
          </w:tcPr>
          <w:p w14:paraId="5DD15B5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0.842</w:t>
            </w:r>
          </w:p>
        </w:tc>
        <w:tc>
          <w:tcPr>
            <w:tcW w:w="1749" w:type="dxa"/>
            <w:vAlign w:val="center"/>
          </w:tcPr>
          <w:p w14:paraId="43AB003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0.668</w:t>
            </w:r>
          </w:p>
        </w:tc>
        <w:tc>
          <w:tcPr>
            <w:tcW w:w="1875" w:type="dxa"/>
            <w:vAlign w:val="center"/>
          </w:tcPr>
          <w:p w14:paraId="1232FF8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1.676</w:t>
            </w:r>
          </w:p>
        </w:tc>
      </w:tr>
      <w:tr w:rsidR="00DB2A07" w:rsidRPr="00ED72A1" w14:paraId="0C028D10" w14:textId="77777777" w:rsidTr="0018569A">
        <w:trPr>
          <w:jc w:val="center"/>
        </w:trPr>
        <w:tc>
          <w:tcPr>
            <w:tcW w:w="1749" w:type="dxa"/>
            <w:vAlign w:val="center"/>
          </w:tcPr>
          <w:p w14:paraId="7B05E1C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2022</w:t>
            </w:r>
          </w:p>
        </w:tc>
        <w:tc>
          <w:tcPr>
            <w:tcW w:w="1749" w:type="dxa"/>
            <w:vAlign w:val="center"/>
          </w:tcPr>
          <w:p w14:paraId="2BB3BC2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1,105</w:t>
            </w:r>
          </w:p>
        </w:tc>
        <w:tc>
          <w:tcPr>
            <w:tcW w:w="1749" w:type="dxa"/>
            <w:vAlign w:val="center"/>
          </w:tcPr>
          <w:p w14:paraId="2945FFC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0.995</w:t>
            </w:r>
          </w:p>
        </w:tc>
        <w:tc>
          <w:tcPr>
            <w:tcW w:w="1749" w:type="dxa"/>
            <w:vAlign w:val="center"/>
          </w:tcPr>
          <w:p w14:paraId="7D73614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0.910</w:t>
            </w:r>
          </w:p>
        </w:tc>
        <w:tc>
          <w:tcPr>
            <w:tcW w:w="1749" w:type="dxa"/>
            <w:vAlign w:val="center"/>
          </w:tcPr>
          <w:p w14:paraId="4E6863D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0.636</w:t>
            </w:r>
          </w:p>
        </w:tc>
        <w:tc>
          <w:tcPr>
            <w:tcW w:w="1875" w:type="dxa"/>
            <w:vAlign w:val="center"/>
          </w:tcPr>
          <w:p w14:paraId="15CA469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1.554</w:t>
            </w:r>
          </w:p>
        </w:tc>
      </w:tr>
      <w:tr w:rsidR="00DB2A07" w:rsidRPr="00ED72A1" w14:paraId="7F19150C" w14:textId="77777777" w:rsidTr="0018569A">
        <w:trPr>
          <w:jc w:val="center"/>
        </w:trPr>
        <w:tc>
          <w:tcPr>
            <w:tcW w:w="1749" w:type="dxa"/>
            <w:vAlign w:val="center"/>
          </w:tcPr>
          <w:p w14:paraId="58EA448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2023</w:t>
            </w:r>
          </w:p>
        </w:tc>
        <w:tc>
          <w:tcPr>
            <w:tcW w:w="1749" w:type="dxa"/>
            <w:vAlign w:val="center"/>
          </w:tcPr>
          <w:p w14:paraId="2E52CA5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1,123</w:t>
            </w:r>
          </w:p>
        </w:tc>
        <w:tc>
          <w:tcPr>
            <w:tcW w:w="1749" w:type="dxa"/>
            <w:vAlign w:val="center"/>
          </w:tcPr>
          <w:p w14:paraId="3929AF1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1.020</w:t>
            </w:r>
          </w:p>
        </w:tc>
        <w:tc>
          <w:tcPr>
            <w:tcW w:w="1749" w:type="dxa"/>
            <w:vAlign w:val="center"/>
          </w:tcPr>
          <w:p w14:paraId="0F2F01B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0.894</w:t>
            </w:r>
          </w:p>
        </w:tc>
        <w:tc>
          <w:tcPr>
            <w:tcW w:w="1749" w:type="dxa"/>
            <w:vAlign w:val="center"/>
          </w:tcPr>
          <w:p w14:paraId="1962773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0.684</w:t>
            </w:r>
          </w:p>
        </w:tc>
        <w:tc>
          <w:tcPr>
            <w:tcW w:w="1875" w:type="dxa"/>
            <w:vAlign w:val="center"/>
          </w:tcPr>
          <w:p w14:paraId="718464B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1.627</w:t>
            </w:r>
          </w:p>
        </w:tc>
      </w:tr>
    </w:tbl>
    <w:p w14:paraId="004979B4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Note. Mean standardized CDI range is a site-year-level decoupling summary averaged by year. Larger values indicate stronger divergence among assemblage-specific standardized CDI values.</w:t>
      </w:r>
    </w:p>
    <w:p w14:paraId="52F2001F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1C60C519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 xml:space="preserve">Supplementary Table S6. Basin-level </w:t>
      </w:r>
      <w:proofErr w:type="gramStart"/>
      <w:r w:rsidRPr="00ED72A1">
        <w:rPr>
          <w:rFonts w:cs="Times New Roman"/>
          <w:b/>
          <w:color w:val="000000"/>
          <w:sz w:val="22"/>
        </w:rPr>
        <w:t>mean</w:t>
      </w:r>
      <w:proofErr w:type="gramEnd"/>
      <w:r w:rsidRPr="00ED72A1">
        <w:rPr>
          <w:rFonts w:cs="Times New Roman"/>
          <w:b/>
          <w:color w:val="000000"/>
          <w:sz w:val="22"/>
        </w:rPr>
        <w:t xml:space="preserve"> Hellinger-CDI and decoupling summaries.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5"/>
        <w:gridCol w:w="1726"/>
        <w:gridCol w:w="1725"/>
        <w:gridCol w:w="1726"/>
        <w:gridCol w:w="1725"/>
        <w:gridCol w:w="2035"/>
      </w:tblGrid>
      <w:tr w:rsidR="00DB2A07" w:rsidRPr="00ED72A1" w14:paraId="753ABC75" w14:textId="77777777" w:rsidTr="00ED72A1">
        <w:trPr>
          <w:jc w:val="center"/>
        </w:trPr>
        <w:tc>
          <w:tcPr>
            <w:tcW w:w="1725" w:type="dxa"/>
            <w:vAlign w:val="center"/>
          </w:tcPr>
          <w:p w14:paraId="4776188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Basin</w:t>
            </w:r>
          </w:p>
        </w:tc>
        <w:tc>
          <w:tcPr>
            <w:tcW w:w="1726" w:type="dxa"/>
            <w:vAlign w:val="center"/>
          </w:tcPr>
          <w:p w14:paraId="1898326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</w:t>
            </w:r>
          </w:p>
        </w:tc>
        <w:tc>
          <w:tcPr>
            <w:tcW w:w="1725" w:type="dxa"/>
            <w:vAlign w:val="center"/>
          </w:tcPr>
          <w:p w14:paraId="21D2BC8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 mean CDI</w:t>
            </w:r>
          </w:p>
        </w:tc>
        <w:tc>
          <w:tcPr>
            <w:tcW w:w="1726" w:type="dxa"/>
            <w:vAlign w:val="center"/>
          </w:tcPr>
          <w:p w14:paraId="2C97BE2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proofErr w:type="gramStart"/>
            <w:r w:rsidRPr="00ED72A1">
              <w:rPr>
                <w:rFonts w:cs="Times New Roman"/>
                <w:bCs/>
                <w:color w:val="000000"/>
                <w:sz w:val="22"/>
              </w:rPr>
              <w:t>Macroinvertebrate</w:t>
            </w:r>
            <w:proofErr w:type="gramEnd"/>
            <w:r w:rsidRPr="00ED72A1">
              <w:rPr>
                <w:rFonts w:cs="Times New Roman"/>
                <w:bCs/>
                <w:color w:val="000000"/>
                <w:sz w:val="22"/>
              </w:rPr>
              <w:t xml:space="preserve"> mean CDI</w:t>
            </w:r>
          </w:p>
        </w:tc>
        <w:tc>
          <w:tcPr>
            <w:tcW w:w="1725" w:type="dxa"/>
            <w:vAlign w:val="center"/>
          </w:tcPr>
          <w:p w14:paraId="54674EC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 mean CDI</w:t>
            </w:r>
          </w:p>
        </w:tc>
        <w:tc>
          <w:tcPr>
            <w:tcW w:w="2035" w:type="dxa"/>
            <w:vAlign w:val="center"/>
          </w:tcPr>
          <w:p w14:paraId="1A45723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Mean standardized CDI range</w:t>
            </w:r>
          </w:p>
        </w:tc>
      </w:tr>
      <w:tr w:rsidR="00DB2A07" w:rsidRPr="00ED72A1" w14:paraId="10986A2E" w14:textId="77777777" w:rsidTr="0018569A">
        <w:trPr>
          <w:jc w:val="center"/>
        </w:trPr>
        <w:tc>
          <w:tcPr>
            <w:tcW w:w="1725" w:type="dxa"/>
            <w:vAlign w:val="center"/>
          </w:tcPr>
          <w:p w14:paraId="695CBB9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Geum River basin</w:t>
            </w:r>
          </w:p>
        </w:tc>
        <w:tc>
          <w:tcPr>
            <w:tcW w:w="1726" w:type="dxa"/>
            <w:vAlign w:val="center"/>
          </w:tcPr>
          <w:p w14:paraId="259600C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2,573</w:t>
            </w:r>
          </w:p>
        </w:tc>
        <w:tc>
          <w:tcPr>
            <w:tcW w:w="1725" w:type="dxa"/>
            <w:vAlign w:val="center"/>
          </w:tcPr>
          <w:p w14:paraId="06A79E9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1.031</w:t>
            </w:r>
          </w:p>
        </w:tc>
        <w:tc>
          <w:tcPr>
            <w:tcW w:w="1726" w:type="dxa"/>
            <w:vAlign w:val="center"/>
          </w:tcPr>
          <w:p w14:paraId="677CD73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0.749</w:t>
            </w:r>
          </w:p>
        </w:tc>
        <w:tc>
          <w:tcPr>
            <w:tcW w:w="1725" w:type="dxa"/>
            <w:vAlign w:val="center"/>
          </w:tcPr>
          <w:p w14:paraId="3B58F4D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0.724</w:t>
            </w:r>
          </w:p>
        </w:tc>
        <w:tc>
          <w:tcPr>
            <w:tcW w:w="2035" w:type="dxa"/>
            <w:vAlign w:val="center"/>
          </w:tcPr>
          <w:p w14:paraId="5EB63EE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1.837</w:t>
            </w:r>
          </w:p>
        </w:tc>
      </w:tr>
      <w:tr w:rsidR="00DB2A07" w:rsidRPr="00ED72A1" w14:paraId="3E669153" w14:textId="77777777" w:rsidTr="0018569A">
        <w:trPr>
          <w:jc w:val="center"/>
        </w:trPr>
        <w:tc>
          <w:tcPr>
            <w:tcW w:w="1725" w:type="dxa"/>
            <w:vAlign w:val="center"/>
          </w:tcPr>
          <w:p w14:paraId="422E320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Han River basin</w:t>
            </w:r>
          </w:p>
        </w:tc>
        <w:tc>
          <w:tcPr>
            <w:tcW w:w="1726" w:type="dxa"/>
            <w:vAlign w:val="center"/>
          </w:tcPr>
          <w:p w14:paraId="01418BF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4,408</w:t>
            </w:r>
          </w:p>
        </w:tc>
        <w:tc>
          <w:tcPr>
            <w:tcW w:w="1725" w:type="dxa"/>
            <w:vAlign w:val="center"/>
          </w:tcPr>
          <w:p w14:paraId="4AA415C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0.997</w:t>
            </w:r>
          </w:p>
        </w:tc>
        <w:tc>
          <w:tcPr>
            <w:tcW w:w="1726" w:type="dxa"/>
            <w:vAlign w:val="center"/>
          </w:tcPr>
          <w:p w14:paraId="13E4DF0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0.955</w:t>
            </w:r>
          </w:p>
        </w:tc>
        <w:tc>
          <w:tcPr>
            <w:tcW w:w="1725" w:type="dxa"/>
            <w:vAlign w:val="center"/>
          </w:tcPr>
          <w:p w14:paraId="4E4C92B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0.604</w:t>
            </w:r>
          </w:p>
        </w:tc>
        <w:tc>
          <w:tcPr>
            <w:tcW w:w="2035" w:type="dxa"/>
            <w:vAlign w:val="center"/>
          </w:tcPr>
          <w:p w14:paraId="6AA45BE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1.598</w:t>
            </w:r>
          </w:p>
        </w:tc>
      </w:tr>
      <w:tr w:rsidR="00DB2A07" w:rsidRPr="00ED72A1" w14:paraId="73D30636" w14:textId="77777777" w:rsidTr="0018569A">
        <w:trPr>
          <w:jc w:val="center"/>
        </w:trPr>
        <w:tc>
          <w:tcPr>
            <w:tcW w:w="1725" w:type="dxa"/>
            <w:vAlign w:val="center"/>
          </w:tcPr>
          <w:p w14:paraId="7FE1DFE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Nakdong River basin</w:t>
            </w:r>
          </w:p>
        </w:tc>
        <w:tc>
          <w:tcPr>
            <w:tcW w:w="1726" w:type="dxa"/>
            <w:vAlign w:val="center"/>
          </w:tcPr>
          <w:p w14:paraId="1757E7C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3,614</w:t>
            </w:r>
          </w:p>
        </w:tc>
        <w:tc>
          <w:tcPr>
            <w:tcW w:w="1725" w:type="dxa"/>
            <w:vAlign w:val="center"/>
          </w:tcPr>
          <w:p w14:paraId="22639A2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0.964</w:t>
            </w:r>
          </w:p>
        </w:tc>
        <w:tc>
          <w:tcPr>
            <w:tcW w:w="1726" w:type="dxa"/>
            <w:vAlign w:val="center"/>
          </w:tcPr>
          <w:p w14:paraId="621CBFD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0.971</w:t>
            </w:r>
          </w:p>
        </w:tc>
        <w:tc>
          <w:tcPr>
            <w:tcW w:w="1725" w:type="dxa"/>
            <w:vAlign w:val="center"/>
          </w:tcPr>
          <w:p w14:paraId="03F8DC3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0.630</w:t>
            </w:r>
          </w:p>
        </w:tc>
        <w:tc>
          <w:tcPr>
            <w:tcW w:w="2035" w:type="dxa"/>
            <w:vAlign w:val="center"/>
          </w:tcPr>
          <w:p w14:paraId="7D24475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1.585</w:t>
            </w:r>
          </w:p>
        </w:tc>
      </w:tr>
      <w:tr w:rsidR="00DB2A07" w:rsidRPr="00ED72A1" w14:paraId="030197EA" w14:textId="77777777" w:rsidTr="0018569A">
        <w:trPr>
          <w:jc w:val="center"/>
        </w:trPr>
        <w:tc>
          <w:tcPr>
            <w:tcW w:w="1725" w:type="dxa"/>
            <w:vAlign w:val="center"/>
          </w:tcPr>
          <w:p w14:paraId="01A24BD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Yeongsan River basin</w:t>
            </w:r>
          </w:p>
        </w:tc>
        <w:tc>
          <w:tcPr>
            <w:tcW w:w="1726" w:type="dxa"/>
            <w:vAlign w:val="center"/>
          </w:tcPr>
          <w:p w14:paraId="4A4350B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2,791</w:t>
            </w:r>
          </w:p>
        </w:tc>
        <w:tc>
          <w:tcPr>
            <w:tcW w:w="1725" w:type="dxa"/>
            <w:vAlign w:val="center"/>
          </w:tcPr>
          <w:p w14:paraId="137B5FE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0.962</w:t>
            </w:r>
          </w:p>
        </w:tc>
        <w:tc>
          <w:tcPr>
            <w:tcW w:w="1726" w:type="dxa"/>
            <w:vAlign w:val="center"/>
          </w:tcPr>
          <w:p w14:paraId="7F1A2E4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0.875</w:t>
            </w:r>
          </w:p>
        </w:tc>
        <w:tc>
          <w:tcPr>
            <w:tcW w:w="1725" w:type="dxa"/>
            <w:vAlign w:val="center"/>
          </w:tcPr>
          <w:p w14:paraId="2A6E371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0.615</w:t>
            </w:r>
          </w:p>
        </w:tc>
        <w:tc>
          <w:tcPr>
            <w:tcW w:w="2035" w:type="dxa"/>
            <w:vAlign w:val="center"/>
          </w:tcPr>
          <w:p w14:paraId="6143D9A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1.827</w:t>
            </w:r>
          </w:p>
        </w:tc>
      </w:tr>
    </w:tbl>
    <w:p w14:paraId="6F2DA0FB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Note. Basin-level contrasts are diagnostic and should be linked to rainfall windows, water quality, land use, soil permeability, habitat structure, and hydrological connectivity before causal interpretation.</w:t>
      </w:r>
    </w:p>
    <w:p w14:paraId="5FAB6F9B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5669AE20" w14:textId="77777777" w:rsidR="00DB2A07" w:rsidRPr="00ED72A1" w:rsidRDefault="00000000" w:rsidP="0022591E">
      <w:pPr>
        <w:pStyle w:val="1"/>
        <w:spacing w:before="0" w:after="12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D72A1">
        <w:rPr>
          <w:rFonts w:ascii="Times New Roman" w:hAnsi="Times New Roman" w:cs="Times New Roman"/>
          <w:bCs w:val="0"/>
          <w:color w:val="000000"/>
          <w:sz w:val="22"/>
          <w:szCs w:val="22"/>
        </w:rPr>
        <w:t>Supplementary Note 4. Reliability, structural-null, and distance-metric robustness checks</w:t>
      </w:r>
    </w:p>
    <w:p w14:paraId="2F49D53F" w14:textId="77777777" w:rsidR="00DB2A07" w:rsidRPr="00ED72A1" w:rsidRDefault="00000000" w:rsidP="0022591E">
      <w:pPr>
        <w:spacing w:after="120"/>
        <w:rPr>
          <w:rFonts w:cs="Times New Roman"/>
          <w:bCs/>
          <w:sz w:val="22"/>
          <w:highlight w:val="yellow"/>
        </w:rPr>
      </w:pPr>
      <w:r w:rsidRPr="00ED72A1">
        <w:rPr>
          <w:rFonts w:cs="Times New Roman"/>
          <w:bCs/>
          <w:color w:val="000000"/>
          <w:sz w:val="22"/>
        </w:rPr>
        <w:t>Robustness is now organized into three complementary checks: (i) split-half reliability and disattenuation of cross-assemblage correlations, (ii) a structural random-pairing null model that breaks temporal pairing while preserving empirical community vectors, and (iii) distance-metric sensitivity analysis. Together, these checks support the central inference of weak synchrony and decoupled biological memory while preserving the caution that response-class membership remains metric-dependent.</w:t>
      </w:r>
    </w:p>
    <w:p w14:paraId="3E86A0A3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lastRenderedPageBreak/>
        <w:t>The structural null model tests whether the observed ordering of Hellinger-CDI magnitude could be explained solely by differences in richness, dominance, sparsity, or the structural ceiling of Hellinger distance. It does not replace driver-linked rainfall analysis; it only establishes a compositional baseline under disrupted temporal pairing.</w:t>
      </w:r>
    </w:p>
    <w:p w14:paraId="192CCD38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4DCD6362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>Supplementary Table S7A. Structural random-pairing null model and persistence-gradient summary.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964"/>
        <w:gridCol w:w="964"/>
        <w:gridCol w:w="964"/>
        <w:gridCol w:w="964"/>
        <w:gridCol w:w="964"/>
        <w:gridCol w:w="964"/>
        <w:gridCol w:w="964"/>
        <w:gridCol w:w="2804"/>
      </w:tblGrid>
      <w:tr w:rsidR="00DB2A07" w:rsidRPr="00ED72A1" w14:paraId="7030D046" w14:textId="77777777" w:rsidTr="00ED72A1">
        <w:trPr>
          <w:jc w:val="center"/>
        </w:trPr>
        <w:tc>
          <w:tcPr>
            <w:tcW w:w="1144" w:type="dxa"/>
            <w:vAlign w:val="center"/>
          </w:tcPr>
          <w:p w14:paraId="5B6A7C1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Assemblage</w:t>
            </w:r>
          </w:p>
        </w:tc>
        <w:tc>
          <w:tcPr>
            <w:tcW w:w="964" w:type="dxa"/>
            <w:vAlign w:val="center"/>
          </w:tcPr>
          <w:p w14:paraId="1F27883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Observed CDI</w:t>
            </w:r>
          </w:p>
        </w:tc>
        <w:tc>
          <w:tcPr>
            <w:tcW w:w="964" w:type="dxa"/>
            <w:vAlign w:val="center"/>
          </w:tcPr>
          <w:p w14:paraId="4AA1D4F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Null CDI</w:t>
            </w:r>
          </w:p>
        </w:tc>
        <w:tc>
          <w:tcPr>
            <w:tcW w:w="964" w:type="dxa"/>
            <w:vAlign w:val="center"/>
          </w:tcPr>
          <w:p w14:paraId="3D72DA0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obs/null</w:t>
            </w:r>
          </w:p>
        </w:tc>
        <w:tc>
          <w:tcPr>
            <w:tcW w:w="964" w:type="dxa"/>
            <w:vAlign w:val="center"/>
          </w:tcPr>
          <w:p w14:paraId="7A23D68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Persistence index (1 - obs/null)</w:t>
            </w:r>
          </w:p>
        </w:tc>
        <w:tc>
          <w:tcPr>
            <w:tcW w:w="964" w:type="dxa"/>
            <w:vAlign w:val="center"/>
          </w:tcPr>
          <w:p w14:paraId="4BEAB10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Null - observed gap</w:t>
            </w:r>
          </w:p>
        </w:tc>
        <w:tc>
          <w:tcPr>
            <w:tcW w:w="964" w:type="dxa"/>
            <w:vAlign w:val="center"/>
          </w:tcPr>
          <w:p w14:paraId="0596DA5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Mean richness per sample</w:t>
            </w:r>
          </w:p>
        </w:tc>
        <w:tc>
          <w:tcPr>
            <w:tcW w:w="964" w:type="dxa"/>
            <w:vAlign w:val="center"/>
          </w:tcPr>
          <w:p w14:paraId="0742682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Mean dominance</w:t>
            </w:r>
          </w:p>
        </w:tc>
        <w:tc>
          <w:tcPr>
            <w:tcW w:w="2804" w:type="dxa"/>
            <w:vAlign w:val="center"/>
          </w:tcPr>
          <w:p w14:paraId="19A1D33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Interpretation</w:t>
            </w:r>
          </w:p>
        </w:tc>
      </w:tr>
      <w:tr w:rsidR="00DB2A07" w:rsidRPr="00ED72A1" w14:paraId="59D81D66" w14:textId="77777777" w:rsidTr="0018569A">
        <w:trPr>
          <w:jc w:val="center"/>
        </w:trPr>
        <w:tc>
          <w:tcPr>
            <w:tcW w:w="1144" w:type="dxa"/>
            <w:vAlign w:val="center"/>
          </w:tcPr>
          <w:p w14:paraId="1BB311D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</w:t>
            </w:r>
          </w:p>
        </w:tc>
        <w:tc>
          <w:tcPr>
            <w:tcW w:w="964" w:type="dxa"/>
            <w:vAlign w:val="center"/>
          </w:tcPr>
          <w:p w14:paraId="3FBFCA5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0.988</w:t>
            </w:r>
          </w:p>
        </w:tc>
        <w:tc>
          <w:tcPr>
            <w:tcW w:w="964" w:type="dxa"/>
            <w:vAlign w:val="center"/>
          </w:tcPr>
          <w:p w14:paraId="3BC2E4D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1.229</w:t>
            </w:r>
          </w:p>
        </w:tc>
        <w:tc>
          <w:tcPr>
            <w:tcW w:w="964" w:type="dxa"/>
            <w:vAlign w:val="center"/>
          </w:tcPr>
          <w:p w14:paraId="3ED1050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0.804</w:t>
            </w:r>
          </w:p>
        </w:tc>
        <w:tc>
          <w:tcPr>
            <w:tcW w:w="964" w:type="dxa"/>
            <w:vAlign w:val="center"/>
          </w:tcPr>
          <w:p w14:paraId="73BA0AD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0.196</w:t>
            </w:r>
          </w:p>
        </w:tc>
        <w:tc>
          <w:tcPr>
            <w:tcW w:w="964" w:type="dxa"/>
            <w:vAlign w:val="center"/>
          </w:tcPr>
          <w:p w14:paraId="433E061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0.241</w:t>
            </w:r>
          </w:p>
        </w:tc>
        <w:tc>
          <w:tcPr>
            <w:tcW w:w="964" w:type="dxa"/>
            <w:vAlign w:val="center"/>
          </w:tcPr>
          <w:p w14:paraId="3D7D48B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25.1</w:t>
            </w:r>
          </w:p>
        </w:tc>
        <w:tc>
          <w:tcPr>
            <w:tcW w:w="964" w:type="dxa"/>
            <w:vAlign w:val="center"/>
          </w:tcPr>
          <w:p w14:paraId="0A5ABD6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0.355</w:t>
            </w:r>
          </w:p>
        </w:tc>
        <w:tc>
          <w:tcPr>
            <w:tcW w:w="2804" w:type="dxa"/>
            <w:vAlign w:val="center"/>
          </w:tcPr>
          <w:p w14:paraId="562162C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Highest observed displacement and lowest persistence relative to the structural null.</w:t>
            </w:r>
          </w:p>
        </w:tc>
      </w:tr>
      <w:tr w:rsidR="00DB2A07" w:rsidRPr="00ED72A1" w14:paraId="78E05EFF" w14:textId="77777777" w:rsidTr="0018569A">
        <w:trPr>
          <w:jc w:val="center"/>
        </w:trPr>
        <w:tc>
          <w:tcPr>
            <w:tcW w:w="1144" w:type="dxa"/>
            <w:vAlign w:val="center"/>
          </w:tcPr>
          <w:p w14:paraId="52ECC47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Macroinvertebrate</w:t>
            </w:r>
          </w:p>
        </w:tc>
        <w:tc>
          <w:tcPr>
            <w:tcW w:w="964" w:type="dxa"/>
            <w:vAlign w:val="center"/>
          </w:tcPr>
          <w:p w14:paraId="603A177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0.903</w:t>
            </w:r>
          </w:p>
        </w:tc>
        <w:tc>
          <w:tcPr>
            <w:tcW w:w="964" w:type="dxa"/>
            <w:vAlign w:val="center"/>
          </w:tcPr>
          <w:p w14:paraId="2FA240D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1.238</w:t>
            </w:r>
          </w:p>
        </w:tc>
        <w:tc>
          <w:tcPr>
            <w:tcW w:w="964" w:type="dxa"/>
            <w:vAlign w:val="center"/>
          </w:tcPr>
          <w:p w14:paraId="7E9D419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0.729</w:t>
            </w:r>
          </w:p>
        </w:tc>
        <w:tc>
          <w:tcPr>
            <w:tcW w:w="964" w:type="dxa"/>
            <w:vAlign w:val="center"/>
          </w:tcPr>
          <w:p w14:paraId="71E9B8A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0.271</w:t>
            </w:r>
          </w:p>
        </w:tc>
        <w:tc>
          <w:tcPr>
            <w:tcW w:w="964" w:type="dxa"/>
            <w:vAlign w:val="center"/>
          </w:tcPr>
          <w:p w14:paraId="2E5EFD6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0.335</w:t>
            </w:r>
          </w:p>
        </w:tc>
        <w:tc>
          <w:tcPr>
            <w:tcW w:w="964" w:type="dxa"/>
            <w:vAlign w:val="center"/>
          </w:tcPr>
          <w:p w14:paraId="0D2BF43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13.4</w:t>
            </w:r>
          </w:p>
        </w:tc>
        <w:tc>
          <w:tcPr>
            <w:tcW w:w="964" w:type="dxa"/>
            <w:vAlign w:val="center"/>
          </w:tcPr>
          <w:p w14:paraId="6A44CABA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0.430</w:t>
            </w:r>
          </w:p>
        </w:tc>
        <w:tc>
          <w:tcPr>
            <w:tcW w:w="2804" w:type="dxa"/>
            <w:vAlign w:val="center"/>
          </w:tcPr>
          <w:p w14:paraId="6C223F3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Intermediate observed displacement and intermediate persistence.</w:t>
            </w:r>
          </w:p>
        </w:tc>
      </w:tr>
      <w:tr w:rsidR="00DB2A07" w:rsidRPr="00ED72A1" w14:paraId="38D65A41" w14:textId="77777777" w:rsidTr="0018569A">
        <w:trPr>
          <w:jc w:val="center"/>
        </w:trPr>
        <w:tc>
          <w:tcPr>
            <w:tcW w:w="1144" w:type="dxa"/>
            <w:vAlign w:val="center"/>
          </w:tcPr>
          <w:p w14:paraId="52A94F0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</w:t>
            </w:r>
          </w:p>
        </w:tc>
        <w:tc>
          <w:tcPr>
            <w:tcW w:w="964" w:type="dxa"/>
            <w:vAlign w:val="center"/>
          </w:tcPr>
          <w:p w14:paraId="444A8DA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0.636</w:t>
            </w:r>
          </w:p>
        </w:tc>
        <w:tc>
          <w:tcPr>
            <w:tcW w:w="964" w:type="dxa"/>
            <w:vAlign w:val="center"/>
          </w:tcPr>
          <w:p w14:paraId="7B28F0A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1.262</w:t>
            </w:r>
          </w:p>
        </w:tc>
        <w:tc>
          <w:tcPr>
            <w:tcW w:w="964" w:type="dxa"/>
            <w:vAlign w:val="center"/>
          </w:tcPr>
          <w:p w14:paraId="6CA5C86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0.504</w:t>
            </w:r>
          </w:p>
        </w:tc>
        <w:tc>
          <w:tcPr>
            <w:tcW w:w="964" w:type="dxa"/>
            <w:vAlign w:val="center"/>
          </w:tcPr>
          <w:p w14:paraId="2F051F9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0.496</w:t>
            </w:r>
          </w:p>
        </w:tc>
        <w:tc>
          <w:tcPr>
            <w:tcW w:w="964" w:type="dxa"/>
            <w:vAlign w:val="center"/>
          </w:tcPr>
          <w:p w14:paraId="729A6C9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0.626</w:t>
            </w:r>
          </w:p>
        </w:tc>
        <w:tc>
          <w:tcPr>
            <w:tcW w:w="964" w:type="dxa"/>
            <w:vAlign w:val="center"/>
          </w:tcPr>
          <w:p w14:paraId="2944397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6.9</w:t>
            </w:r>
          </w:p>
        </w:tc>
        <w:tc>
          <w:tcPr>
            <w:tcW w:w="964" w:type="dxa"/>
            <w:vAlign w:val="center"/>
          </w:tcPr>
          <w:p w14:paraId="395E547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0.541</w:t>
            </w:r>
          </w:p>
        </w:tc>
        <w:tc>
          <w:tcPr>
            <w:tcW w:w="2804" w:type="dxa"/>
            <w:vAlign w:val="center"/>
          </w:tcPr>
          <w:p w14:paraId="72DA395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Lowest observed displacement and highest persistence relative to the structural null.</w:t>
            </w:r>
          </w:p>
        </w:tc>
      </w:tr>
    </w:tbl>
    <w:p w14:paraId="12514A81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Note. This table supports the manuscript section on the structural random-pairing null. Similar null CDI values across assemblages argue against a simple richness- or dominance-driven explanation of the observed diatom &gt; macroinvertebrate &gt; fish CDI ordering. The persistence gradient increases from diatoms to macroinvertebrates to fish, but the null design is a national-pool null and does not preserve basin-level spatial autocorrelation or protocol-specific detection windows.</w:t>
      </w:r>
    </w:p>
    <w:p w14:paraId="37DBA6C4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5447A76C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>Supplementary Table S7B. Distance-metric and response-class sensitivity summary.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2867"/>
        <w:gridCol w:w="992"/>
        <w:gridCol w:w="4201"/>
      </w:tblGrid>
      <w:tr w:rsidR="00DB2A07" w:rsidRPr="00ED72A1" w14:paraId="592174D8" w14:textId="77777777" w:rsidTr="00ED72A1">
        <w:trPr>
          <w:trHeight w:val="510"/>
          <w:jc w:val="center"/>
        </w:trPr>
        <w:tc>
          <w:tcPr>
            <w:tcW w:w="2520" w:type="dxa"/>
            <w:vAlign w:val="center"/>
          </w:tcPr>
          <w:p w14:paraId="5BEEADB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Robustness check</w:t>
            </w:r>
          </w:p>
        </w:tc>
        <w:tc>
          <w:tcPr>
            <w:tcW w:w="2867" w:type="dxa"/>
            <w:vAlign w:val="center"/>
          </w:tcPr>
          <w:p w14:paraId="6E8AB99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Statistic</w:t>
            </w:r>
          </w:p>
        </w:tc>
        <w:tc>
          <w:tcPr>
            <w:tcW w:w="992" w:type="dxa"/>
            <w:vAlign w:val="center"/>
          </w:tcPr>
          <w:p w14:paraId="5AFDCE1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Value</w:t>
            </w:r>
          </w:p>
        </w:tc>
        <w:tc>
          <w:tcPr>
            <w:tcW w:w="4201" w:type="dxa"/>
            <w:vAlign w:val="center"/>
          </w:tcPr>
          <w:p w14:paraId="55D7F6B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Interpretation</w:t>
            </w:r>
          </w:p>
        </w:tc>
      </w:tr>
      <w:tr w:rsidR="00DB2A07" w:rsidRPr="00ED72A1" w14:paraId="6AB08569" w14:textId="77777777" w:rsidTr="0018569A">
        <w:trPr>
          <w:jc w:val="center"/>
        </w:trPr>
        <w:tc>
          <w:tcPr>
            <w:tcW w:w="2520" w:type="dxa"/>
            <w:vAlign w:val="center"/>
          </w:tcPr>
          <w:p w14:paraId="738C678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Hellinger vs relative Euclidean</w:t>
            </w:r>
          </w:p>
        </w:tc>
        <w:tc>
          <w:tcPr>
            <w:tcW w:w="2867" w:type="dxa"/>
            <w:vAlign w:val="center"/>
          </w:tcPr>
          <w:p w14:paraId="6C6D40F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Mean Spearman rho across assemblages</w:t>
            </w:r>
          </w:p>
        </w:tc>
        <w:tc>
          <w:tcPr>
            <w:tcW w:w="992" w:type="dxa"/>
            <w:vAlign w:val="center"/>
          </w:tcPr>
          <w:p w14:paraId="3662658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0.771</w:t>
            </w:r>
          </w:p>
        </w:tc>
        <w:tc>
          <w:tcPr>
            <w:tcW w:w="4201" w:type="dxa"/>
            <w:vAlign w:val="center"/>
          </w:tcPr>
          <w:p w14:paraId="77DCBFA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Primary CDI ranking broadly retained.</w:t>
            </w:r>
          </w:p>
        </w:tc>
      </w:tr>
      <w:tr w:rsidR="00DB2A07" w:rsidRPr="00ED72A1" w14:paraId="453B8D74" w14:textId="77777777" w:rsidTr="0018569A">
        <w:trPr>
          <w:jc w:val="center"/>
        </w:trPr>
        <w:tc>
          <w:tcPr>
            <w:tcW w:w="2520" w:type="dxa"/>
            <w:vAlign w:val="center"/>
          </w:tcPr>
          <w:p w14:paraId="10FB0C2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Hellinger vs Bray-</w:t>
            </w:r>
            <w:proofErr w:type="gramStart"/>
            <w:r w:rsidRPr="00ED72A1">
              <w:rPr>
                <w:rFonts w:cs="Times New Roman"/>
                <w:bCs/>
                <w:color w:val="000000"/>
                <w:sz w:val="22"/>
              </w:rPr>
              <w:t>Curtis</w:t>
            </w:r>
            <w:proofErr w:type="gramEnd"/>
            <w:r w:rsidRPr="00ED72A1">
              <w:rPr>
                <w:rFonts w:cs="Times New Roman"/>
                <w:bCs/>
                <w:color w:val="000000"/>
                <w:sz w:val="22"/>
              </w:rPr>
              <w:t xml:space="preserve"> abundance</w:t>
            </w:r>
          </w:p>
        </w:tc>
        <w:tc>
          <w:tcPr>
            <w:tcW w:w="2867" w:type="dxa"/>
            <w:vAlign w:val="center"/>
          </w:tcPr>
          <w:p w14:paraId="0A0DE31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Mean Spearman rho across assemblages</w:t>
            </w:r>
          </w:p>
        </w:tc>
        <w:tc>
          <w:tcPr>
            <w:tcW w:w="992" w:type="dxa"/>
            <w:vAlign w:val="center"/>
          </w:tcPr>
          <w:p w14:paraId="51CD1E8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0.762</w:t>
            </w:r>
          </w:p>
        </w:tc>
        <w:tc>
          <w:tcPr>
            <w:tcW w:w="4201" w:type="dxa"/>
            <w:vAlign w:val="center"/>
          </w:tcPr>
          <w:p w14:paraId="4518031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Primary CDI ranking broadly retained.</w:t>
            </w:r>
          </w:p>
        </w:tc>
      </w:tr>
      <w:tr w:rsidR="00DB2A07" w:rsidRPr="00ED72A1" w14:paraId="3176E99A" w14:textId="77777777" w:rsidTr="0018569A">
        <w:trPr>
          <w:jc w:val="center"/>
        </w:trPr>
        <w:tc>
          <w:tcPr>
            <w:tcW w:w="2520" w:type="dxa"/>
            <w:vAlign w:val="center"/>
          </w:tcPr>
          <w:p w14:paraId="18AE7DE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Core vs full paired datasets</w:t>
            </w:r>
          </w:p>
        </w:tc>
        <w:tc>
          <w:tcPr>
            <w:tcW w:w="2867" w:type="dxa"/>
            <w:vAlign w:val="center"/>
          </w:tcPr>
          <w:p w14:paraId="7920A37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Maximum relative mean difference (%)</w:t>
            </w:r>
          </w:p>
        </w:tc>
        <w:tc>
          <w:tcPr>
            <w:tcW w:w="992" w:type="dxa"/>
            <w:vAlign w:val="center"/>
          </w:tcPr>
          <w:p w14:paraId="742BEDE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0.000</w:t>
            </w:r>
          </w:p>
        </w:tc>
        <w:tc>
          <w:tcPr>
            <w:tcW w:w="4201" w:type="dxa"/>
            <w:vAlign w:val="center"/>
          </w:tcPr>
          <w:p w14:paraId="5453E4A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Strict core filtering did not change mean CDI summaries.</w:t>
            </w:r>
          </w:p>
        </w:tc>
      </w:tr>
      <w:tr w:rsidR="00DB2A07" w:rsidRPr="00ED72A1" w14:paraId="6A5DCAB6" w14:textId="77777777" w:rsidTr="0018569A">
        <w:trPr>
          <w:jc w:val="center"/>
        </w:trPr>
        <w:tc>
          <w:tcPr>
            <w:tcW w:w="2520" w:type="dxa"/>
            <w:vAlign w:val="center"/>
          </w:tcPr>
          <w:p w14:paraId="39EC8F1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Primary Hellinger synchrony</w:t>
            </w:r>
          </w:p>
        </w:tc>
        <w:tc>
          <w:tcPr>
            <w:tcW w:w="2867" w:type="dxa"/>
            <w:vAlign w:val="center"/>
          </w:tcPr>
          <w:p w14:paraId="433B210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Maximum absolute Pearson r among assemblages</w:t>
            </w:r>
          </w:p>
        </w:tc>
        <w:tc>
          <w:tcPr>
            <w:tcW w:w="992" w:type="dxa"/>
            <w:vAlign w:val="center"/>
          </w:tcPr>
          <w:p w14:paraId="4E6EED0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0.041</w:t>
            </w:r>
          </w:p>
        </w:tc>
        <w:tc>
          <w:tcPr>
            <w:tcW w:w="4201" w:type="dxa"/>
            <w:vAlign w:val="center"/>
          </w:tcPr>
          <w:p w14:paraId="1088C79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Weak cross-assemblage synchrony retained.</w:t>
            </w:r>
          </w:p>
        </w:tc>
      </w:tr>
      <w:tr w:rsidR="00DB2A07" w:rsidRPr="00ED72A1" w14:paraId="371A3587" w14:textId="77777777" w:rsidTr="0018569A">
        <w:trPr>
          <w:jc w:val="center"/>
        </w:trPr>
        <w:tc>
          <w:tcPr>
            <w:tcW w:w="2520" w:type="dxa"/>
            <w:vAlign w:val="center"/>
          </w:tcPr>
          <w:p w14:paraId="2B36A6A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Hellinger vs relative Euclidean</w:t>
            </w:r>
          </w:p>
        </w:tc>
        <w:tc>
          <w:tcPr>
            <w:tcW w:w="2867" w:type="dxa"/>
            <w:vAlign w:val="center"/>
          </w:tcPr>
          <w:p w14:paraId="6AA4E64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Response-class exact agreement (%)</w:t>
            </w:r>
          </w:p>
        </w:tc>
        <w:tc>
          <w:tcPr>
            <w:tcW w:w="992" w:type="dxa"/>
            <w:vAlign w:val="center"/>
          </w:tcPr>
          <w:p w14:paraId="532425A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64.5</w:t>
            </w:r>
          </w:p>
        </w:tc>
        <w:tc>
          <w:tcPr>
            <w:tcW w:w="4201" w:type="dxa"/>
            <w:vAlign w:val="center"/>
          </w:tcPr>
          <w:p w14:paraId="2CC5B0B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Response classes show moderate sensitivity; treated as diagnostic categories.</w:t>
            </w:r>
          </w:p>
        </w:tc>
      </w:tr>
      <w:tr w:rsidR="00DB2A07" w:rsidRPr="00ED72A1" w14:paraId="61E1A241" w14:textId="77777777" w:rsidTr="0018569A">
        <w:trPr>
          <w:jc w:val="center"/>
        </w:trPr>
        <w:tc>
          <w:tcPr>
            <w:tcW w:w="2520" w:type="dxa"/>
            <w:vAlign w:val="center"/>
          </w:tcPr>
          <w:p w14:paraId="038440F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Hellinger vs Bray-</w:t>
            </w:r>
            <w:proofErr w:type="gramStart"/>
            <w:r w:rsidRPr="00ED72A1">
              <w:rPr>
                <w:rFonts w:cs="Times New Roman"/>
                <w:bCs/>
                <w:color w:val="000000"/>
                <w:sz w:val="22"/>
              </w:rPr>
              <w:t>Curtis</w:t>
            </w:r>
            <w:proofErr w:type="gramEnd"/>
            <w:r w:rsidRPr="00ED72A1">
              <w:rPr>
                <w:rFonts w:cs="Times New Roman"/>
                <w:bCs/>
                <w:color w:val="000000"/>
                <w:sz w:val="22"/>
              </w:rPr>
              <w:t xml:space="preserve"> abundance</w:t>
            </w:r>
          </w:p>
        </w:tc>
        <w:tc>
          <w:tcPr>
            <w:tcW w:w="2867" w:type="dxa"/>
            <w:vAlign w:val="center"/>
          </w:tcPr>
          <w:p w14:paraId="03BD94D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Response-class exact agreement (%)</w:t>
            </w:r>
          </w:p>
        </w:tc>
        <w:tc>
          <w:tcPr>
            <w:tcW w:w="992" w:type="dxa"/>
            <w:vAlign w:val="center"/>
          </w:tcPr>
          <w:p w14:paraId="1B046DD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63.9</w:t>
            </w:r>
          </w:p>
        </w:tc>
        <w:tc>
          <w:tcPr>
            <w:tcW w:w="4201" w:type="dxa"/>
            <w:vAlign w:val="center"/>
          </w:tcPr>
          <w:p w14:paraId="13F6107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Response classes show moderate sensitivity; treated as diagnostic categories.</w:t>
            </w:r>
          </w:p>
        </w:tc>
      </w:tr>
    </w:tbl>
    <w:p w14:paraId="281A8456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Note. This table retains the original distance-metric robustness summary and is now paired with Supplementary Table S7A, which reports the structural-null and persistence-gradient analysis.</w:t>
      </w:r>
    </w:p>
    <w:p w14:paraId="2AB74667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4F368166" w14:textId="77777777" w:rsidR="00DB2A07" w:rsidRPr="00ED72A1" w:rsidRDefault="00000000" w:rsidP="0022591E">
      <w:pPr>
        <w:pStyle w:val="1"/>
        <w:spacing w:before="0" w:after="12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D72A1">
        <w:rPr>
          <w:rFonts w:ascii="Times New Roman" w:hAnsi="Times New Roman" w:cs="Times New Roman"/>
          <w:bCs w:val="0"/>
          <w:color w:val="000000"/>
          <w:sz w:val="22"/>
          <w:szCs w:val="22"/>
        </w:rPr>
        <w:lastRenderedPageBreak/>
        <w:t>Supplementary Note 5. Reproducibility, derived-data schema, and threshold boundary</w:t>
      </w:r>
    </w:p>
    <w:p w14:paraId="790F05F6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>The primary manuscript uses a restricted national monitoring database; therefore, the raw long-format site-level records are not redistributed in the submission package. To support audit-level reproducibility while respecting the original data-use restrictions, reproducibility is anchored to a derived paired site-year CDI table and a code-oriented workflow template. The derived table represents the minimum reproducible unit needed to regenerate the main figures and supplementary numerical summaries without exposing raw monitoring rows or unrestricted site-level records. It records the matched site-year structure, assemblage-specific CDI values, within-assemblage standardized CDI values, empirical CDI states, response-class identity, and the temporal and basin grouping variables used for aggregation.</w:t>
      </w:r>
    </w:p>
    <w:p w14:paraId="50649B63" w14:textId="77777777" w:rsidR="00DB2A07" w:rsidRPr="00ED72A1" w:rsidRDefault="00000000" w:rsidP="0022591E">
      <w:pPr>
        <w:spacing w:after="120"/>
        <w:rPr>
          <w:rFonts w:cs="Times New Roman"/>
          <w:bCs/>
          <w:sz w:val="22"/>
          <w:highlight w:val="yellow"/>
        </w:rPr>
      </w:pPr>
      <w:r w:rsidRPr="00ED72A1">
        <w:rPr>
          <w:rFonts w:cs="Times New Roman"/>
          <w:bCs/>
          <w:color w:val="000000"/>
          <w:sz w:val="22"/>
        </w:rPr>
        <w:t>Reproducibility also requires two additional summary-output blocks: a split-half reliability/disattenuation table and a structural-null/persistence table. These outputs are summarized in Supplementary Tables S3, S7A, and S7B and should be retained in the accompanying derived-output workbook or script-generated audit files.</w:t>
      </w:r>
    </w:p>
    <w:p w14:paraId="3EAA09E5" w14:textId="77777777" w:rsidR="00DB2A07" w:rsidRPr="00ED72A1" w:rsidRDefault="00000000" w:rsidP="0022591E">
      <w:pPr>
        <w:spacing w:after="120"/>
        <w:rPr>
          <w:rFonts w:cs="Times New Roman"/>
          <w:bCs/>
          <w:sz w:val="22"/>
          <w:highlight w:val="yellow"/>
        </w:rPr>
      </w:pPr>
      <w:r w:rsidRPr="00ED72A1">
        <w:rPr>
          <w:rFonts w:cs="Times New Roman"/>
          <w:bCs/>
          <w:color w:val="000000"/>
          <w:sz w:val="22"/>
        </w:rPr>
        <w:t>Response classes were generated using assemblage-specific empirical 33rd and 67th percentile thresholds. These thresholds are dataset-relative and diagnostic. They organize low, intermediate, and high displacement states within the declared Hellinger-CDI geometry, but they do not define impairment, restoration success, ecological quality status, or universal regulatory boundaries. Accordingly, response-class frequencies should be interpreted as diagnostic pathway hypotheses that indicate whether subsequent driver-level analysis should focus on biofilm-surface, benthic-habitat, fish-connectivity, coupled, mixed, or whole-ecosystem displacement pathways.</w:t>
      </w:r>
    </w:p>
    <w:p w14:paraId="1C4A635F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>The accompanying analysis-script template documents the intended calculation order: importing and harmonizing long-format monitoring records; constructing paired round-1 and round-2 community matrices; converting each assemblage to relative abundance; applying Hellinger transformation; calculating Euclidean displacement; standardizing CDI within assemblages; assigning empirical CDI states and response classes; calculating synchrony and decoupling metrics; estimating split-half reliability; running the structural random-pairing null model; summarizing annual and basin-level patterns; and repeating the main checks under alternative distance metrics. This workflow is intended to make the calculation logic transparent, while recognizing that full raw-record reproduction remains subject to the access rules of the original monitoring program.</w:t>
      </w:r>
    </w:p>
    <w:p w14:paraId="051E9798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6CD2EA6F" w14:textId="77777777" w:rsidR="00DB2A07" w:rsidRPr="00ED72A1" w:rsidRDefault="00000000" w:rsidP="0022591E">
      <w:pPr>
        <w:spacing w:after="120"/>
        <w:rPr>
          <w:rFonts w:cs="Times New Roman"/>
          <w:b/>
          <w:sz w:val="22"/>
        </w:rPr>
      </w:pPr>
      <w:r w:rsidRPr="00ED72A1">
        <w:rPr>
          <w:rFonts w:cs="Times New Roman"/>
          <w:b/>
          <w:color w:val="000000"/>
          <w:sz w:val="22"/>
        </w:rPr>
        <w:t>Supplementary Table S8. Minimum derived paired site-year CDI schema for audit-level reproducibility.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3402"/>
        <w:gridCol w:w="4601"/>
      </w:tblGrid>
      <w:tr w:rsidR="00DB2A07" w:rsidRPr="00ED72A1" w14:paraId="1A7C4118" w14:textId="77777777" w:rsidTr="00ED72A1">
        <w:trPr>
          <w:trHeight w:val="454"/>
          <w:jc w:val="center"/>
        </w:trPr>
        <w:tc>
          <w:tcPr>
            <w:tcW w:w="2518" w:type="dxa"/>
            <w:vAlign w:val="center"/>
          </w:tcPr>
          <w:p w14:paraId="727883A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Field</w:t>
            </w:r>
          </w:p>
        </w:tc>
        <w:tc>
          <w:tcPr>
            <w:tcW w:w="3402" w:type="dxa"/>
            <w:vAlign w:val="center"/>
          </w:tcPr>
          <w:p w14:paraId="145EB97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Definition</w:t>
            </w:r>
          </w:p>
        </w:tc>
        <w:tc>
          <w:tcPr>
            <w:tcW w:w="4601" w:type="dxa"/>
            <w:vAlign w:val="center"/>
          </w:tcPr>
          <w:p w14:paraId="10FECFF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Use in reproduction</w:t>
            </w:r>
          </w:p>
        </w:tc>
      </w:tr>
      <w:tr w:rsidR="00DB2A07" w:rsidRPr="00ED72A1" w14:paraId="6BA00F24" w14:textId="77777777" w:rsidTr="0018569A">
        <w:trPr>
          <w:jc w:val="center"/>
        </w:trPr>
        <w:tc>
          <w:tcPr>
            <w:tcW w:w="2518" w:type="dxa"/>
            <w:vAlign w:val="center"/>
          </w:tcPr>
          <w:p w14:paraId="2BDA08D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site_year_id</w:t>
            </w:r>
          </w:p>
        </w:tc>
        <w:tc>
          <w:tcPr>
            <w:tcW w:w="3402" w:type="dxa"/>
            <w:vAlign w:val="center"/>
          </w:tcPr>
          <w:p w14:paraId="6690FE4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De-identified unique key for one site code in one year.</w:t>
            </w:r>
          </w:p>
        </w:tc>
        <w:tc>
          <w:tcPr>
            <w:tcW w:w="4601" w:type="dxa"/>
            <w:vAlign w:val="center"/>
          </w:tcPr>
          <w:p w14:paraId="63771CF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Joins assemblage-specific CDI values without redistributing unrestricted raw site codes.</w:t>
            </w:r>
          </w:p>
        </w:tc>
      </w:tr>
      <w:tr w:rsidR="00DB2A07" w:rsidRPr="00ED72A1" w14:paraId="76E713D1" w14:textId="77777777" w:rsidTr="0018569A">
        <w:trPr>
          <w:jc w:val="center"/>
        </w:trPr>
        <w:tc>
          <w:tcPr>
            <w:tcW w:w="2518" w:type="dxa"/>
            <w:vAlign w:val="center"/>
          </w:tcPr>
          <w:p w14:paraId="7671D43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year</w:t>
            </w:r>
          </w:p>
        </w:tc>
        <w:tc>
          <w:tcPr>
            <w:tcW w:w="3402" w:type="dxa"/>
            <w:vAlign w:val="center"/>
          </w:tcPr>
          <w:p w14:paraId="07E7DAE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Monitoring year.</w:t>
            </w:r>
          </w:p>
        </w:tc>
        <w:tc>
          <w:tcPr>
            <w:tcW w:w="4601" w:type="dxa"/>
            <w:vAlign w:val="center"/>
          </w:tcPr>
          <w:p w14:paraId="64C50F4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annual summaries and time-series figures.</w:t>
            </w:r>
          </w:p>
        </w:tc>
      </w:tr>
      <w:tr w:rsidR="00DB2A07" w:rsidRPr="00ED72A1" w14:paraId="3B78166B" w14:textId="77777777" w:rsidTr="0018569A">
        <w:trPr>
          <w:jc w:val="center"/>
        </w:trPr>
        <w:tc>
          <w:tcPr>
            <w:tcW w:w="2518" w:type="dxa"/>
            <w:vAlign w:val="center"/>
          </w:tcPr>
          <w:p w14:paraId="19F025A6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basin_region</w:t>
            </w:r>
          </w:p>
        </w:tc>
        <w:tc>
          <w:tcPr>
            <w:tcW w:w="3402" w:type="dxa"/>
            <w:vAlign w:val="center"/>
          </w:tcPr>
          <w:p w14:paraId="2CE11A5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Major Korean river-basin region.</w:t>
            </w:r>
          </w:p>
        </w:tc>
        <w:tc>
          <w:tcPr>
            <w:tcW w:w="4601" w:type="dxa"/>
            <w:vAlign w:val="center"/>
          </w:tcPr>
          <w:p w14:paraId="52BD191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basin-level CDI magnitude and decoupling summaries.</w:t>
            </w:r>
          </w:p>
        </w:tc>
      </w:tr>
      <w:tr w:rsidR="00DB2A07" w:rsidRPr="00ED72A1" w14:paraId="34EF2C69" w14:textId="77777777" w:rsidTr="0018569A">
        <w:trPr>
          <w:jc w:val="center"/>
        </w:trPr>
        <w:tc>
          <w:tcPr>
            <w:tcW w:w="2518" w:type="dxa"/>
            <w:vAlign w:val="center"/>
          </w:tcPr>
          <w:p w14:paraId="0900CDE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matching_flag</w:t>
            </w:r>
          </w:p>
        </w:tc>
        <w:tc>
          <w:tcPr>
            <w:tcW w:w="3402" w:type="dxa"/>
            <w:vAlign w:val="center"/>
          </w:tcPr>
          <w:p w14:paraId="7EE7F83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Primary core, pairwise matched, or taxon-specific full paired dataset.</w:t>
            </w:r>
          </w:p>
        </w:tc>
        <w:tc>
          <w:tcPr>
            <w:tcW w:w="4601" w:type="dxa"/>
            <w:vAlign w:val="center"/>
          </w:tcPr>
          <w:p w14:paraId="242B873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Separates primary inference from robustness-only analyses.</w:t>
            </w:r>
          </w:p>
        </w:tc>
      </w:tr>
      <w:tr w:rsidR="00DB2A07" w:rsidRPr="00ED72A1" w14:paraId="523DE960" w14:textId="77777777" w:rsidTr="0018569A">
        <w:trPr>
          <w:jc w:val="center"/>
        </w:trPr>
        <w:tc>
          <w:tcPr>
            <w:tcW w:w="2518" w:type="dxa"/>
            <w:vAlign w:val="center"/>
          </w:tcPr>
          <w:p w14:paraId="56879368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diatom_cdi_hellinger</w:t>
            </w:r>
          </w:p>
        </w:tc>
        <w:tc>
          <w:tcPr>
            <w:tcW w:w="3402" w:type="dxa"/>
            <w:vAlign w:val="center"/>
          </w:tcPr>
          <w:p w14:paraId="2A2EDFC3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Round-1 to round-2 Hellinger-CDI for epilithic diatoms.</w:t>
            </w:r>
          </w:p>
        </w:tc>
        <w:tc>
          <w:tcPr>
            <w:tcW w:w="4601" w:type="dxa"/>
            <w:vAlign w:val="center"/>
          </w:tcPr>
          <w:p w14:paraId="634B13A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CDI magnitude, synchrony, response classes, and figure-level summaries.</w:t>
            </w:r>
          </w:p>
        </w:tc>
      </w:tr>
      <w:tr w:rsidR="00DB2A07" w:rsidRPr="00ED72A1" w14:paraId="3545C09E" w14:textId="77777777" w:rsidTr="0018569A">
        <w:trPr>
          <w:jc w:val="center"/>
        </w:trPr>
        <w:tc>
          <w:tcPr>
            <w:tcW w:w="2518" w:type="dxa"/>
            <w:vAlign w:val="center"/>
          </w:tcPr>
          <w:p w14:paraId="2C2EDD72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macro_cdi_hellinger</w:t>
            </w:r>
          </w:p>
        </w:tc>
        <w:tc>
          <w:tcPr>
            <w:tcW w:w="3402" w:type="dxa"/>
            <w:vAlign w:val="center"/>
          </w:tcPr>
          <w:p w14:paraId="1CF2228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Round-1 to round-2 Hellinger-CDI for benthic macroinvertebrates.</w:t>
            </w:r>
          </w:p>
        </w:tc>
        <w:tc>
          <w:tcPr>
            <w:tcW w:w="4601" w:type="dxa"/>
            <w:vAlign w:val="center"/>
          </w:tcPr>
          <w:p w14:paraId="10234CCB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CDI magnitude, synchrony, response classes, and figure-level summaries.</w:t>
            </w:r>
          </w:p>
        </w:tc>
      </w:tr>
      <w:tr w:rsidR="00DB2A07" w:rsidRPr="00ED72A1" w14:paraId="6572A9CC" w14:textId="77777777" w:rsidTr="0018569A">
        <w:trPr>
          <w:jc w:val="center"/>
        </w:trPr>
        <w:tc>
          <w:tcPr>
            <w:tcW w:w="2518" w:type="dxa"/>
            <w:vAlign w:val="center"/>
          </w:tcPr>
          <w:p w14:paraId="4FFB421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fish_cdi_hellinger</w:t>
            </w:r>
          </w:p>
        </w:tc>
        <w:tc>
          <w:tcPr>
            <w:tcW w:w="3402" w:type="dxa"/>
            <w:vAlign w:val="center"/>
          </w:tcPr>
          <w:p w14:paraId="752269C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Round-1 to round-2 Hellinger-CDI for fish.</w:t>
            </w:r>
          </w:p>
        </w:tc>
        <w:tc>
          <w:tcPr>
            <w:tcW w:w="4601" w:type="dxa"/>
            <w:vAlign w:val="center"/>
          </w:tcPr>
          <w:p w14:paraId="443FFA50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CDI magnitude, synchrony, response classes, and figure-level summaries.</w:t>
            </w:r>
          </w:p>
        </w:tc>
      </w:tr>
      <w:tr w:rsidR="00DB2A07" w:rsidRPr="00ED72A1" w14:paraId="1CD21C97" w14:textId="77777777" w:rsidTr="0018569A">
        <w:trPr>
          <w:jc w:val="center"/>
        </w:trPr>
        <w:tc>
          <w:tcPr>
            <w:tcW w:w="2518" w:type="dxa"/>
            <w:vAlign w:val="center"/>
          </w:tcPr>
          <w:p w14:paraId="7AE8F60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diatom_z / macro_z / fish_z</w:t>
            </w:r>
          </w:p>
        </w:tc>
        <w:tc>
          <w:tcPr>
            <w:tcW w:w="3402" w:type="dxa"/>
            <w:vAlign w:val="center"/>
          </w:tcPr>
          <w:p w14:paraId="5633ABE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Within-assemblage standardized CDI values.</w:t>
            </w:r>
          </w:p>
        </w:tc>
        <w:tc>
          <w:tcPr>
            <w:tcW w:w="4601" w:type="dxa"/>
            <w:vAlign w:val="center"/>
          </w:tcPr>
          <w:p w14:paraId="1757C29F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decoupling range and dominant-response identity.</w:t>
            </w:r>
          </w:p>
        </w:tc>
      </w:tr>
      <w:tr w:rsidR="00DB2A07" w:rsidRPr="00ED72A1" w14:paraId="17B9EE2F" w14:textId="77777777" w:rsidTr="0018569A">
        <w:trPr>
          <w:jc w:val="center"/>
        </w:trPr>
        <w:tc>
          <w:tcPr>
            <w:tcW w:w="2518" w:type="dxa"/>
            <w:vAlign w:val="center"/>
          </w:tcPr>
          <w:p w14:paraId="439F83A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 xml:space="preserve">diatom_state / </w:t>
            </w:r>
            <w:r w:rsidRPr="00ED72A1">
              <w:rPr>
                <w:rFonts w:cs="Times New Roman"/>
                <w:bCs/>
                <w:color w:val="000000"/>
                <w:sz w:val="22"/>
              </w:rPr>
              <w:lastRenderedPageBreak/>
              <w:t>macro_state / fish_state</w:t>
            </w:r>
          </w:p>
        </w:tc>
        <w:tc>
          <w:tcPr>
            <w:tcW w:w="3402" w:type="dxa"/>
            <w:vAlign w:val="center"/>
          </w:tcPr>
          <w:p w14:paraId="598988D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lastRenderedPageBreak/>
              <w:t xml:space="preserve">Low, intermediate, or high CDI </w:t>
            </w:r>
            <w:r w:rsidRPr="00ED72A1">
              <w:rPr>
                <w:rFonts w:cs="Times New Roman"/>
                <w:bCs/>
                <w:color w:val="000000"/>
                <w:sz w:val="22"/>
              </w:rPr>
              <w:lastRenderedPageBreak/>
              <w:t>state based on assemblage-specific 33rd and 67th percentile thresholds.</w:t>
            </w:r>
          </w:p>
        </w:tc>
        <w:tc>
          <w:tcPr>
            <w:tcW w:w="4601" w:type="dxa"/>
            <w:vAlign w:val="center"/>
          </w:tcPr>
          <w:p w14:paraId="0C5443CE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lastRenderedPageBreak/>
              <w:t xml:space="preserve">Recreates response-class assignment under the </w:t>
            </w:r>
            <w:r w:rsidRPr="00ED72A1">
              <w:rPr>
                <w:rFonts w:cs="Times New Roman"/>
                <w:bCs/>
                <w:color w:val="000000"/>
                <w:sz w:val="22"/>
              </w:rPr>
              <w:lastRenderedPageBreak/>
              <w:t>declared empirical threshold rule.</w:t>
            </w:r>
          </w:p>
        </w:tc>
      </w:tr>
      <w:tr w:rsidR="00DB2A07" w:rsidRPr="00ED72A1" w14:paraId="4CD1A7FF" w14:textId="77777777" w:rsidTr="0018569A">
        <w:trPr>
          <w:jc w:val="center"/>
        </w:trPr>
        <w:tc>
          <w:tcPr>
            <w:tcW w:w="2518" w:type="dxa"/>
            <w:vAlign w:val="center"/>
          </w:tcPr>
          <w:p w14:paraId="52F34B5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lastRenderedPageBreak/>
              <w:t>response_class</w:t>
            </w:r>
          </w:p>
        </w:tc>
        <w:tc>
          <w:tcPr>
            <w:tcW w:w="3402" w:type="dxa"/>
            <w:vAlign w:val="center"/>
          </w:tcPr>
          <w:p w14:paraId="5A9DAF9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Diagnostic multi-taxon response class.</w:t>
            </w:r>
          </w:p>
        </w:tc>
        <w:tc>
          <w:tcPr>
            <w:tcW w:w="4601" w:type="dxa"/>
            <w:vAlign w:val="center"/>
          </w:tcPr>
          <w:p w14:paraId="6E65A757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Figure 4 and Supplementary Table S4.</w:t>
            </w:r>
          </w:p>
        </w:tc>
      </w:tr>
      <w:tr w:rsidR="00DB2A07" w:rsidRPr="00ED72A1" w14:paraId="33385899" w14:textId="77777777" w:rsidTr="0018569A">
        <w:trPr>
          <w:jc w:val="center"/>
        </w:trPr>
        <w:tc>
          <w:tcPr>
            <w:tcW w:w="2518" w:type="dxa"/>
            <w:vAlign w:val="center"/>
          </w:tcPr>
          <w:p w14:paraId="2226B0FD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std_cdi_range</w:t>
            </w:r>
          </w:p>
        </w:tc>
        <w:tc>
          <w:tcPr>
            <w:tcW w:w="3402" w:type="dxa"/>
            <w:vAlign w:val="center"/>
          </w:tcPr>
          <w:p w14:paraId="41609B1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Range of standardized CDI values among the three assemblages for one site-year.</w:t>
            </w:r>
          </w:p>
        </w:tc>
        <w:tc>
          <w:tcPr>
            <w:tcW w:w="4601" w:type="dxa"/>
            <w:vAlign w:val="center"/>
          </w:tcPr>
          <w:p w14:paraId="322AE8F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Recreates annual and basin-level decoupling summaries.</w:t>
            </w:r>
          </w:p>
        </w:tc>
      </w:tr>
      <w:tr w:rsidR="00DB2A07" w:rsidRPr="00ED72A1" w14:paraId="5565A32E" w14:textId="77777777" w:rsidTr="0018569A">
        <w:trPr>
          <w:jc w:val="center"/>
        </w:trPr>
        <w:tc>
          <w:tcPr>
            <w:tcW w:w="2518" w:type="dxa"/>
            <w:vAlign w:val="center"/>
          </w:tcPr>
          <w:p w14:paraId="13ABABA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split_half_summary_id</w:t>
            </w:r>
          </w:p>
        </w:tc>
        <w:tc>
          <w:tcPr>
            <w:tcW w:w="3402" w:type="dxa"/>
            <w:vAlign w:val="center"/>
          </w:tcPr>
          <w:p w14:paraId="3BE4860C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Identifier linking the derived table to split-half reliability output tables.</w:t>
            </w:r>
          </w:p>
        </w:tc>
        <w:tc>
          <w:tcPr>
            <w:tcW w:w="4601" w:type="dxa"/>
            <w:vAlign w:val="center"/>
          </w:tcPr>
          <w:p w14:paraId="48F76189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proofErr w:type="gramStart"/>
            <w:r w:rsidRPr="00ED72A1">
              <w:rPr>
                <w:rFonts w:cs="Times New Roman"/>
                <w:bCs/>
                <w:color w:val="000000"/>
                <w:sz w:val="22"/>
              </w:rPr>
              <w:t>Documents</w:t>
            </w:r>
            <w:proofErr w:type="gramEnd"/>
            <w:r w:rsidRPr="00ED72A1">
              <w:rPr>
                <w:rFonts w:cs="Times New Roman"/>
                <w:bCs/>
                <w:color w:val="000000"/>
                <w:sz w:val="22"/>
              </w:rPr>
              <w:t xml:space="preserve"> reliability and disattenuation analyses reported in Supplementary Table S3.</w:t>
            </w:r>
          </w:p>
        </w:tc>
      </w:tr>
      <w:tr w:rsidR="00DB2A07" w:rsidRPr="00ED72A1" w14:paraId="10EEE192" w14:textId="77777777" w:rsidTr="0018569A">
        <w:trPr>
          <w:jc w:val="center"/>
        </w:trPr>
        <w:tc>
          <w:tcPr>
            <w:tcW w:w="2518" w:type="dxa"/>
            <w:vAlign w:val="center"/>
          </w:tcPr>
          <w:p w14:paraId="3731F075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structural_null_summary_id</w:t>
            </w:r>
          </w:p>
        </w:tc>
        <w:tc>
          <w:tcPr>
            <w:tcW w:w="3402" w:type="dxa"/>
            <w:vAlign w:val="center"/>
          </w:tcPr>
          <w:p w14:paraId="11E27CB1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Identifier linking the derived table to structural-null and persistence-gradient output tables.</w:t>
            </w:r>
          </w:p>
        </w:tc>
        <w:tc>
          <w:tcPr>
            <w:tcW w:w="4601" w:type="dxa"/>
            <w:vAlign w:val="center"/>
          </w:tcPr>
          <w:p w14:paraId="38D65104" w14:textId="77777777" w:rsidR="00DB2A07" w:rsidRPr="00ED72A1" w:rsidRDefault="00000000" w:rsidP="0022591E">
            <w:pPr>
              <w:spacing w:line="276" w:lineRule="auto"/>
              <w:rPr>
                <w:rFonts w:cs="Times New Roman"/>
                <w:bCs/>
                <w:sz w:val="22"/>
              </w:rPr>
            </w:pPr>
            <w:r w:rsidRPr="00ED72A1">
              <w:rPr>
                <w:rFonts w:cs="Times New Roman"/>
                <w:bCs/>
                <w:color w:val="000000"/>
                <w:sz w:val="22"/>
              </w:rPr>
              <w:t>Documents the random-pairing null and persistence-gradient outputs reported in Supplementary Table S7A.</w:t>
            </w:r>
          </w:p>
        </w:tc>
      </w:tr>
    </w:tbl>
    <w:p w14:paraId="37504CB8" w14:textId="77777777" w:rsidR="00DB2A07" w:rsidRPr="00ED72A1" w:rsidRDefault="00000000" w:rsidP="0022591E">
      <w:pPr>
        <w:spacing w:after="120"/>
        <w:rPr>
          <w:rFonts w:eastAsia="맑은 고딕" w:cs="Times New Roman"/>
          <w:bCs/>
          <w:color w:val="000000"/>
          <w:sz w:val="22"/>
          <w:lang w:eastAsia="ko-KR"/>
        </w:rPr>
      </w:pPr>
      <w:r w:rsidRPr="00ED72A1">
        <w:rPr>
          <w:rFonts w:cs="Times New Roman"/>
          <w:bCs/>
          <w:color w:val="000000"/>
          <w:sz w:val="22"/>
        </w:rPr>
        <w:t xml:space="preserve">Note. This </w:t>
      </w:r>
      <w:proofErr w:type="gramStart"/>
      <w:r w:rsidRPr="00ED72A1">
        <w:rPr>
          <w:rFonts w:cs="Times New Roman"/>
          <w:bCs/>
          <w:color w:val="000000"/>
          <w:sz w:val="22"/>
        </w:rPr>
        <w:t>schema</w:t>
      </w:r>
      <w:proofErr w:type="gramEnd"/>
      <w:r w:rsidRPr="00ED72A1">
        <w:rPr>
          <w:rFonts w:cs="Times New Roman"/>
          <w:bCs/>
          <w:color w:val="000000"/>
          <w:sz w:val="22"/>
        </w:rPr>
        <w:t xml:space="preserve"> defines the minimum derived table needed to reproduce the main-text numerical summaries and supplementary ecological diagnostic outputs. The schema fields document the additional reliability and structural-null outputs required for audit-level reproducibility. Site identifiers may be de-identified or access-controlled depending on the original monitoring-program data-use rules. The response classes are empirical diagnostic categories under the declared Hellinger-CDI geometry and should not be interpreted as universal ecological-quality classes or regulatory thresholds.</w:t>
      </w:r>
    </w:p>
    <w:p w14:paraId="64AF4D6B" w14:textId="77777777" w:rsidR="0022591E" w:rsidRPr="00ED72A1" w:rsidRDefault="0022591E" w:rsidP="0022591E">
      <w:pPr>
        <w:spacing w:after="120"/>
        <w:rPr>
          <w:rFonts w:eastAsia="맑은 고딕" w:cs="Times New Roman"/>
          <w:bCs/>
          <w:sz w:val="22"/>
          <w:lang w:eastAsia="ko-KR"/>
        </w:rPr>
      </w:pPr>
    </w:p>
    <w:p w14:paraId="63F48883" w14:textId="77777777" w:rsidR="00DB2A07" w:rsidRPr="00ED72A1" w:rsidRDefault="00000000" w:rsidP="0022591E">
      <w:pPr>
        <w:pStyle w:val="1"/>
        <w:spacing w:before="0" w:after="120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ED72A1">
        <w:rPr>
          <w:rFonts w:ascii="Times New Roman" w:hAnsi="Times New Roman" w:cs="Times New Roman"/>
          <w:bCs w:val="0"/>
          <w:color w:val="000000"/>
          <w:sz w:val="22"/>
          <w:szCs w:val="22"/>
        </w:rPr>
        <w:t>Supplementary references</w:t>
      </w:r>
    </w:p>
    <w:p w14:paraId="43FD1FD9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Anderson, M.J., 2001. A new method for non-parametric multivariate analysis of variance. Austral Ecol. 26, 32–46. </w:t>
      </w:r>
      <w:hyperlink r:id="rId6">
        <w:r w:rsidR="00DB2A07" w:rsidRPr="00ED72A1">
          <w:rPr>
            <w:rFonts w:cs="Times New Roman"/>
            <w:bCs/>
            <w:sz w:val="22"/>
            <w:u w:val="single"/>
          </w:rPr>
          <w:t>https://doi.org/10.1111/j.1442-9993.2001.01070.pp.x</w:t>
        </w:r>
      </w:hyperlink>
    </w:p>
    <w:p w14:paraId="60BBA232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Anderson, M.J., Ellingsen, K.E., McArdle, B.H., 2006. Multivariate dispersion as a measure of beta diversity. Ecol. Lett. 9, 683–693. </w:t>
      </w:r>
      <w:hyperlink r:id="rId7">
        <w:r w:rsidR="00DB2A07" w:rsidRPr="00ED72A1">
          <w:rPr>
            <w:rFonts w:cs="Times New Roman"/>
            <w:bCs/>
            <w:sz w:val="22"/>
            <w:u w:val="single"/>
          </w:rPr>
          <w:t>https://doi.org/10.1111/j.1461-0248.2006.00926.x</w:t>
        </w:r>
      </w:hyperlink>
    </w:p>
    <w:p w14:paraId="194A3441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Baselga, A., 2010. </w:t>
      </w:r>
      <w:proofErr w:type="gramStart"/>
      <w:r w:rsidRPr="00ED72A1">
        <w:rPr>
          <w:rFonts w:cs="Times New Roman"/>
          <w:bCs/>
          <w:color w:val="000000"/>
          <w:sz w:val="22"/>
        </w:rPr>
        <w:t>Partitioning</w:t>
      </w:r>
      <w:proofErr w:type="gramEnd"/>
      <w:r w:rsidRPr="00ED72A1">
        <w:rPr>
          <w:rFonts w:cs="Times New Roman"/>
          <w:bCs/>
          <w:color w:val="000000"/>
          <w:sz w:val="22"/>
        </w:rPr>
        <w:t xml:space="preserve"> the turnover and nestedness components of beta diversity. Glob. Ecol. Biogeogr. 19, 134–143. </w:t>
      </w:r>
      <w:hyperlink r:id="rId8">
        <w:r w:rsidR="00DB2A07" w:rsidRPr="00ED72A1">
          <w:rPr>
            <w:rFonts w:cs="Times New Roman"/>
            <w:bCs/>
            <w:sz w:val="22"/>
            <w:u w:val="single"/>
          </w:rPr>
          <w:t>https://doi.org/10.1111/j.1466-8238.2009.00490.x</w:t>
        </w:r>
      </w:hyperlink>
    </w:p>
    <w:p w14:paraId="4EC35E28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>Bhattacharyya, A., 1943. On a measure of divergence between two statistical populations defined by their probability distributions. Bull. Calcutta Math. Soc. 35, 99–109.</w:t>
      </w:r>
    </w:p>
    <w:p w14:paraId="37FFF561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Bray, J.R., Curtis, J.T., 1957. An ordination of the upland forest communities of southern Wisconsin. Ecol. Monogr. 27, 325–349. </w:t>
      </w:r>
      <w:hyperlink r:id="rId9">
        <w:r w:rsidR="00DB2A07" w:rsidRPr="00ED72A1">
          <w:rPr>
            <w:rFonts w:cs="Times New Roman"/>
            <w:bCs/>
            <w:sz w:val="22"/>
            <w:u w:val="single"/>
          </w:rPr>
          <w:t>https://doi.org/10.2307/1942268</w:t>
        </w:r>
      </w:hyperlink>
    </w:p>
    <w:p w14:paraId="717563B3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Brown, W., 1910. Some experimental results in the correlation of mental abilities. Br. J. Psychol. 3, 296–322. </w:t>
      </w:r>
      <w:hyperlink r:id="rId10">
        <w:r w:rsidR="00DB2A07" w:rsidRPr="00ED72A1">
          <w:rPr>
            <w:rFonts w:cs="Times New Roman"/>
            <w:bCs/>
            <w:sz w:val="22"/>
            <w:u w:val="single"/>
          </w:rPr>
          <w:t>https://doi.org/10.1111/j.2044-8295.1910.tb00207.x</w:t>
        </w:r>
      </w:hyperlink>
    </w:p>
    <w:p w14:paraId="3F7EC596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Cao, Y., Hawkins, C.P., 2011. The comparability of bioassessments: a review of conceptual and methodological issues. J. N. Am. Benthol. Soc. 30, 680–701. </w:t>
      </w:r>
      <w:hyperlink r:id="rId11">
        <w:r w:rsidR="00DB2A07" w:rsidRPr="00ED72A1">
          <w:rPr>
            <w:rFonts w:cs="Times New Roman"/>
            <w:bCs/>
            <w:sz w:val="22"/>
            <w:u w:val="single"/>
          </w:rPr>
          <w:t>https://doi.org/10.1899/10-067.1</w:t>
        </w:r>
      </w:hyperlink>
    </w:p>
    <w:p w14:paraId="7D6ED332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>Cha, S.-H., 2007. Comprehensive survey on distance/similarity measures between probability density functions. Int. J. Math. Models Methods Appl. Sci. 1, 300–307.</w:t>
      </w:r>
    </w:p>
    <w:p w14:paraId="1FA91EDA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Chase, J.M., Kraft, N.J.B., Smith, K.G., Vellend, M., Inouye, B.D., 2011. Using null models to disentangle variation in community dissimilarity from variation in α-diversity. Ecosphere 2, art24. </w:t>
      </w:r>
      <w:hyperlink r:id="rId12">
        <w:r w:rsidR="00DB2A07" w:rsidRPr="00ED72A1">
          <w:rPr>
            <w:rFonts w:cs="Times New Roman"/>
            <w:bCs/>
            <w:sz w:val="22"/>
            <w:u w:val="single"/>
          </w:rPr>
          <w:t>https://doi.org/10.1890/ES10-00117.1</w:t>
        </w:r>
      </w:hyperlink>
    </w:p>
    <w:p w14:paraId="36114413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Cho, I.-H., Kim, H.-K., Lee, M.-H., Kim, Y.-J., Lee, H., Kim, B.-H., 2020. The effect of monsoon rainfall patterns on epilithic diatom communities in the Hantangang River, Korea. Water 12, 1471. </w:t>
      </w:r>
      <w:hyperlink r:id="rId13">
        <w:r w:rsidR="00DB2A07" w:rsidRPr="00ED72A1">
          <w:rPr>
            <w:rFonts w:cs="Times New Roman"/>
            <w:bCs/>
            <w:sz w:val="22"/>
            <w:u w:val="single"/>
          </w:rPr>
          <w:t>https://doi.org/10.3390/w12051471</w:t>
        </w:r>
      </w:hyperlink>
    </w:p>
    <w:p w14:paraId="4F6D4D31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Gotelli, N.J., 2000. Null model analysis of species co-occurrence patterns. Ecology 81, 2606–2621. </w:t>
      </w:r>
      <w:hyperlink r:id="rId14">
        <w:r w:rsidR="00DB2A07" w:rsidRPr="00ED72A1">
          <w:rPr>
            <w:rFonts w:cs="Times New Roman"/>
            <w:bCs/>
            <w:sz w:val="22"/>
            <w:u w:val="single"/>
          </w:rPr>
          <w:t>https://doi.org/10.1890/0012-9658(2000)081[2606:NMAOSC]2.0.CO;2</w:t>
        </w:r>
      </w:hyperlink>
    </w:p>
    <w:p w14:paraId="2F3724CC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>Gotelli, N.J., Graves, G.R., 1996. Null Models in Ecology. Smithsonian Institution Press, Washington, DC.</w:t>
      </w:r>
    </w:p>
    <w:p w14:paraId="718B7156" w14:textId="77777777" w:rsidR="00B93E06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lastRenderedPageBreak/>
        <w:t xml:space="preserve">Haase, P., Bowler, D.E., Baker, N.J., Bonada, N., Domisch, S., Garcia Marquez, J.R., Heino, J., et al., 2023. The recovery of European freshwater biodiversity has come to a halt. Nature 620, 582-588. </w:t>
      </w:r>
      <w:hyperlink r:id="rId15">
        <w:r w:rsidR="00B93E06" w:rsidRPr="00ED72A1">
          <w:rPr>
            <w:rFonts w:cs="Times New Roman"/>
            <w:bCs/>
            <w:sz w:val="22"/>
            <w:u w:val="single"/>
          </w:rPr>
          <w:t>https://doi.org/10.1038/s41586-023-06400-1</w:t>
        </w:r>
      </w:hyperlink>
    </w:p>
    <w:p w14:paraId="0D87D82C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Hwang, E.-A., Cho, I.-H., Kim, H.-K., Yi, C., Kim, B.-H., 2023. The relationship between rainfall pattern and epilithic diatoms in four streams of central-western Korea for three years (2013–2015). Int. J. Environ. Res. Public Health 20, 4099. </w:t>
      </w:r>
      <w:hyperlink r:id="rId16">
        <w:r w:rsidR="00DB2A07" w:rsidRPr="00ED72A1">
          <w:rPr>
            <w:rFonts w:cs="Times New Roman"/>
            <w:bCs/>
            <w:sz w:val="22"/>
            <w:u w:val="single"/>
          </w:rPr>
          <w:t>https://doi.org/10.3390/ijerph20054099</w:t>
        </w:r>
      </w:hyperlink>
    </w:p>
    <w:p w14:paraId="2F7CC110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Korea Meteorological Administration, 2026. Automated Synoptic Observation System (ASOS) surface weather observation data, 2011-2023 [Dataset]. Open MET Data Portal, Korea Meteorological Administration, Seoul, Republic of Korea. </w:t>
      </w:r>
      <w:hyperlink r:id="rId17">
        <w:r w:rsidR="00DB2A07" w:rsidRPr="00ED72A1">
          <w:rPr>
            <w:rFonts w:cs="Times New Roman"/>
            <w:bCs/>
            <w:sz w:val="22"/>
            <w:u w:val="single"/>
          </w:rPr>
          <w:t>https://data.kma.go.kr/data/grnd/selectAsosRltmList.do?pgmNo=36</w:t>
        </w:r>
      </w:hyperlink>
      <w:r w:rsidRPr="00ED72A1">
        <w:rPr>
          <w:rFonts w:cs="Times New Roman"/>
          <w:bCs/>
          <w:color w:val="000000"/>
          <w:sz w:val="22"/>
        </w:rPr>
        <w:t xml:space="preserve"> (accessed 2 June 2026)</w:t>
      </w:r>
    </w:p>
    <w:p w14:paraId="60075BAD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Lee, J.-H., Kim, H.G., Han, B.-H., Cho, I.-H., Kim, H.-K., Hwang, E.-A., Hwang, S.-O., Kim, B.-H., 2026. Trait-environment diagnosis of ecological instability in Korean streams using benthic diatoms and machine learning: a UMAP-CDI framework. Aquat. Sci. 88, 81. </w:t>
      </w:r>
      <w:hyperlink r:id="rId18">
        <w:r w:rsidR="00DB2A07" w:rsidRPr="00ED72A1">
          <w:rPr>
            <w:rFonts w:cs="Times New Roman"/>
            <w:bCs/>
            <w:sz w:val="22"/>
            <w:u w:val="single"/>
          </w:rPr>
          <w:t>https://doi.org/10.1007/s00027-026-01312-4</w:t>
        </w:r>
      </w:hyperlink>
    </w:p>
    <w:p w14:paraId="1554E606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Lee, S.-W., Hwang, S.-J., Lee, J.-K., Jung, D.-I., Park, Y.-J., Kim, J.-T., 2011. Overview and application of the National Aquatic Ecological Monitoring Program (NAEMP) in Korea. Ann. Limnol. - Int. J. Limnol. 47, S3–S14. </w:t>
      </w:r>
      <w:hyperlink r:id="rId19">
        <w:r w:rsidR="00DB2A07" w:rsidRPr="00ED72A1">
          <w:rPr>
            <w:rFonts w:cs="Times New Roman"/>
            <w:bCs/>
            <w:sz w:val="22"/>
            <w:u w:val="single"/>
          </w:rPr>
          <w:t>https://doi.org/10.1051/limn/2011018</w:t>
        </w:r>
      </w:hyperlink>
    </w:p>
    <w:p w14:paraId="7509366A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Legendre, P., De Caceres, M., 2013. Beta diversity as the variance of community data: Dissimilarity coefficients and partitioning. Ecol. Lett. 16, 951–963. </w:t>
      </w:r>
      <w:hyperlink r:id="rId20">
        <w:r w:rsidR="00DB2A07" w:rsidRPr="00ED72A1">
          <w:rPr>
            <w:rFonts w:cs="Times New Roman"/>
            <w:bCs/>
            <w:sz w:val="22"/>
            <w:u w:val="single"/>
          </w:rPr>
          <w:t>https://doi.org/10.1111/ele.12141</w:t>
        </w:r>
      </w:hyperlink>
    </w:p>
    <w:p w14:paraId="7D797039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Legendre, P., Gallagher, E.D., 2001. Ecologically meaningful transformations for ordination of species data. Oecologia 129, 271–280. </w:t>
      </w:r>
      <w:hyperlink r:id="rId21">
        <w:r w:rsidR="00DB2A07" w:rsidRPr="00ED72A1">
          <w:rPr>
            <w:rFonts w:cs="Times New Roman"/>
            <w:bCs/>
            <w:sz w:val="22"/>
            <w:u w:val="single"/>
          </w:rPr>
          <w:t>https://doi.org/10.1007/s004420100716</w:t>
        </w:r>
      </w:hyperlink>
    </w:p>
    <w:p w14:paraId="36D33451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Magoulick, D.D., Kobza, R.M., 2003. The role of refugia for fishes during drought: a review and synthesis. Freshw. Biol. 48, 1186–1198. </w:t>
      </w:r>
      <w:hyperlink r:id="rId22">
        <w:r w:rsidR="00DB2A07" w:rsidRPr="00ED72A1">
          <w:rPr>
            <w:rFonts w:cs="Times New Roman"/>
            <w:bCs/>
            <w:sz w:val="22"/>
            <w:u w:val="single"/>
          </w:rPr>
          <w:t>https://doi.org/10.1046/j.1365-2427.2003.01089.x</w:t>
        </w:r>
      </w:hyperlink>
    </w:p>
    <w:p w14:paraId="5F8AD9C5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>Manly, B.F.J., 2007. Randomization, Bootstrap and Monte Carlo Methods in Biology, 3rd ed. Chapman &amp; Hall/CRC, Boca Raton, FL.</w:t>
      </w:r>
    </w:p>
    <w:p w14:paraId="6CD14C4E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>Rao, C.R., 1995. A review of canonical coordinates and an alternative to correspondence analysis using Hellinger distance. Qüestiió 19, 23–63.</w:t>
      </w:r>
    </w:p>
    <w:p w14:paraId="34694233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>Raup, D.M., Crick, R.E., 1979. Measurement of faunal similarity in paleontology. J. Paleontol. 53, 1213–1227.</w:t>
      </w:r>
    </w:p>
    <w:p w14:paraId="451D6DBA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Sedell, J.R., Reeves, G.H., Hauer, F.R., Stanford, J.A., Hawkins, C.P., 1990. Role of refugia in recovery from disturbances: modern fragmented and disconnected river systems. Environ. Manag. 14, 711–724. </w:t>
      </w:r>
      <w:hyperlink r:id="rId23">
        <w:r w:rsidR="00DB2A07" w:rsidRPr="00ED72A1">
          <w:rPr>
            <w:rFonts w:cs="Times New Roman"/>
            <w:bCs/>
            <w:sz w:val="22"/>
            <w:u w:val="single"/>
          </w:rPr>
          <w:t>https://doi.org/10.1007/BF02394720</w:t>
        </w:r>
      </w:hyperlink>
    </w:p>
    <w:p w14:paraId="15075230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Spearman, C., 1910. Correlation calculated from faulty data. Br. J. Psychol. 3, 271–295. </w:t>
      </w:r>
      <w:hyperlink r:id="rId24">
        <w:r w:rsidR="00DB2A07" w:rsidRPr="00ED72A1">
          <w:rPr>
            <w:rFonts w:cs="Times New Roman"/>
            <w:bCs/>
            <w:sz w:val="22"/>
            <w:u w:val="single"/>
          </w:rPr>
          <w:t>https://doi.org/10.1111/j.2044-8295.1910.tb00206.x</w:t>
        </w:r>
      </w:hyperlink>
    </w:p>
    <w:p w14:paraId="54E8B834" w14:textId="77777777" w:rsidR="00DB2A07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Stoddard, J.L., Herlihy, A.T., Peck, D.V., Hughes, R.M., Whittier, T.R., Tarquinio, E., 2008. A process for creating multimetric indices for large-scale aquatic surveys. J. N. Am. Benthol. Soc. 27, 878–891. </w:t>
      </w:r>
      <w:hyperlink r:id="rId25">
        <w:r w:rsidR="00DB2A07" w:rsidRPr="00ED72A1">
          <w:rPr>
            <w:rFonts w:cs="Times New Roman"/>
            <w:bCs/>
            <w:sz w:val="22"/>
            <w:u w:val="single"/>
          </w:rPr>
          <w:t>https://doi.org/10.1899/08-053.1</w:t>
        </w:r>
      </w:hyperlink>
    </w:p>
    <w:p w14:paraId="7EEF88A4" w14:textId="77777777" w:rsidR="00B93E06" w:rsidRPr="00ED72A1" w:rsidRDefault="00000000" w:rsidP="0022591E">
      <w:pPr>
        <w:spacing w:after="120"/>
        <w:rPr>
          <w:rFonts w:cs="Times New Roman"/>
          <w:bCs/>
          <w:sz w:val="22"/>
        </w:rPr>
      </w:pPr>
      <w:r w:rsidRPr="00ED72A1">
        <w:rPr>
          <w:rFonts w:cs="Times New Roman"/>
          <w:bCs/>
          <w:color w:val="000000"/>
          <w:sz w:val="22"/>
        </w:rPr>
        <w:t xml:space="preserve">Tickner, D., Opperman, J.J., Abell, R., Acreman, M., Arthington, A.H., Bunn, S.E., Cooke, S.J., et al., 2020. Bending the curve of global freshwater biodiversity loss: An emergency recovery plan. BioScience 70, 330-342. </w:t>
      </w:r>
      <w:hyperlink r:id="rId26">
        <w:r w:rsidR="00B93E06" w:rsidRPr="00ED72A1">
          <w:rPr>
            <w:rFonts w:cs="Times New Roman"/>
            <w:bCs/>
            <w:sz w:val="22"/>
            <w:u w:val="single"/>
          </w:rPr>
          <w:t>https://doi.org/10.1093/biosci/biaa002</w:t>
        </w:r>
      </w:hyperlink>
    </w:p>
    <w:sectPr w:rsidR="00B93E06" w:rsidRPr="00ED72A1" w:rsidSect="001856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2929176">
    <w:abstractNumId w:val="8"/>
  </w:num>
  <w:num w:numId="2" w16cid:durableId="1027022704">
    <w:abstractNumId w:val="6"/>
  </w:num>
  <w:num w:numId="3" w16cid:durableId="1405058544">
    <w:abstractNumId w:val="5"/>
  </w:num>
  <w:num w:numId="4" w16cid:durableId="1534881163">
    <w:abstractNumId w:val="4"/>
  </w:num>
  <w:num w:numId="5" w16cid:durableId="489565126">
    <w:abstractNumId w:val="7"/>
  </w:num>
  <w:num w:numId="6" w16cid:durableId="963147891">
    <w:abstractNumId w:val="3"/>
  </w:num>
  <w:num w:numId="7" w16cid:durableId="2025861584">
    <w:abstractNumId w:val="2"/>
  </w:num>
  <w:num w:numId="8" w16cid:durableId="2137794896">
    <w:abstractNumId w:val="1"/>
  </w:num>
  <w:num w:numId="9" w16cid:durableId="76435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1D5E"/>
    <w:rsid w:val="0015074B"/>
    <w:rsid w:val="0018569A"/>
    <w:rsid w:val="0022591E"/>
    <w:rsid w:val="0029639D"/>
    <w:rsid w:val="00303D2B"/>
    <w:rsid w:val="00326F90"/>
    <w:rsid w:val="004004A9"/>
    <w:rsid w:val="00457E90"/>
    <w:rsid w:val="00534CE7"/>
    <w:rsid w:val="00763A60"/>
    <w:rsid w:val="00775679"/>
    <w:rsid w:val="008C4F63"/>
    <w:rsid w:val="0090799F"/>
    <w:rsid w:val="00A72302"/>
    <w:rsid w:val="00AA1D8D"/>
    <w:rsid w:val="00AA5C7B"/>
    <w:rsid w:val="00B47730"/>
    <w:rsid w:val="00B93E06"/>
    <w:rsid w:val="00CB0664"/>
    <w:rsid w:val="00D25E40"/>
    <w:rsid w:val="00D32706"/>
    <w:rsid w:val="00DB2A07"/>
    <w:rsid w:val="00ED72A1"/>
    <w:rsid w:val="00F318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148DEE"/>
  <w14:defaultImageDpi w14:val="300"/>
  <w15:docId w15:val="{5AF47129-A68A-4619-A151-127C9A47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466-8238.2009.00490.x" TargetMode="External"/><Relationship Id="rId13" Type="http://schemas.openxmlformats.org/officeDocument/2006/relationships/hyperlink" Target="https://doi.org/10.3390/w12051471" TargetMode="External"/><Relationship Id="rId18" Type="http://schemas.openxmlformats.org/officeDocument/2006/relationships/hyperlink" Target="https://doi.org/10.1007/s00027-026-01312-4" TargetMode="External"/><Relationship Id="rId26" Type="http://schemas.openxmlformats.org/officeDocument/2006/relationships/hyperlink" Target="https://doi.org/10.1093/biosci/biaa0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07/s004420100716" TargetMode="External"/><Relationship Id="rId7" Type="http://schemas.openxmlformats.org/officeDocument/2006/relationships/hyperlink" Target="https://doi.org/10.1111/j.1461-0248.2006.00926.x" TargetMode="External"/><Relationship Id="rId12" Type="http://schemas.openxmlformats.org/officeDocument/2006/relationships/hyperlink" Target="https://doi.org/10.1890/ES10-00117.1" TargetMode="External"/><Relationship Id="rId17" Type="http://schemas.openxmlformats.org/officeDocument/2006/relationships/hyperlink" Target="https://data.kma.go.kr/data/grnd/selectAsosRltmList.do?pgmNo=36" TargetMode="External"/><Relationship Id="rId25" Type="http://schemas.openxmlformats.org/officeDocument/2006/relationships/hyperlink" Target="https://doi.org/10.1899/08-053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ijerph20054099" TargetMode="External"/><Relationship Id="rId20" Type="http://schemas.openxmlformats.org/officeDocument/2006/relationships/hyperlink" Target="https://doi.org/10.1111/ele.121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11/j.1442-9993.2001.01070.pp.x" TargetMode="External"/><Relationship Id="rId11" Type="http://schemas.openxmlformats.org/officeDocument/2006/relationships/hyperlink" Target="https://doi.org/10.1899/10-067.1" TargetMode="External"/><Relationship Id="rId24" Type="http://schemas.openxmlformats.org/officeDocument/2006/relationships/hyperlink" Target="https://doi.org/10.1111/j.2044-8295.1910.tb00206.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38/s41586-023-06400-1" TargetMode="External"/><Relationship Id="rId23" Type="http://schemas.openxmlformats.org/officeDocument/2006/relationships/hyperlink" Target="https://doi.org/10.1007/BF023947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i.org/10.1111/j.2044-8295.1910.tb00207.x" TargetMode="External"/><Relationship Id="rId19" Type="http://schemas.openxmlformats.org/officeDocument/2006/relationships/hyperlink" Target="https://doi.org/10.1051/limn/2011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307/1942268" TargetMode="External"/><Relationship Id="rId14" Type="http://schemas.openxmlformats.org/officeDocument/2006/relationships/hyperlink" Target="https://doi.org/10.1890/0012-9658(2000)081%5b2606:NMAOSC%5d2.0.CO;2" TargetMode="External"/><Relationship Id="rId22" Type="http://schemas.openxmlformats.org/officeDocument/2006/relationships/hyperlink" Target="https://doi.org/10.1046/j.1365-2427.2003.01089.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3596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- Decoupled biological memories across aquatic assemblages in Korean streams: a multi-taxon Community Dynamics Index approach</dc:title>
  <dc:subject/>
  <dc:creator>python-docx</dc:creator>
  <cp:keywords/>
  <dc:description>generated by python-docx</dc:description>
  <cp:lastModifiedBy>김백호</cp:lastModifiedBy>
  <cp:revision>12</cp:revision>
  <dcterms:created xsi:type="dcterms:W3CDTF">2013-12-23T23:15:00Z</dcterms:created>
  <dcterms:modified xsi:type="dcterms:W3CDTF">2026-06-19T05:27:00Z</dcterms:modified>
  <cp:category/>
</cp:coreProperties>
</file>