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Title: </w:t>
      </w:r>
      <w:r w:rsidDel="00000000" w:rsidR="00000000" w:rsidRPr="00000000">
        <w:rPr>
          <w:rFonts w:ascii="Times New Roman" w:cs="Times New Roman" w:eastAsia="Times New Roman" w:hAnsi="Times New Roman"/>
          <w:sz w:val="22"/>
          <w:szCs w:val="22"/>
          <w:rtl w:val="0"/>
        </w:rPr>
        <w:t xml:space="preserve">Assessing the Prognostic Value of Preoperative Paraspinal Muscle MRI in Patients Undergoing Lumbar Spine Discectomy: A Single-center Experience</w:t>
      </w:r>
    </w:p>
    <w:p w:rsidR="00000000" w:rsidDel="00000000" w:rsidP="00000000" w:rsidRDefault="00000000" w:rsidRPr="00000000" w14:paraId="00000002">
      <w:pPr>
        <w:spacing w:after="0" w:line="276"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3">
      <w:pPr>
        <w:spacing w:after="0"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Journal name: </w:t>
      </w:r>
      <w:r w:rsidDel="00000000" w:rsidR="00000000" w:rsidRPr="00000000">
        <w:rPr>
          <w:rtl w:val="0"/>
        </w:rPr>
      </w:r>
    </w:p>
    <w:p w:rsidR="00000000" w:rsidDel="00000000" w:rsidP="00000000" w:rsidRDefault="00000000" w:rsidRPr="00000000" w14:paraId="00000004">
      <w:pPr>
        <w:spacing w:after="240" w:before="240" w:line="36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Authors: </w:t>
      </w:r>
      <w:r w:rsidDel="00000000" w:rsidR="00000000" w:rsidRPr="00000000">
        <w:rPr>
          <w:rFonts w:ascii="Times New Roman" w:cs="Times New Roman" w:eastAsia="Times New Roman" w:hAnsi="Times New Roman"/>
          <w:sz w:val="22"/>
          <w:szCs w:val="22"/>
          <w:rtl w:val="0"/>
        </w:rPr>
        <w:t xml:space="preserve">Ali Tarik Abdul Wahid</w:t>
      </w:r>
      <w:r w:rsidDel="00000000" w:rsidR="00000000" w:rsidRPr="00000000">
        <w:rPr>
          <w:rFonts w:ascii="Times New Roman" w:cs="Times New Roman" w:eastAsia="Times New Roman" w:hAnsi="Times New Roman"/>
          <w:sz w:val="22"/>
          <w:szCs w:val="22"/>
          <w:vertAlign w:val="superscript"/>
          <w:rtl w:val="0"/>
        </w:rPr>
        <w:t xml:space="preserve">1</w:t>
      </w:r>
      <w:r w:rsidDel="00000000" w:rsidR="00000000" w:rsidRPr="00000000">
        <w:rPr>
          <w:rFonts w:ascii="Times New Roman" w:cs="Times New Roman" w:eastAsia="Times New Roman" w:hAnsi="Times New Roman"/>
          <w:sz w:val="22"/>
          <w:szCs w:val="22"/>
          <w:rtl w:val="0"/>
        </w:rPr>
        <w:t xml:space="preserve">, MD; Murtaja Satea Shafeea</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 MD; Guilherme Linha Secco</w:t>
      </w:r>
      <w:r w:rsidDel="00000000" w:rsidR="00000000" w:rsidRPr="00000000">
        <w:rPr>
          <w:rFonts w:ascii="Times New Roman" w:cs="Times New Roman" w:eastAsia="Times New Roman" w:hAnsi="Times New Roman"/>
          <w:sz w:val="22"/>
          <w:szCs w:val="22"/>
          <w:vertAlign w:val="superscript"/>
          <w:rtl w:val="0"/>
        </w:rPr>
        <w:t xml:space="preserve">3</w:t>
      </w:r>
      <w:r w:rsidDel="00000000" w:rsidR="00000000" w:rsidRPr="00000000">
        <w:rPr>
          <w:rFonts w:ascii="Times New Roman" w:cs="Times New Roman" w:eastAsia="Times New Roman" w:hAnsi="Times New Roman"/>
          <w:sz w:val="22"/>
          <w:szCs w:val="22"/>
          <w:rtl w:val="0"/>
        </w:rPr>
        <w:t xml:space="preserve">, MS; Victor Arthur Ohannesian</w:t>
      </w:r>
      <w:r w:rsidDel="00000000" w:rsidR="00000000" w:rsidRPr="00000000">
        <w:rPr>
          <w:rFonts w:ascii="Times New Roman" w:cs="Times New Roman" w:eastAsia="Times New Roman" w:hAnsi="Times New Roman"/>
          <w:sz w:val="22"/>
          <w:szCs w:val="22"/>
          <w:vertAlign w:val="superscript"/>
          <w:rtl w:val="0"/>
        </w:rPr>
        <w:t xml:space="preserve">4</w:t>
      </w:r>
      <w:r w:rsidDel="00000000" w:rsidR="00000000" w:rsidRPr="00000000">
        <w:rPr>
          <w:rFonts w:ascii="Times New Roman" w:cs="Times New Roman" w:eastAsia="Times New Roman" w:hAnsi="Times New Roman"/>
          <w:sz w:val="22"/>
          <w:szCs w:val="22"/>
          <w:rtl w:val="0"/>
        </w:rPr>
        <w:t xml:space="preserve">, MD; Noor Husain</w:t>
      </w:r>
      <w:r w:rsidDel="00000000" w:rsidR="00000000" w:rsidRPr="00000000">
        <w:rPr>
          <w:rFonts w:ascii="Times New Roman" w:cs="Times New Roman" w:eastAsia="Times New Roman" w:hAnsi="Times New Roman"/>
          <w:sz w:val="22"/>
          <w:szCs w:val="22"/>
          <w:vertAlign w:val="superscript"/>
          <w:rtl w:val="0"/>
        </w:rPr>
        <w:t xml:space="preserve">5</w:t>
      </w:r>
      <w:r w:rsidDel="00000000" w:rsidR="00000000" w:rsidRPr="00000000">
        <w:rPr>
          <w:rFonts w:ascii="Times New Roman" w:cs="Times New Roman" w:eastAsia="Times New Roman" w:hAnsi="Times New Roman"/>
          <w:sz w:val="22"/>
          <w:szCs w:val="22"/>
          <w:rtl w:val="0"/>
        </w:rPr>
        <w:t xml:space="preserve">, MD; Enzo von Quednow</w:t>
      </w:r>
      <w:r w:rsidDel="00000000" w:rsidR="00000000" w:rsidRPr="00000000">
        <w:rPr>
          <w:rFonts w:ascii="Times New Roman" w:cs="Times New Roman" w:eastAsia="Times New Roman" w:hAnsi="Times New Roman"/>
          <w:sz w:val="22"/>
          <w:szCs w:val="22"/>
          <w:vertAlign w:val="superscript"/>
          <w:rtl w:val="0"/>
        </w:rPr>
        <w:t xml:space="preserve">6</w:t>
      </w:r>
      <w:r w:rsidDel="00000000" w:rsidR="00000000" w:rsidRPr="00000000">
        <w:rPr>
          <w:rFonts w:ascii="Times New Roman" w:cs="Times New Roman" w:eastAsia="Times New Roman" w:hAnsi="Times New Roman"/>
          <w:sz w:val="22"/>
          <w:szCs w:val="22"/>
          <w:rtl w:val="0"/>
        </w:rPr>
        <w:t xml:space="preserve">, MD; Luis Gustavo Biondi Soares</w:t>
      </w:r>
      <w:r w:rsidDel="00000000" w:rsidR="00000000" w:rsidRPr="00000000">
        <w:rPr>
          <w:rFonts w:ascii="Times New Roman" w:cs="Times New Roman" w:eastAsia="Times New Roman" w:hAnsi="Times New Roman"/>
          <w:sz w:val="22"/>
          <w:szCs w:val="22"/>
          <w:vertAlign w:val="superscript"/>
          <w:rtl w:val="0"/>
        </w:rPr>
        <w:t xml:space="preserve">7</w:t>
      </w:r>
      <w:r w:rsidDel="00000000" w:rsidR="00000000" w:rsidRPr="00000000">
        <w:rPr>
          <w:rFonts w:ascii="Times New Roman" w:cs="Times New Roman" w:eastAsia="Times New Roman" w:hAnsi="Times New Roman"/>
          <w:sz w:val="22"/>
          <w:szCs w:val="22"/>
          <w:rtl w:val="0"/>
        </w:rPr>
        <w:t xml:space="preserve">, MD; Felipe Salvagni</w:t>
      </w:r>
      <w:r w:rsidDel="00000000" w:rsidR="00000000" w:rsidRPr="00000000">
        <w:rPr>
          <w:rFonts w:ascii="Times New Roman" w:cs="Times New Roman" w:eastAsia="Times New Roman" w:hAnsi="Times New Roman"/>
          <w:sz w:val="22"/>
          <w:szCs w:val="22"/>
          <w:vertAlign w:val="superscript"/>
          <w:rtl w:val="0"/>
        </w:rPr>
        <w:t xml:space="preserve">8</w:t>
      </w:r>
      <w:r w:rsidDel="00000000" w:rsidR="00000000" w:rsidRPr="00000000">
        <w:rPr>
          <w:rFonts w:ascii="Times New Roman" w:cs="Times New Roman" w:eastAsia="Times New Roman" w:hAnsi="Times New Roman"/>
          <w:sz w:val="22"/>
          <w:szCs w:val="22"/>
          <w:rtl w:val="0"/>
        </w:rPr>
        <w:t xml:space="preserve">, MD; Pedro Vitor Maia Bettini Brito</w:t>
      </w:r>
      <w:r w:rsidDel="00000000" w:rsidR="00000000" w:rsidRPr="00000000">
        <w:rPr>
          <w:rFonts w:ascii="Times New Roman" w:cs="Times New Roman" w:eastAsia="Times New Roman" w:hAnsi="Times New Roman"/>
          <w:sz w:val="22"/>
          <w:szCs w:val="22"/>
          <w:vertAlign w:val="superscript"/>
          <w:rtl w:val="0"/>
        </w:rPr>
        <w:t xml:space="preserve">9</w:t>
      </w:r>
      <w:r w:rsidDel="00000000" w:rsidR="00000000" w:rsidRPr="00000000">
        <w:rPr>
          <w:rFonts w:ascii="Times New Roman" w:cs="Times New Roman" w:eastAsia="Times New Roman" w:hAnsi="Times New Roman"/>
          <w:sz w:val="22"/>
          <w:szCs w:val="22"/>
          <w:rtl w:val="0"/>
        </w:rPr>
        <w:t xml:space="preserve">, MS; Pedro Henrique Karpinski</w:t>
      </w:r>
      <w:r w:rsidDel="00000000" w:rsidR="00000000" w:rsidRPr="00000000">
        <w:rPr>
          <w:rFonts w:ascii="Times New Roman" w:cs="Times New Roman" w:eastAsia="Times New Roman" w:hAnsi="Times New Roman"/>
          <w:sz w:val="22"/>
          <w:szCs w:val="22"/>
          <w:vertAlign w:val="superscript"/>
          <w:rtl w:val="0"/>
        </w:rPr>
        <w:t xml:space="preserve">10</w:t>
      </w:r>
      <w:r w:rsidDel="00000000" w:rsidR="00000000" w:rsidRPr="00000000">
        <w:rPr>
          <w:rFonts w:ascii="Times New Roman" w:cs="Times New Roman" w:eastAsia="Times New Roman" w:hAnsi="Times New Roman"/>
          <w:sz w:val="22"/>
          <w:szCs w:val="22"/>
          <w:rtl w:val="0"/>
        </w:rPr>
        <w:t xml:space="preserve">, MS; Luana Martins de Oliveira</w:t>
      </w:r>
      <w:r w:rsidDel="00000000" w:rsidR="00000000" w:rsidRPr="00000000">
        <w:rPr>
          <w:rFonts w:ascii="Times New Roman" w:cs="Times New Roman" w:eastAsia="Times New Roman" w:hAnsi="Times New Roman"/>
          <w:sz w:val="22"/>
          <w:szCs w:val="22"/>
          <w:vertAlign w:val="superscript"/>
          <w:rtl w:val="0"/>
        </w:rPr>
        <w:t xml:space="preserve">11</w:t>
      </w:r>
      <w:r w:rsidDel="00000000" w:rsidR="00000000" w:rsidRPr="00000000">
        <w:rPr>
          <w:rFonts w:ascii="Times New Roman" w:cs="Times New Roman" w:eastAsia="Times New Roman" w:hAnsi="Times New Roman"/>
          <w:sz w:val="22"/>
          <w:szCs w:val="22"/>
          <w:rtl w:val="0"/>
        </w:rPr>
        <w:t xml:space="preserve">, MS</w:t>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Affiliations:</w:t>
      </w:r>
    </w:p>
    <w:p w:rsidR="00000000" w:rsidDel="00000000" w:rsidP="00000000" w:rsidRDefault="00000000" w:rsidRPr="00000000" w14:paraId="00000006">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Ali Tarik Abdul Wahid</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Murtaja Satea</w:t>
      </w:r>
      <w:r w:rsidDel="00000000" w:rsidR="00000000" w:rsidRPr="00000000">
        <w:rPr>
          <w:rFonts w:ascii="Times New Roman" w:cs="Times New Roman" w:eastAsia="Times New Roman" w:hAnsi="Times New Roman"/>
          <w:sz w:val="20"/>
          <w:szCs w:val="20"/>
          <w:vertAlign w:val="superscript"/>
          <w:rtl w:val="0"/>
        </w:rPr>
        <w:t xml:space="preserve">2,8,#,*</w:t>
      </w:r>
      <w:r w:rsidDel="00000000" w:rsidR="00000000" w:rsidRPr="00000000">
        <w:rPr>
          <w:rFonts w:ascii="Times New Roman" w:cs="Times New Roman" w:eastAsia="Times New Roman" w:hAnsi="Times New Roman"/>
          <w:sz w:val="20"/>
          <w:szCs w:val="20"/>
          <w:rtl w:val="0"/>
        </w:rPr>
        <w:t xml:space="preserve">; Guilherme Linha Secco</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Victor Arthur Ohannesian</w:t>
      </w:r>
      <w:r w:rsidDel="00000000" w:rsidR="00000000" w:rsidRPr="00000000">
        <w:rPr>
          <w:rFonts w:ascii="Times New Roman" w:cs="Times New Roman" w:eastAsia="Times New Roman" w:hAnsi="Times New Roman"/>
          <w:sz w:val="20"/>
          <w:szCs w:val="20"/>
          <w:vertAlign w:val="superscript"/>
          <w:rtl w:val="0"/>
        </w:rPr>
        <w:t xml:space="preserve">4</w:t>
      </w:r>
      <w:r w:rsidDel="00000000" w:rsidR="00000000" w:rsidRPr="00000000">
        <w:rPr>
          <w:rFonts w:ascii="Times New Roman" w:cs="Times New Roman" w:eastAsia="Times New Roman" w:hAnsi="Times New Roman"/>
          <w:sz w:val="20"/>
          <w:szCs w:val="20"/>
          <w:rtl w:val="0"/>
        </w:rPr>
        <w:t xml:space="preserve">; Noor Husain</w:t>
      </w:r>
      <w:r w:rsidDel="00000000" w:rsidR="00000000" w:rsidRPr="00000000">
        <w:rPr>
          <w:rFonts w:ascii="Times New Roman" w:cs="Times New Roman" w:eastAsia="Times New Roman" w:hAnsi="Times New Roman"/>
          <w:sz w:val="20"/>
          <w:szCs w:val="20"/>
          <w:vertAlign w:val="superscript"/>
          <w:rtl w:val="0"/>
        </w:rPr>
        <w:t xml:space="preserve">5</w:t>
      </w:r>
      <w:r w:rsidDel="00000000" w:rsidR="00000000" w:rsidRPr="00000000">
        <w:rPr>
          <w:rFonts w:ascii="Times New Roman" w:cs="Times New Roman" w:eastAsia="Times New Roman" w:hAnsi="Times New Roman"/>
          <w:sz w:val="20"/>
          <w:szCs w:val="20"/>
          <w:rtl w:val="0"/>
        </w:rPr>
        <w:t xml:space="preserve">; Enzo von Quednow</w:t>
      </w:r>
      <w:r w:rsidDel="00000000" w:rsidR="00000000" w:rsidRPr="00000000">
        <w:rPr>
          <w:rFonts w:ascii="Times New Roman" w:cs="Times New Roman" w:eastAsia="Times New Roman" w:hAnsi="Times New Roman"/>
          <w:sz w:val="20"/>
          <w:szCs w:val="20"/>
          <w:vertAlign w:val="superscript"/>
          <w:rtl w:val="0"/>
        </w:rPr>
        <w:t xml:space="preserve">6</w:t>
      </w:r>
      <w:r w:rsidDel="00000000" w:rsidR="00000000" w:rsidRPr="00000000">
        <w:rPr>
          <w:rFonts w:ascii="Times New Roman" w:cs="Times New Roman" w:eastAsia="Times New Roman" w:hAnsi="Times New Roman"/>
          <w:sz w:val="20"/>
          <w:szCs w:val="20"/>
          <w:rtl w:val="0"/>
        </w:rPr>
        <w:t xml:space="preserve">; Pedro Vitor Maia Bettini Brito</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Pedro Henrique Karpinski</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Luana Martins de Oliveira</w:t>
      </w:r>
      <w:r w:rsidDel="00000000" w:rsidR="00000000" w:rsidRPr="00000000">
        <w:rPr>
          <w:rFonts w:ascii="Times New Roman" w:cs="Times New Roman" w:eastAsia="Times New Roman" w:hAnsi="Times New Roman"/>
          <w:sz w:val="20"/>
          <w:szCs w:val="20"/>
          <w:vertAlign w:val="superscript"/>
          <w:rtl w:val="0"/>
        </w:rPr>
        <w:t xml:space="preserve">3</w:t>
      </w:r>
      <w:r w:rsidDel="00000000" w:rsidR="00000000" w:rsidRPr="00000000">
        <w:rPr>
          <w:rFonts w:ascii="Times New Roman" w:cs="Times New Roman" w:eastAsia="Times New Roman" w:hAnsi="Times New Roman"/>
          <w:sz w:val="20"/>
          <w:szCs w:val="20"/>
          <w:rtl w:val="0"/>
        </w:rPr>
        <w:t xml:space="preserve">; Talib Jawad Kadhim, PhD</w:t>
      </w:r>
      <w:r w:rsidDel="00000000" w:rsidR="00000000" w:rsidRPr="00000000">
        <w:rPr>
          <w:rFonts w:ascii="Times New Roman" w:cs="Times New Roman" w:eastAsia="Times New Roman" w:hAnsi="Times New Roman"/>
          <w:sz w:val="20"/>
          <w:szCs w:val="20"/>
          <w:vertAlign w:val="superscript"/>
          <w:rtl w:val="0"/>
        </w:rPr>
        <w:t xml:space="preserve">7</w:t>
      </w:r>
      <w:r w:rsidDel="00000000" w:rsidR="00000000" w:rsidRPr="00000000">
        <w:rPr>
          <w:rFonts w:ascii="Times New Roman" w:cs="Times New Roman" w:eastAsia="Times New Roman" w:hAnsi="Times New Roman"/>
          <w:sz w:val="20"/>
          <w:szCs w:val="20"/>
          <w:rtl w:val="0"/>
        </w:rPr>
        <w:t xml:space="preserve">; Noor Najah Noori, MD</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Márcio Yuri Ferreira, MD</w:t>
      </w:r>
      <w:r w:rsidDel="00000000" w:rsidR="00000000" w:rsidRPr="00000000">
        <w:rPr>
          <w:rFonts w:ascii="Times New Roman" w:cs="Times New Roman" w:eastAsia="Times New Roman" w:hAnsi="Times New Roman"/>
          <w:sz w:val="20"/>
          <w:szCs w:val="20"/>
          <w:vertAlign w:val="superscript"/>
          <w:rtl w:val="0"/>
        </w:rPr>
        <w:t xml:space="preserve">7</w:t>
      </w:r>
      <w:r w:rsidDel="00000000" w:rsidR="00000000" w:rsidRPr="00000000">
        <w:rPr>
          <w:rFonts w:ascii="Times New Roman" w:cs="Times New Roman" w:eastAsia="Times New Roman" w:hAnsi="Times New Roman"/>
          <w:sz w:val="20"/>
          <w:szCs w:val="20"/>
          <w:rtl w:val="0"/>
        </w:rPr>
        <w:t xml:space="preserve">; Ali Haider Bangash, MBBS</w:t>
      </w:r>
      <w:r w:rsidDel="00000000" w:rsidR="00000000" w:rsidRPr="00000000">
        <w:rPr>
          <w:rFonts w:ascii="Times New Roman" w:cs="Times New Roman" w:eastAsia="Times New Roman" w:hAnsi="Times New Roman"/>
          <w:sz w:val="20"/>
          <w:szCs w:val="20"/>
          <w:vertAlign w:val="superscript"/>
          <w:rtl w:val="0"/>
        </w:rPr>
        <w:t xml:space="preserve">8</w:t>
      </w:r>
      <w:r w:rsidDel="00000000" w:rsidR="00000000" w:rsidRPr="00000000">
        <w:rPr>
          <w:rFonts w:ascii="Times New Roman" w:cs="Times New Roman" w:eastAsia="Times New Roman" w:hAnsi="Times New Roman"/>
          <w:sz w:val="20"/>
          <w:szCs w:val="20"/>
          <w:rtl w:val="0"/>
        </w:rPr>
        <w:t xml:space="preserve">; Luis Gustavo Biondi Soares, MD</w:t>
      </w:r>
      <w:r w:rsidDel="00000000" w:rsidR="00000000" w:rsidRPr="00000000">
        <w:rPr>
          <w:rFonts w:ascii="Times New Roman" w:cs="Times New Roman" w:eastAsia="Times New Roman" w:hAnsi="Times New Roman"/>
          <w:sz w:val="20"/>
          <w:szCs w:val="20"/>
          <w:vertAlign w:val="superscript"/>
          <w:rtl w:val="0"/>
        </w:rPr>
        <w:t xml:space="preserve">9</w:t>
      </w:r>
      <w:r w:rsidDel="00000000" w:rsidR="00000000" w:rsidRPr="00000000">
        <w:rPr>
          <w:rFonts w:ascii="Times New Roman" w:cs="Times New Roman" w:eastAsia="Times New Roman" w:hAnsi="Times New Roman"/>
          <w:sz w:val="20"/>
          <w:szCs w:val="20"/>
          <w:rtl w:val="0"/>
        </w:rPr>
        <w:t xml:space="preserve">; Felipe Salvagni, MD</w:t>
      </w:r>
      <w:r w:rsidDel="00000000" w:rsidR="00000000" w:rsidRPr="00000000">
        <w:rPr>
          <w:rFonts w:ascii="Times New Roman" w:cs="Times New Roman" w:eastAsia="Times New Roman" w:hAnsi="Times New Roman"/>
          <w:sz w:val="20"/>
          <w:szCs w:val="20"/>
          <w:vertAlign w:val="superscript"/>
          <w:rtl w:val="0"/>
        </w:rPr>
        <w:t xml:space="preserve">10</w:t>
      </w:r>
      <w:r w:rsidDel="00000000" w:rsidR="00000000" w:rsidRPr="00000000">
        <w:rPr>
          <w:rtl w:val="0"/>
        </w:rPr>
      </w:r>
    </w:p>
    <w:p w:rsidR="00000000" w:rsidDel="00000000" w:rsidP="00000000" w:rsidRDefault="00000000" w:rsidRPr="00000000" w14:paraId="00000007">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 Department of Surgery, College of Medicine, University of Baghdad, Baghdad, Iraq, </w:t>
      </w:r>
      <w:hyperlink r:id="rId7">
        <w:r w:rsidDel="00000000" w:rsidR="00000000" w:rsidRPr="00000000">
          <w:rPr>
            <w:rFonts w:ascii="Times New Roman" w:cs="Times New Roman" w:eastAsia="Times New Roman" w:hAnsi="Times New Roman"/>
            <w:sz w:val="20"/>
            <w:szCs w:val="20"/>
            <w:u w:val="single"/>
            <w:rtl w:val="0"/>
          </w:rPr>
          <w:t xml:space="preserve">alitarik@comed.uobaghdad.edu.iq</w:t>
        </w:r>
      </w:hyperlink>
      <w:r w:rsidDel="00000000" w:rsidR="00000000" w:rsidRPr="00000000">
        <w:rPr>
          <w:rFonts w:ascii="Times New Roman" w:cs="Times New Roman" w:eastAsia="Times New Roman" w:hAnsi="Times New Roman"/>
          <w:sz w:val="20"/>
          <w:szCs w:val="20"/>
          <w:rtl w:val="0"/>
        </w:rPr>
        <w:t xml:space="preserve">, </w:t>
      </w:r>
      <w:hyperlink r:id="rId8">
        <w:r w:rsidDel="00000000" w:rsidR="00000000" w:rsidRPr="00000000">
          <w:rPr>
            <w:rFonts w:ascii="Times New Roman" w:cs="Times New Roman" w:eastAsia="Times New Roman" w:hAnsi="Times New Roman"/>
            <w:color w:val="1155cc"/>
            <w:sz w:val="20"/>
            <w:szCs w:val="20"/>
            <w:u w:val="single"/>
            <w:rtl w:val="0"/>
          </w:rPr>
          <w:t xml:space="preserve">noor.najah002@gmail.com</w:t>
        </w:r>
      </w:hyperlink>
      <w:r w:rsidDel="00000000" w:rsidR="00000000" w:rsidRPr="00000000">
        <w:rPr>
          <w:rtl w:val="0"/>
        </w:rPr>
      </w:r>
    </w:p>
    <w:p w:rsidR="00000000" w:rsidDel="00000000" w:rsidP="00000000" w:rsidRDefault="00000000" w:rsidRPr="00000000" w14:paraId="00000008">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Department of Neurosurgery, College of Medicine, University of Warith Al-Anbiyaa, Karbala, 56001, Iraq, </w:t>
      </w:r>
      <w:hyperlink r:id="rId9">
        <w:r w:rsidDel="00000000" w:rsidR="00000000" w:rsidRPr="00000000">
          <w:rPr>
            <w:rFonts w:ascii="Times New Roman" w:cs="Times New Roman" w:eastAsia="Times New Roman" w:hAnsi="Times New Roman"/>
            <w:sz w:val="20"/>
            <w:szCs w:val="20"/>
            <w:u w:val="single"/>
            <w:rtl w:val="0"/>
          </w:rPr>
          <w:t xml:space="preserve">murtaja.satea@gmail.com</w:t>
        </w:r>
      </w:hyperlink>
      <w:r w:rsidDel="00000000" w:rsidR="00000000" w:rsidRPr="00000000">
        <w:rPr>
          <w:rFonts w:ascii="Times New Roman" w:cs="Times New Roman" w:eastAsia="Times New Roman" w:hAnsi="Times New Roman"/>
          <w:sz w:val="20"/>
          <w:szCs w:val="20"/>
          <w:rtl w:val="0"/>
        </w:rPr>
        <w:t xml:space="preserve">, 0009-0002-0413-5861</w:t>
      </w:r>
    </w:p>
    <w:p w:rsidR="00000000" w:rsidDel="00000000" w:rsidP="00000000" w:rsidRDefault="00000000" w:rsidRPr="00000000" w14:paraId="00000009">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Department of Medicine, State University of Ponta Grossa, Brazil, </w:t>
      </w:r>
      <w:hyperlink r:id="rId10">
        <w:r w:rsidDel="00000000" w:rsidR="00000000" w:rsidRPr="00000000">
          <w:rPr>
            <w:rFonts w:ascii="Times New Roman" w:cs="Times New Roman" w:eastAsia="Times New Roman" w:hAnsi="Times New Roman"/>
            <w:sz w:val="20"/>
            <w:szCs w:val="20"/>
            <w:u w:val="single"/>
            <w:rtl w:val="0"/>
          </w:rPr>
          <w:t xml:space="preserve">seccolg@gmail.com</w:t>
        </w:r>
      </w:hyperlink>
      <w:r w:rsidDel="00000000" w:rsidR="00000000" w:rsidRPr="00000000">
        <w:rPr>
          <w:rFonts w:ascii="Times New Roman" w:cs="Times New Roman" w:eastAsia="Times New Roman" w:hAnsi="Times New Roman"/>
          <w:sz w:val="20"/>
          <w:szCs w:val="20"/>
          <w:rtl w:val="0"/>
        </w:rPr>
        <w:t xml:space="preserve">, </w:t>
      </w:r>
      <w:hyperlink r:id="rId11">
        <w:r w:rsidDel="00000000" w:rsidR="00000000" w:rsidRPr="00000000">
          <w:rPr>
            <w:rFonts w:ascii="Times New Roman" w:cs="Times New Roman" w:eastAsia="Times New Roman" w:hAnsi="Times New Roman"/>
            <w:sz w:val="20"/>
            <w:szCs w:val="20"/>
            <w:u w:val="single"/>
            <w:rtl w:val="0"/>
          </w:rPr>
          <w:t xml:space="preserve">Karpinski.p@yahoo.com</w:t>
        </w:r>
      </w:hyperlink>
      <w:r w:rsidDel="00000000" w:rsidR="00000000" w:rsidRPr="00000000">
        <w:rPr>
          <w:rFonts w:ascii="Times New Roman" w:cs="Times New Roman" w:eastAsia="Times New Roman" w:hAnsi="Times New Roman"/>
          <w:sz w:val="20"/>
          <w:szCs w:val="20"/>
          <w:rtl w:val="0"/>
        </w:rPr>
        <w:t xml:space="preserve">, </w:t>
      </w:r>
      <w:hyperlink r:id="rId12">
        <w:r w:rsidDel="00000000" w:rsidR="00000000" w:rsidRPr="00000000">
          <w:rPr>
            <w:rFonts w:ascii="Times New Roman" w:cs="Times New Roman" w:eastAsia="Times New Roman" w:hAnsi="Times New Roman"/>
            <w:sz w:val="20"/>
            <w:szCs w:val="20"/>
            <w:u w:val="single"/>
            <w:rtl w:val="0"/>
          </w:rPr>
          <w:t xml:space="preserve">luanamartinsv9@gmail.com</w:t>
        </w:r>
      </w:hyperlink>
      <w:r w:rsidDel="00000000" w:rsidR="00000000" w:rsidRPr="00000000">
        <w:rPr>
          <w:rFonts w:ascii="Times New Roman" w:cs="Times New Roman" w:eastAsia="Times New Roman" w:hAnsi="Times New Roman"/>
          <w:sz w:val="20"/>
          <w:szCs w:val="20"/>
          <w:rtl w:val="0"/>
        </w:rPr>
        <w:t xml:space="preserve">, </w:t>
      </w:r>
      <w:hyperlink r:id="rId13">
        <w:r w:rsidDel="00000000" w:rsidR="00000000" w:rsidRPr="00000000">
          <w:rPr>
            <w:rFonts w:ascii="Times New Roman" w:cs="Times New Roman" w:eastAsia="Times New Roman" w:hAnsi="Times New Roman"/>
            <w:color w:val="1155cc"/>
            <w:sz w:val="20"/>
            <w:szCs w:val="20"/>
            <w:u w:val="single"/>
            <w:rtl w:val="0"/>
          </w:rPr>
          <w:t xml:space="preserve">pedrobetini@hotmail.com</w:t>
        </w:r>
      </w:hyperlink>
      <w:r w:rsidDel="00000000" w:rsidR="00000000" w:rsidRPr="00000000">
        <w:rPr>
          <w:rFonts w:ascii="Times New Roman" w:cs="Times New Roman" w:eastAsia="Times New Roman" w:hAnsi="Times New Roman"/>
          <w:color w:val="1155cc"/>
          <w:sz w:val="20"/>
          <w:szCs w:val="20"/>
          <w:rtl w:val="0"/>
        </w:rPr>
        <w:t xml:space="preserve"> , 0009-0000-3499-3635</w:t>
      </w:r>
      <w:r w:rsidDel="00000000" w:rsidR="00000000" w:rsidRPr="00000000">
        <w:rPr>
          <w:rtl w:val="0"/>
        </w:rPr>
      </w:r>
    </w:p>
    <w:p w:rsidR="00000000" w:rsidDel="00000000" w:rsidP="00000000" w:rsidRDefault="00000000" w:rsidRPr="00000000" w14:paraId="0000000A">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 Department of Medicine, Hospital Israelita Albert Einstein (HIAE), São Paulo, SP, Brazil, </w:t>
      </w:r>
      <w:hyperlink r:id="rId14">
        <w:r w:rsidDel="00000000" w:rsidR="00000000" w:rsidRPr="00000000">
          <w:rPr>
            <w:rFonts w:ascii="Times New Roman" w:cs="Times New Roman" w:eastAsia="Times New Roman" w:hAnsi="Times New Roman"/>
            <w:color w:val="1155cc"/>
            <w:sz w:val="20"/>
            <w:szCs w:val="20"/>
            <w:u w:val="single"/>
            <w:rtl w:val="0"/>
          </w:rPr>
          <w:t xml:space="preserve">ohannesian.victor@gmail.com</w:t>
        </w:r>
      </w:hyperlink>
      <w:r w:rsidDel="00000000" w:rsidR="00000000" w:rsidRPr="00000000">
        <w:rPr>
          <w:rtl w:val="0"/>
        </w:rPr>
      </w:r>
    </w:p>
    <w:p w:rsidR="00000000" w:rsidDel="00000000" w:rsidP="00000000" w:rsidRDefault="00000000" w:rsidRPr="00000000" w14:paraId="0000000B">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 Department of Pharmacology, Indira Gandhi Institute of Medical Sciences, India, </w:t>
      </w:r>
      <w:hyperlink r:id="rId15">
        <w:r w:rsidDel="00000000" w:rsidR="00000000" w:rsidRPr="00000000">
          <w:rPr>
            <w:rFonts w:ascii="Times New Roman" w:cs="Times New Roman" w:eastAsia="Times New Roman" w:hAnsi="Times New Roman"/>
            <w:sz w:val="20"/>
            <w:szCs w:val="20"/>
            <w:u w:val="single"/>
            <w:rtl w:val="0"/>
          </w:rPr>
          <w:t xml:space="preserve">noorhusain23@gmail.com</w:t>
        </w:r>
      </w:hyperlink>
      <w:r w:rsidDel="00000000" w:rsidR="00000000" w:rsidRPr="00000000">
        <w:rPr>
          <w:rtl w:val="0"/>
        </w:rPr>
      </w:r>
    </w:p>
    <w:p w:rsidR="00000000" w:rsidDel="00000000" w:rsidP="00000000" w:rsidRDefault="00000000" w:rsidRPr="00000000" w14:paraId="0000000C">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 Department of Clinical Neurophysiology, University Hospital Sant Joan de Reus, Spain, </w:t>
      </w:r>
      <w:hyperlink r:id="rId16">
        <w:r w:rsidDel="00000000" w:rsidR="00000000" w:rsidRPr="00000000">
          <w:rPr>
            <w:rFonts w:ascii="Times New Roman" w:cs="Times New Roman" w:eastAsia="Times New Roman" w:hAnsi="Times New Roman"/>
            <w:color w:val="1155cc"/>
            <w:sz w:val="20"/>
            <w:szCs w:val="20"/>
            <w:u w:val="single"/>
            <w:rtl w:val="0"/>
          </w:rPr>
          <w:t xml:space="preserve">enzo.von.quednow@gmail.com</w:t>
        </w:r>
      </w:hyperlink>
      <w:r w:rsidDel="00000000" w:rsidR="00000000" w:rsidRPr="00000000">
        <w:rPr>
          <w:rFonts w:ascii="Times New Roman" w:cs="Times New Roman" w:eastAsia="Times New Roman" w:hAnsi="Times New Roman"/>
          <w:sz w:val="20"/>
          <w:szCs w:val="20"/>
          <w:rtl w:val="0"/>
        </w:rPr>
        <w:t xml:space="preserve">,  0000-0001-6512-1979</w:t>
      </w:r>
    </w:p>
    <w:p w:rsidR="00000000" w:rsidDel="00000000" w:rsidP="00000000" w:rsidRDefault="00000000" w:rsidRPr="00000000" w14:paraId="0000000D">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 Head of Department of Anatomy, College of Medicine, University of Warith Al-Anbiyaa, Karbala, 56001, Iraq, </w:t>
      </w:r>
      <w:hyperlink r:id="rId17">
        <w:r w:rsidDel="00000000" w:rsidR="00000000" w:rsidRPr="00000000">
          <w:rPr>
            <w:rFonts w:ascii="Times New Roman" w:cs="Times New Roman" w:eastAsia="Times New Roman" w:hAnsi="Times New Roman"/>
            <w:color w:val="1155cc"/>
            <w:sz w:val="20"/>
            <w:szCs w:val="20"/>
            <w:u w:val="single"/>
            <w:rtl w:val="0"/>
          </w:rPr>
          <w:t xml:space="preserve">talib.j@uowa.edu.iq</w:t>
        </w:r>
      </w:hyperlink>
      <w:r w:rsidDel="00000000" w:rsidR="00000000" w:rsidRPr="00000000">
        <w:rPr>
          <w:rtl w:val="0"/>
        </w:rPr>
      </w:r>
    </w:p>
    <w:p w:rsidR="00000000" w:rsidDel="00000000" w:rsidP="00000000" w:rsidRDefault="00000000" w:rsidRPr="00000000" w14:paraId="0000000E">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 Department of Neurosurgery, Lenox Hill Hospital/Northwell Health, New York, NY, USA; </w:t>
      </w:r>
      <w:hyperlink r:id="rId18">
        <w:r w:rsidDel="00000000" w:rsidR="00000000" w:rsidRPr="00000000">
          <w:rPr>
            <w:rFonts w:ascii="Times New Roman" w:cs="Times New Roman" w:eastAsia="Times New Roman" w:hAnsi="Times New Roman"/>
            <w:color w:val="1155cc"/>
            <w:sz w:val="20"/>
            <w:szCs w:val="20"/>
            <w:u w:val="single"/>
            <w:rtl w:val="0"/>
          </w:rPr>
          <w:t xml:space="preserve">mdesouzaferreira@northwell.edu</w:t>
        </w:r>
      </w:hyperlink>
      <w:r w:rsidDel="00000000" w:rsidR="00000000" w:rsidRPr="00000000">
        <w:rPr>
          <w:rtl w:val="0"/>
        </w:rPr>
      </w:r>
    </w:p>
    <w:p w:rsidR="00000000" w:rsidDel="00000000" w:rsidP="00000000" w:rsidRDefault="00000000" w:rsidRPr="00000000" w14:paraId="0000000F">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 Department of Neurological Surgery, Montefiore Medical Center, Albert Einstein College of Medicine, Bronx, NY 10467, USA, </w:t>
      </w:r>
      <w:hyperlink r:id="rId19">
        <w:r w:rsidDel="00000000" w:rsidR="00000000" w:rsidRPr="00000000">
          <w:rPr>
            <w:rFonts w:ascii="Times New Roman" w:cs="Times New Roman" w:eastAsia="Times New Roman" w:hAnsi="Times New Roman"/>
            <w:color w:val="1155cc"/>
            <w:sz w:val="20"/>
            <w:szCs w:val="20"/>
            <w:u w:val="single"/>
            <w:rtl w:val="0"/>
          </w:rPr>
          <w:t xml:space="preserve">ahbangash98@gmail.com</w:t>
        </w:r>
      </w:hyperlink>
      <w:r w:rsidDel="00000000" w:rsidR="00000000" w:rsidRPr="00000000">
        <w:rPr>
          <w:rtl w:val="0"/>
        </w:rPr>
      </w:r>
    </w:p>
    <w:p w:rsidR="00000000" w:rsidDel="00000000" w:rsidP="00000000" w:rsidRDefault="00000000" w:rsidRPr="00000000" w14:paraId="00000010">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 Department of Neurosurgery, Santa casa de Montes claros, Montes Claros-MG, Brazil, </w:t>
      </w:r>
      <w:hyperlink r:id="rId20">
        <w:r w:rsidDel="00000000" w:rsidR="00000000" w:rsidRPr="00000000">
          <w:rPr>
            <w:rFonts w:ascii="Times New Roman" w:cs="Times New Roman" w:eastAsia="Times New Roman" w:hAnsi="Times New Roman"/>
            <w:sz w:val="20"/>
            <w:szCs w:val="20"/>
            <w:u w:val="single"/>
            <w:rtl w:val="0"/>
          </w:rPr>
          <w:t xml:space="preserve">biondigustavo@gmail.com</w:t>
        </w:r>
      </w:hyperlink>
      <w:r w:rsidDel="00000000" w:rsidR="00000000" w:rsidRPr="00000000">
        <w:rPr>
          <w:rFonts w:ascii="Times New Roman" w:cs="Times New Roman" w:eastAsia="Times New Roman" w:hAnsi="Times New Roman"/>
          <w:sz w:val="20"/>
          <w:szCs w:val="20"/>
          <w:rtl w:val="0"/>
        </w:rPr>
        <w:t xml:space="preserve">, 0000-0002-5478-6083</w:t>
      </w:r>
    </w:p>
    <w:p w:rsidR="00000000" w:rsidDel="00000000" w:rsidP="00000000" w:rsidRDefault="00000000" w:rsidRPr="00000000" w14:paraId="00000011">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 Mackenzie Evangelical College of Paraná, Brazil; </w:t>
      </w:r>
      <w:hyperlink r:id="rId21">
        <w:r w:rsidDel="00000000" w:rsidR="00000000" w:rsidRPr="00000000">
          <w:rPr>
            <w:rFonts w:ascii="Times New Roman" w:cs="Times New Roman" w:eastAsia="Times New Roman" w:hAnsi="Times New Roman"/>
            <w:sz w:val="20"/>
            <w:szCs w:val="20"/>
            <w:u w:val="single"/>
            <w:rtl w:val="0"/>
          </w:rPr>
          <w:t xml:space="preserve">salvagni.dr@gmail.com</w:t>
        </w:r>
      </w:hyperlink>
      <w:r w:rsidDel="00000000" w:rsidR="00000000" w:rsidRPr="00000000">
        <w:rPr>
          <w:rtl w:val="0"/>
        </w:rPr>
      </w:r>
    </w:p>
    <w:p w:rsidR="00000000" w:rsidDel="00000000" w:rsidP="00000000" w:rsidRDefault="00000000" w:rsidRPr="00000000" w14:paraId="00000012">
      <w:pPr>
        <w:spacing w:after="240" w:before="240" w:line="276" w:lineRule="auto"/>
        <w:rPr>
          <w:rFonts w:ascii="Times New Roman" w:cs="Times New Roman" w:eastAsia="Times New Roman" w:hAnsi="Times New Roman"/>
          <w:color w:val="222222"/>
          <w:sz w:val="20"/>
          <w:szCs w:val="20"/>
          <w:highlight w:val="white"/>
        </w:rPr>
      </w:pPr>
      <w:r w:rsidDel="00000000" w:rsidR="00000000" w:rsidRPr="00000000">
        <w:rPr>
          <w:rFonts w:ascii="Times New Roman" w:cs="Times New Roman" w:eastAsia="Times New Roman" w:hAnsi="Times New Roman"/>
          <w:color w:val="222222"/>
          <w:sz w:val="20"/>
          <w:szCs w:val="20"/>
          <w:highlight w:val="white"/>
          <w:rtl w:val="0"/>
        </w:rPr>
        <w:t xml:space="preserve"># </w:t>
      </w:r>
      <w:r w:rsidDel="00000000" w:rsidR="00000000" w:rsidRPr="00000000">
        <w:rPr>
          <w:rFonts w:ascii="Times New Roman" w:cs="Times New Roman" w:eastAsia="Times New Roman" w:hAnsi="Times New Roman"/>
          <w:sz w:val="20"/>
          <w:szCs w:val="20"/>
          <w:rtl w:val="0"/>
        </w:rPr>
        <w:t xml:space="preserve">These authors contributed equally to this work and share first authorship</w:t>
      </w:r>
      <w:r w:rsidDel="00000000" w:rsidR="00000000" w:rsidRPr="00000000">
        <w:rPr>
          <w:rtl w:val="0"/>
        </w:rPr>
      </w:r>
    </w:p>
    <w:p w:rsidR="00000000" w:rsidDel="00000000" w:rsidP="00000000" w:rsidRDefault="00000000" w:rsidRPr="00000000" w14:paraId="00000013">
      <w:pPr>
        <w:spacing w:after="240" w:before="240" w:line="276" w:lineRule="auto"/>
        <w:rPr>
          <w:rFonts w:ascii="Times New Roman" w:cs="Times New Roman" w:eastAsia="Times New Roman" w:hAnsi="Times New Roman"/>
          <w:b w:val="1"/>
          <w:bCs w:val="1"/>
          <w:sz w:val="20"/>
          <w:szCs w:val="20"/>
          <w:highlight w:val="white"/>
        </w:rPr>
      </w:pPr>
      <w:r w:rsidDel="00000000" w:rsidR="00000000" w:rsidRPr="00000000">
        <w:rPr>
          <w:rFonts w:ascii="Times New Roman" w:cs="Times New Roman" w:eastAsia="Times New Roman" w:hAnsi="Times New Roman"/>
          <w:b w:val="1"/>
          <w:bCs w:val="1"/>
          <w:sz w:val="20"/>
          <w:szCs w:val="20"/>
          <w:highlight w:val="white"/>
          <w:rtl w:val="0"/>
        </w:rPr>
        <w:t xml:space="preserve">*Corresponding author:</w:t>
      </w:r>
    </w:p>
    <w:p w:rsidR="00000000" w:rsidDel="00000000" w:rsidP="00000000" w:rsidRDefault="00000000" w:rsidRPr="00000000" w14:paraId="00000014">
      <w:pPr>
        <w:spacing w:after="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Murtaja Satea, MD</w:t>
      </w:r>
    </w:p>
    <w:p w:rsidR="00000000" w:rsidDel="00000000" w:rsidP="00000000" w:rsidRDefault="00000000" w:rsidRPr="00000000" w14:paraId="00000015">
      <w:pPr>
        <w:spacing w:after="0" w:line="276" w:lineRule="auto"/>
        <w:rPr>
          <w:rFonts w:ascii="Times New Roman" w:cs="Times New Roman" w:eastAsia="Times New Roman" w:hAnsi="Times New Roman"/>
          <w:sz w:val="20"/>
          <w:szCs w:val="20"/>
          <w:u w:val="single"/>
        </w:rPr>
      </w:pPr>
      <w:hyperlink r:id="rId22">
        <w:r w:rsidDel="00000000" w:rsidR="00000000" w:rsidRPr="00000000">
          <w:rPr>
            <w:rFonts w:ascii="Times New Roman" w:cs="Times New Roman" w:eastAsia="Times New Roman" w:hAnsi="Times New Roman"/>
            <w:color w:val="0000ff"/>
            <w:sz w:val="20"/>
            <w:szCs w:val="20"/>
            <w:u w:val="single"/>
            <w:rtl w:val="0"/>
          </w:rPr>
          <w:t xml:space="preserve">murtaja.satea@gmail.com</w:t>
        </w:r>
      </w:hyperlink>
      <w:r w:rsidDel="00000000" w:rsidR="00000000" w:rsidRPr="00000000">
        <w:rPr>
          <w:rtl w:val="0"/>
        </w:rPr>
      </w:r>
    </w:p>
    <w:p w:rsidR="00000000" w:rsidDel="00000000" w:rsidP="00000000" w:rsidRDefault="00000000" w:rsidRPr="00000000" w14:paraId="00000016">
      <w:pPr>
        <w:spacing w:after="240" w:before="240"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Department of Neurosurgery, Lenox Hill Hospital/Northwell Health, New York, NY, USA</w:t>
      </w:r>
    </w:p>
    <w:p w:rsidR="00000000" w:rsidDel="00000000" w:rsidP="00000000" w:rsidRDefault="00000000" w:rsidRPr="00000000" w14:paraId="00000017">
      <w:pPr>
        <w:spacing w:after="240" w:before="240" w:line="27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Times New Roman" w:cs="Times New Roman" w:eastAsia="Times New Roman" w:hAnsi="Times New Roman"/>
          <w:b w:val="1"/>
          <w:bCs w:val="1"/>
          <w:i w:val="0"/>
          <w:iCs w:val="0"/>
          <w:smallCaps w:val="0"/>
          <w:strike w:val="0"/>
          <w:color w:val="0f4761"/>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f4761"/>
          <w:sz w:val="22"/>
          <w:szCs w:val="22"/>
          <w:u w:val="none"/>
          <w:shd w:fill="auto" w:val="clear"/>
          <w:vertAlign w:val="baseline"/>
          <w:rtl w:val="0"/>
        </w:rPr>
        <w:t xml:space="preserve">Contents</w:t>
      </w:r>
    </w:p>
    <w:sdt>
      <w:sdtPr>
        <w:id w:val="-824858670"/>
        <w:docPartObj>
          <w:docPartGallery w:val="Table of Contents"/>
          <w:docPartUnique w:val="1"/>
        </w:docPartObj>
      </w:sdtPr>
      <w:sdtContent>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pl8e90mnpqy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Supplementary Results and Sample size calc</w:t>
            </w:r>
          </w:hyperlink>
          <w:hyperlink w:anchor="_heading=h.pl8e90mnpqy7">
            <w:r w:rsidDel="00000000" w:rsidR="00000000" w:rsidRPr="00000000">
              <w:rPr>
                <w:rFonts w:ascii="Times New Roman" w:cs="Times New Roman" w:eastAsia="Times New Roman" w:hAnsi="Times New Roman"/>
                <w:sz w:val="22"/>
                <w:szCs w:val="22"/>
                <w:rtl w:val="0"/>
              </w:rPr>
              <w:t xml:space="preserve">ulation</w:t>
            </w:r>
          </w:hyperlink>
          <w:hyperlink w:anchor="_heading=h.pl8e90mnpqy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b2xu8h7bor8h">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Supplementary Table S1. Pearson Correlations </w:t>
            </w:r>
          </w:hyperlink>
          <w:hyperlink w:anchor="_heading=h.b2xu8h7bor8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2ecu2agqejnj">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Supplementary Table S2. Spearman Correlations </w:t>
            </w:r>
          </w:hyperlink>
          <w:hyperlink w:anchor="_heading=h.2ecu2agqejnj">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4</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hyperlink w:anchor="_heading=h.ompc8n4c9053">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Supplementary Table S3. Diagnostic test results for regression models .</w:t>
            </w:r>
          </w:hyperlink>
          <w:hyperlink w:anchor="_heading=h.ompc8n4c9053">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Times New Roman" w:cs="Times New Roman" w:eastAsia="Times New Roman" w:hAnsi="Times New Roman"/>
              <w:sz w:val="22"/>
              <w:szCs w:val="22"/>
              <w:rtl w:val="0"/>
            </w:rPr>
            <w:t xml:space="preserve">5</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sz w:val="22"/>
              <w:szCs w:val="22"/>
            </w:rPr>
          </w:pPr>
          <w:hyperlink w:anchor="_heading=h.y6uaoqh4lozk">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Supplementary Table S4. Robust regression coefficients (HC3) compared to OLS.</w:t>
            </w:r>
          </w:hyperlink>
          <w:hyperlink w:anchor="_heading=h.y6uaoqh4loz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r>
          </w:hyperlink>
          <w:r w:rsidDel="00000000" w:rsidR="00000000" w:rsidRPr="00000000">
            <w:rPr>
              <w:rFonts w:ascii="Times New Roman" w:cs="Times New Roman" w:eastAsia="Times New Roman" w:hAnsi="Times New Roman"/>
              <w:sz w:val="22"/>
              <w:szCs w:val="22"/>
              <w:rtl w:val="0"/>
            </w:rPr>
            <w:t xml:space="preserve">6</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Table S5. STROBE checklist summary</w:t>
          </w:r>
          <w:r w:rsidDel="00000000" w:rsidR="00000000" w:rsidRPr="00000000">
            <w:rPr>
              <w:rFonts w:ascii="Times New Roman" w:cs="Times New Roman" w:eastAsia="Times New Roman" w:hAnsi="Times New Roman"/>
              <w:sz w:val="22"/>
              <w:szCs w:val="22"/>
              <w:rtl w:val="0"/>
            </w:rPr>
            <w:t xml:space="preserve"> …………………………….6</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Figure S1. ΔVAS normality Q-Q plots</w:t>
          </w:r>
          <w:r w:rsidDel="00000000" w:rsidR="00000000" w:rsidRPr="00000000">
            <w:rPr>
              <w:rFonts w:ascii="Times New Roman" w:cs="Times New Roman" w:eastAsia="Times New Roman" w:hAnsi="Times New Roman"/>
              <w:sz w:val="22"/>
              <w:szCs w:val="22"/>
              <w:rtl w:val="0"/>
            </w:rPr>
            <w:t xml:space="preserve">………………………………11</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Figure S2. ΔODI normality Q-Q plots</w:t>
          </w:r>
          <w:r w:rsidDel="00000000" w:rsidR="00000000" w:rsidRPr="00000000">
            <w:rPr>
              <w:rFonts w:ascii="Times New Roman" w:cs="Times New Roman" w:eastAsia="Times New Roman" w:hAnsi="Times New Roman"/>
              <w:sz w:val="22"/>
              <w:szCs w:val="22"/>
              <w:rtl w:val="0"/>
            </w:rPr>
            <w:t xml:space="preserve">………………………………12</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Figure S3. ΔSF-36 normality Q-Q plots</w:t>
          </w:r>
          <w:r w:rsidDel="00000000" w:rsidR="00000000" w:rsidRPr="00000000">
            <w:rPr>
              <w:rFonts w:ascii="Times New Roman" w:cs="Times New Roman" w:eastAsia="Times New Roman" w:hAnsi="Times New Roman"/>
              <w:sz w:val="22"/>
              <w:szCs w:val="22"/>
              <w:rtl w:val="0"/>
            </w:rPr>
            <w:t xml:space="preserve">……………………………..12</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961"/>
            </w:tabs>
            <w:spacing w:after="100" w:before="0" w:line="278.00000000000006" w:lineRule="auto"/>
            <w:ind w:left="24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references</w:t>
          </w:r>
          <w:r w:rsidDel="00000000" w:rsidR="00000000" w:rsidRPr="00000000">
            <w:rPr>
              <w:rFonts w:ascii="Times New Roman" w:cs="Times New Roman" w:eastAsia="Times New Roman" w:hAnsi="Times New Roman"/>
              <w:sz w:val="22"/>
              <w:szCs w:val="22"/>
              <w:rtl w:val="0"/>
            </w:rPr>
            <w:t xml:space="preserve">……………………………………………………………...13</w:t>
          </w:r>
        </w:p>
        <w:p w:rsidR="00000000" w:rsidDel="00000000" w:rsidP="00000000" w:rsidRDefault="00000000" w:rsidRPr="00000000" w14:paraId="00000023">
          <w:pPr>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sz w:val="22"/>
          <w:szCs w:val="22"/>
        </w:rPr>
      </w:pPr>
      <w:bookmarkStart w:colFirst="0" w:colLast="0" w:name="_heading=h.pl8e90mnpqy7" w:id="0"/>
      <w:bookmarkEnd w:id="0"/>
      <w:r w:rsidDel="00000000" w:rsidR="00000000" w:rsidRPr="00000000">
        <w:rPr>
          <w:sz w:val="22"/>
          <w:szCs w:val="22"/>
          <w:rtl w:val="0"/>
        </w:rPr>
        <w:t xml:space="preserve">Supplementary Results</w:t>
      </w:r>
    </w:p>
    <w:p w:rsidR="00000000" w:rsidDel="00000000" w:rsidP="00000000" w:rsidRDefault="00000000" w:rsidRPr="00000000" w14:paraId="00000029">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Normality was assessed using the Shapiro–Wilk test, and correlations were analysed using Pearson’s method for normally distributed variables and Spearman’s rank correlation for non-normal variables. Full correlation matrices are provided in Supplementary Tables S1 and S2.</w:t>
      </w:r>
    </w:p>
    <w:p w:rsidR="00000000" w:rsidDel="00000000" w:rsidP="00000000" w:rsidRDefault="00000000" w:rsidRPr="00000000" w14:paraId="0000002A">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 normally distributed variables (Supplementary Table S1), most associations were weak and non-significant. The only consistent finding was a moderate negative correlation between postoperative ODI and ODI improvement (r = –0.27, p = 0.0028), indicating that larger improvements were associated with lower residual disability.</w:t>
      </w:r>
    </w:p>
    <w:p w:rsidR="00000000" w:rsidDel="00000000" w:rsidP="00000000" w:rsidRDefault="00000000" w:rsidRPr="00000000" w14:paraId="0000002B">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For non-normal variables (Supplementary Table S2), several significant associations emerged. Postoperative VAS was strongly and inversely correlated with VAS improvement (ρ = –0.73, p &lt; 0.0001). CSA of the erector spinae correlated positively with postoperative VAS (ρ = 0.31, p = 0.0005), whereas CSA of the psoas correlated negatively (ρ = –0.19, p = 0.039). SF-36 postoperative scores correlated strongly with SF-36 improvement (ρ = 0.51, p &lt; 0.0001) and modestly with VAS improvement (ρ = 0.18, p = 0.043). Other correlations, including those with fat infiltration measures, were weak and not statistically significant.</w:t>
      </w:r>
    </w:p>
    <w:p w:rsidR="00000000" w:rsidDel="00000000" w:rsidP="00000000" w:rsidRDefault="00000000" w:rsidRPr="00000000" w14:paraId="0000002C">
      <w:pPr>
        <w:rPr>
          <w:rFonts w:ascii="Times New Roman" w:cs="Times New Roman" w:eastAsia="Times New Roman" w:hAnsi="Times New Roman"/>
          <w:b w:val="1"/>
          <w:bCs w:val="1"/>
          <w:color w:val="0f4761"/>
          <w:sz w:val="22"/>
          <w:szCs w:val="22"/>
        </w:rPr>
      </w:pPr>
      <w:r w:rsidDel="00000000" w:rsidR="00000000" w:rsidRPr="00000000">
        <w:rPr>
          <w:rFonts w:ascii="Times New Roman" w:cs="Times New Roman" w:eastAsia="Times New Roman" w:hAnsi="Times New Roman"/>
          <w:b w:val="1"/>
          <w:bCs w:val="1"/>
          <w:color w:val="0f4761"/>
          <w:sz w:val="22"/>
          <w:szCs w:val="22"/>
          <w:rtl w:val="0"/>
        </w:rPr>
        <w:t xml:space="preserve">Supplementary appendix - Sample size calculation</w:t>
      </w:r>
    </w:p>
    <w:p w:rsidR="00000000" w:rsidDel="00000000" w:rsidP="00000000" w:rsidRDefault="00000000" w:rsidRPr="00000000" w14:paraId="0000002D">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primary endpoints of this study were changes in the Oswestry Disability Index (ODI), Visual Analogue Scale (VAS) for pain, and the SF-36 physical component score (PCS) at 3 months following surgery. Published literature indicates that the minimal clinically important differences (MCIDs) are approximately 12 points for ODI, 2 points for VAS, and 5 points for SF-36 PCS, with standard deviations of change typically reported around 15–17, 2–3, and 9–10, respectively, in lumbar spine cohorts. [1-3].</w:t>
      </w:r>
    </w:p>
    <w:p w:rsidR="00000000" w:rsidDel="00000000" w:rsidP="00000000" w:rsidRDefault="00000000" w:rsidRPr="00000000" w14:paraId="0000002E">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Using these values, a paired-samples framework was applied with 90% power and a Bonferroni-adjusted two-sided α of 0.0167 to account for three co-primary outcomes. This showed that the strict minimum requirements were 23 evaluable patients for ODI, 15 for VAS, and 30 for SF-36 PCS. Allowing for 20% attrition, this corresponded to 29, 19, and 38 patients, respectively.</w:t>
      </w:r>
    </w:p>
    <w:p w:rsidR="00000000" w:rsidDel="00000000" w:rsidP="00000000" w:rsidRDefault="00000000" w:rsidRPr="00000000" w14:paraId="0000002F">
      <w:pPr>
        <w:spacing w:after="240" w:befor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Although these calculations suggested that fewer than 40 patients would suffice, we planned to recruit 120 patients. This conservative target was chosen to safeguard against higher real-world loss to follow-up (up to 25–30% in spine surgery cohorts), to ensure sufficient numbers for subgroup and regression analyses, and to achieve greater precision in estimating treatment effects. Similar prospective spine surgery studies have typically enrolled 120–160 patients, supporting our chosen sample size. [1-3].</w:t>
      </w:r>
    </w:p>
    <w:p w:rsidR="00000000" w:rsidDel="00000000" w:rsidP="00000000" w:rsidRDefault="00000000" w:rsidRPr="00000000" w14:paraId="0000003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2"/>
        <w:rPr>
          <w:rFonts w:ascii="Times New Roman" w:cs="Times New Roman" w:eastAsia="Times New Roman" w:hAnsi="Times New Roman"/>
          <w:b w:val="1"/>
          <w:bCs w:val="1"/>
          <w:sz w:val="22"/>
          <w:szCs w:val="22"/>
        </w:rPr>
      </w:pPr>
      <w:bookmarkStart w:colFirst="0" w:colLast="0" w:name="_heading=h.b2xu8h7bor8h" w:id="1"/>
      <w:bookmarkEnd w:id="1"/>
      <w:r w:rsidDel="00000000" w:rsidR="00000000" w:rsidRPr="00000000">
        <w:rPr>
          <w:rFonts w:ascii="Times New Roman" w:cs="Times New Roman" w:eastAsia="Times New Roman" w:hAnsi="Times New Roman"/>
          <w:b w:val="1"/>
          <w:bCs w:val="1"/>
          <w:sz w:val="22"/>
          <w:szCs w:val="22"/>
          <w:rtl w:val="0"/>
        </w:rPr>
        <w:t xml:space="preserve">Supplementary Table S1. Pearson Correlations (n = 120)</w:t>
      </w:r>
    </w:p>
    <w:p w:rsidR="00000000" w:rsidDel="00000000" w:rsidP="00000000" w:rsidRDefault="00000000" w:rsidRPr="00000000" w14:paraId="0000003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Pearson correlation coefficients (r) with p-values for associations among variables with normal distribution based on Shapiro–Wilk tests. Significant correlations (p &lt; 0.05) are highlighted in bold.</w:t>
      </w:r>
    </w:p>
    <w:tbl>
      <w:tblPr>
        <w:tblStyle w:val="Table1"/>
        <w:tblW w:w="7971.0" w:type="dxa"/>
        <w:jc w:val="left"/>
        <w:tblBorders>
          <w:top w:color="0f9ed5" w:space="0" w:sz="4" w:val="single"/>
          <w:bottom w:color="0f9ed5" w:space="0" w:sz="4" w:val="single"/>
        </w:tblBorders>
        <w:tblLayout w:type="fixed"/>
        <w:tblLook w:val="04A0"/>
      </w:tblPr>
      <w:tblGrid>
        <w:gridCol w:w="3269"/>
        <w:gridCol w:w="2351"/>
        <w:gridCol w:w="2351"/>
        <w:tblGridChange w:id="0">
          <w:tblGrid>
            <w:gridCol w:w="3269"/>
            <w:gridCol w:w="2351"/>
            <w:gridCol w:w="2351"/>
          </w:tblGrid>
        </w:tblGridChange>
      </w:tblGrid>
      <w:tr>
        <w:trPr>
          <w:cantSplit w:val="0"/>
          <w:tblHeader w:val="0"/>
        </w:trPr>
        <w:tc>
          <w:tcPr/>
          <w:p w:rsidR="00000000" w:rsidDel="00000000" w:rsidP="00000000" w:rsidRDefault="00000000" w:rsidRPr="00000000" w14:paraId="0000003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Correlation Pair</w:t>
            </w:r>
          </w:p>
        </w:tc>
        <w:tc>
          <w:tcPr/>
          <w:p w:rsidR="00000000" w:rsidDel="00000000" w:rsidP="00000000" w:rsidRDefault="00000000" w:rsidRPr="00000000" w14:paraId="0000003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w:t>
            </w:r>
          </w:p>
        </w:tc>
        <w:tc>
          <w:tcPr/>
          <w:p w:rsidR="00000000" w:rsidDel="00000000" w:rsidP="00000000" w:rsidRDefault="00000000" w:rsidRPr="00000000" w14:paraId="0000003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p-value</w:t>
            </w:r>
          </w:p>
        </w:tc>
      </w:tr>
      <w:tr>
        <w:trPr>
          <w:cantSplit w:val="0"/>
          <w:tblHeader w:val="0"/>
        </w:trPr>
        <w:tc>
          <w:tcPr/>
          <w:p w:rsidR="00000000" w:rsidDel="00000000" w:rsidP="00000000" w:rsidRDefault="00000000" w:rsidRPr="00000000" w14:paraId="0000003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VAS_Diff</w:t>
            </w:r>
          </w:p>
        </w:tc>
        <w:tc>
          <w:tcPr/>
          <w:p w:rsidR="00000000" w:rsidDel="00000000" w:rsidP="00000000" w:rsidRDefault="00000000" w:rsidRPr="00000000" w14:paraId="0000003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-0.0297</w:t>
            </w:r>
          </w:p>
        </w:tc>
        <w:tc>
          <w:tcPr/>
          <w:p w:rsidR="00000000" w:rsidDel="00000000" w:rsidP="00000000" w:rsidRDefault="00000000" w:rsidRPr="00000000" w14:paraId="0000003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0.7472</w:t>
            </w:r>
          </w:p>
        </w:tc>
      </w:tr>
      <w:tr>
        <w:trPr>
          <w:cantSplit w:val="0"/>
          <w:tblHeader w:val="0"/>
        </w:trPr>
        <w:tc>
          <w:tcPr/>
          <w:p w:rsidR="00000000" w:rsidDel="00000000" w:rsidP="00000000" w:rsidRDefault="00000000" w:rsidRPr="00000000" w14:paraId="0000003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ODI_Diff</w:t>
            </w:r>
          </w:p>
        </w:tc>
        <w:tc>
          <w:tcPr/>
          <w:p w:rsidR="00000000" w:rsidDel="00000000" w:rsidP="00000000" w:rsidRDefault="00000000" w:rsidRPr="00000000" w14:paraId="0000003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-0.2703</w:t>
            </w:r>
          </w:p>
        </w:tc>
        <w:tc>
          <w:tcPr/>
          <w:p w:rsidR="00000000" w:rsidDel="00000000" w:rsidP="00000000" w:rsidRDefault="00000000" w:rsidRPr="00000000" w14:paraId="0000003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0.0028</w:t>
            </w:r>
          </w:p>
        </w:tc>
      </w:tr>
      <w:tr>
        <w:trPr>
          <w:cantSplit w:val="0"/>
          <w:tblHeader w:val="0"/>
        </w:trPr>
        <w:tc>
          <w:tcPr/>
          <w:p w:rsidR="00000000" w:rsidDel="00000000" w:rsidP="00000000" w:rsidRDefault="00000000" w:rsidRPr="00000000" w14:paraId="0000003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SF36_Diff</w:t>
            </w:r>
          </w:p>
        </w:tc>
        <w:tc>
          <w:tcPr/>
          <w:p w:rsidR="00000000" w:rsidDel="00000000" w:rsidP="00000000" w:rsidRDefault="00000000" w:rsidRPr="00000000" w14:paraId="0000003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-0.0487</w:t>
            </w:r>
          </w:p>
        </w:tc>
        <w:tc>
          <w:tcPr/>
          <w:p w:rsidR="00000000" w:rsidDel="00000000" w:rsidP="00000000" w:rsidRDefault="00000000" w:rsidRPr="00000000" w14:paraId="0000003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0.5973</w:t>
            </w:r>
          </w:p>
        </w:tc>
      </w:tr>
      <w:tr>
        <w:trPr>
          <w:cantSplit w:val="0"/>
          <w:tblHeader w:val="0"/>
        </w:trPr>
        <w:tc>
          <w:tcPr/>
          <w:p w:rsidR="00000000" w:rsidDel="00000000" w:rsidP="00000000" w:rsidRDefault="00000000" w:rsidRPr="00000000" w14:paraId="0000004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VAS_Diff vs ODI_Diff</w:t>
            </w:r>
          </w:p>
        </w:tc>
        <w:tc>
          <w:tcPr/>
          <w:p w:rsidR="00000000" w:rsidDel="00000000" w:rsidP="00000000" w:rsidRDefault="00000000" w:rsidRPr="00000000" w14:paraId="0000004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-0.0600</w:t>
            </w:r>
          </w:p>
        </w:tc>
        <w:tc>
          <w:tcPr/>
          <w:p w:rsidR="00000000" w:rsidDel="00000000" w:rsidP="00000000" w:rsidRDefault="00000000" w:rsidRPr="00000000" w14:paraId="0000004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0.5153</w:t>
            </w:r>
          </w:p>
        </w:tc>
      </w:tr>
      <w:tr>
        <w:trPr>
          <w:cantSplit w:val="0"/>
          <w:tblHeader w:val="0"/>
        </w:trPr>
        <w:tc>
          <w:tcPr/>
          <w:p w:rsidR="00000000" w:rsidDel="00000000" w:rsidP="00000000" w:rsidRDefault="00000000" w:rsidRPr="00000000" w14:paraId="0000004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VAS_Diff vs SF36_Diff</w:t>
            </w:r>
          </w:p>
        </w:tc>
        <w:tc>
          <w:tcPr/>
          <w:p w:rsidR="00000000" w:rsidDel="00000000" w:rsidP="00000000" w:rsidRDefault="00000000" w:rsidRPr="00000000" w14:paraId="0000004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-0.0283</w:t>
            </w:r>
          </w:p>
        </w:tc>
        <w:tc>
          <w:tcPr/>
          <w:p w:rsidR="00000000" w:rsidDel="00000000" w:rsidP="00000000" w:rsidRDefault="00000000" w:rsidRPr="00000000" w14:paraId="0000004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0.7586</w:t>
            </w:r>
          </w:p>
        </w:tc>
      </w:tr>
      <w:tr>
        <w:trPr>
          <w:cantSplit w:val="0"/>
          <w:tblHeader w:val="0"/>
        </w:trPr>
        <w:tc>
          <w:tcPr/>
          <w:p w:rsidR="00000000" w:rsidDel="00000000" w:rsidP="00000000" w:rsidRDefault="00000000" w:rsidRPr="00000000" w14:paraId="0000004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ODI_Diff vs SF36_Diff</w:t>
            </w:r>
          </w:p>
        </w:tc>
        <w:tc>
          <w:tcPr/>
          <w:p w:rsidR="00000000" w:rsidDel="00000000" w:rsidP="00000000" w:rsidRDefault="00000000" w:rsidRPr="00000000" w14:paraId="0000004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0.1503</w:t>
            </w:r>
          </w:p>
        </w:tc>
        <w:tc>
          <w:tcPr/>
          <w:p w:rsidR="00000000" w:rsidDel="00000000" w:rsidP="00000000" w:rsidRDefault="00000000" w:rsidRPr="00000000" w14:paraId="0000004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0.1013</w:t>
            </w:r>
          </w:p>
        </w:tc>
      </w:tr>
      <w:tr>
        <w:trPr>
          <w:cantSplit w:val="0"/>
          <w:tblHeader w:val="0"/>
        </w:trPr>
        <w:tc>
          <w:tcPr/>
          <w:p w:rsidR="00000000" w:rsidDel="00000000" w:rsidP="00000000" w:rsidRDefault="00000000" w:rsidRPr="00000000" w14:paraId="0000004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Fat_Infiltration_Erector_Spinae vs ODI_Post</w:t>
            </w:r>
          </w:p>
        </w:tc>
        <w:tc>
          <w:tcPr/>
          <w:p w:rsidR="00000000" w:rsidDel="00000000" w:rsidP="00000000" w:rsidRDefault="00000000" w:rsidRPr="00000000" w14:paraId="0000004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-0.0415</w:t>
            </w:r>
          </w:p>
        </w:tc>
        <w:tc>
          <w:tcPr/>
          <w:p w:rsidR="00000000" w:rsidDel="00000000" w:rsidP="00000000" w:rsidRDefault="00000000" w:rsidRPr="00000000" w14:paraId="0000004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0.6524</w:t>
            </w:r>
          </w:p>
        </w:tc>
      </w:tr>
      <w:tr>
        <w:trPr>
          <w:cantSplit w:val="0"/>
          <w:tblHeader w:val="0"/>
        </w:trPr>
        <w:tc>
          <w:tcPr/>
          <w:p w:rsidR="00000000" w:rsidDel="00000000" w:rsidP="00000000" w:rsidRDefault="00000000" w:rsidRPr="00000000" w14:paraId="0000004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Fat_Infiltration_Psoas vs ODI_Post</w:t>
            </w:r>
          </w:p>
        </w:tc>
        <w:tc>
          <w:tcPr/>
          <w:p w:rsidR="00000000" w:rsidDel="00000000" w:rsidP="00000000" w:rsidRDefault="00000000" w:rsidRPr="00000000" w14:paraId="0000004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0.0036</w:t>
            </w:r>
          </w:p>
        </w:tc>
        <w:tc>
          <w:tcPr/>
          <w:p w:rsidR="00000000" w:rsidDel="00000000" w:rsidP="00000000" w:rsidRDefault="00000000" w:rsidRPr="00000000" w14:paraId="0000004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0.9686</w:t>
            </w:r>
          </w:p>
        </w:tc>
      </w:tr>
    </w:tbl>
    <w:p w:rsidR="00000000" w:rsidDel="00000000" w:rsidP="00000000" w:rsidRDefault="00000000" w:rsidRPr="00000000" w14:paraId="0000004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Table S1.</w:t>
      </w:r>
      <w:r w:rsidDel="00000000" w:rsidR="00000000" w:rsidRPr="00000000">
        <w:rPr>
          <w:rFonts w:ascii="Times New Roman" w:cs="Times New Roman" w:eastAsia="Times New Roman" w:hAnsi="Times New Roman"/>
          <w:sz w:val="22"/>
          <w:szCs w:val="22"/>
          <w:rtl w:val="0"/>
        </w:rPr>
        <w:t xml:space="preserve"> Pearson correlations among normally distributed variables (n = 120).</w:t>
        <w:br w:type="textWrapping"/>
        <w:t xml:space="preserve">Pearson correlation coefficients (r) with p-values are shown for associations among variables classified as normally distributed by the Shapiro–Wilk test. Significant correlations (p &lt; 0.05) are highlighted in bold.</w:t>
      </w:r>
    </w:p>
    <w:p w:rsidR="00000000" w:rsidDel="00000000" w:rsidP="00000000" w:rsidRDefault="00000000" w:rsidRPr="00000000" w14:paraId="00000050">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1">
      <w:pPr>
        <w:rPr>
          <w:rFonts w:ascii="Times New Roman" w:cs="Times New Roman" w:eastAsia="Times New Roman" w:hAnsi="Times New Roman"/>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2"/>
        <w:jc w:val="both"/>
        <w:rPr>
          <w:rFonts w:ascii="Times New Roman" w:cs="Times New Roman" w:eastAsia="Times New Roman" w:hAnsi="Times New Roman"/>
          <w:b w:val="1"/>
          <w:bCs w:val="1"/>
          <w:sz w:val="22"/>
          <w:szCs w:val="22"/>
        </w:rPr>
      </w:pPr>
      <w:bookmarkStart w:colFirst="0" w:colLast="0" w:name="_heading=h.2ecu2agqejnj" w:id="2"/>
      <w:bookmarkEnd w:id="2"/>
      <w:r w:rsidDel="00000000" w:rsidR="00000000" w:rsidRPr="00000000">
        <w:rPr>
          <w:rFonts w:ascii="Times New Roman" w:cs="Times New Roman" w:eastAsia="Times New Roman" w:hAnsi="Times New Roman"/>
          <w:b w:val="1"/>
          <w:bCs w:val="1"/>
          <w:sz w:val="22"/>
          <w:szCs w:val="22"/>
          <w:rtl w:val="0"/>
        </w:rPr>
        <w:t xml:space="preserve">Supplementary Table S2. Spearman Correlations (n = 120)</w:t>
      </w:r>
    </w:p>
    <w:p w:rsidR="00000000" w:rsidDel="00000000" w:rsidP="00000000" w:rsidRDefault="00000000" w:rsidRPr="00000000" w14:paraId="00000053">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Spearman correlation coefficients (ρ) with p-values for associations among variables with non-normal distribution based on Shapiro–Wilk tests. Significant correlations (p &lt; 0.05) are highlighted in bold.</w:t>
      </w:r>
    </w:p>
    <w:tbl>
      <w:tblPr>
        <w:tblStyle w:val="Table2"/>
        <w:tblW w:w="7971.0" w:type="dxa"/>
        <w:jc w:val="left"/>
        <w:tblBorders>
          <w:top w:color="0f9ed5" w:space="0" w:sz="4" w:val="single"/>
          <w:bottom w:color="0f9ed5" w:space="0" w:sz="4" w:val="single"/>
        </w:tblBorders>
        <w:tblLayout w:type="fixed"/>
        <w:tblLook w:val="04A0"/>
      </w:tblPr>
      <w:tblGrid>
        <w:gridCol w:w="3403"/>
        <w:gridCol w:w="2284"/>
        <w:gridCol w:w="2284"/>
        <w:tblGridChange w:id="0">
          <w:tblGrid>
            <w:gridCol w:w="3403"/>
            <w:gridCol w:w="2284"/>
            <w:gridCol w:w="2284"/>
          </w:tblGrid>
        </w:tblGridChange>
      </w:tblGrid>
      <w:tr>
        <w:trPr>
          <w:cantSplit w:val="0"/>
          <w:tblHeader w:val="0"/>
        </w:trPr>
        <w:tc>
          <w:tcPr/>
          <w:p w:rsidR="00000000" w:rsidDel="00000000" w:rsidP="00000000" w:rsidRDefault="00000000" w:rsidRPr="00000000" w14:paraId="0000005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Correlation Pair</w:t>
            </w:r>
          </w:p>
        </w:tc>
        <w:tc>
          <w:tcPr/>
          <w:p w:rsidR="00000000" w:rsidDel="00000000" w:rsidP="00000000" w:rsidRDefault="00000000" w:rsidRPr="00000000" w14:paraId="0000005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ρ</w:t>
            </w:r>
          </w:p>
        </w:tc>
        <w:tc>
          <w:tcPr/>
          <w:p w:rsidR="00000000" w:rsidDel="00000000" w:rsidP="00000000" w:rsidRDefault="00000000" w:rsidRPr="00000000" w14:paraId="0000005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p-value</w:t>
            </w:r>
          </w:p>
        </w:tc>
      </w:tr>
      <w:tr>
        <w:trPr>
          <w:cantSplit w:val="0"/>
          <w:tblHeader w:val="0"/>
        </w:trPr>
        <w:tc>
          <w:tcPr/>
          <w:p w:rsidR="00000000" w:rsidDel="00000000" w:rsidP="00000000" w:rsidRDefault="00000000" w:rsidRPr="00000000" w14:paraId="0000005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ODI_Post</w:t>
            </w:r>
          </w:p>
        </w:tc>
        <w:tc>
          <w:tcPr/>
          <w:p w:rsidR="00000000" w:rsidDel="00000000" w:rsidP="00000000" w:rsidRDefault="00000000" w:rsidRPr="00000000" w14:paraId="0000005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0.0705</w:t>
            </w:r>
          </w:p>
        </w:tc>
        <w:tc>
          <w:tcPr/>
          <w:p w:rsidR="00000000" w:rsidDel="00000000" w:rsidP="00000000" w:rsidRDefault="00000000" w:rsidRPr="00000000" w14:paraId="0000005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0.4441</w:t>
            </w:r>
          </w:p>
        </w:tc>
      </w:tr>
      <w:tr>
        <w:trPr>
          <w:cantSplit w:val="0"/>
          <w:tblHeader w:val="0"/>
        </w:trPr>
        <w:tc>
          <w:tcPr/>
          <w:p w:rsidR="00000000" w:rsidDel="00000000" w:rsidP="00000000" w:rsidRDefault="00000000" w:rsidRPr="00000000" w14:paraId="0000005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SF36_Post</w:t>
            </w:r>
          </w:p>
        </w:tc>
        <w:tc>
          <w:tcPr/>
          <w:p w:rsidR="00000000" w:rsidDel="00000000" w:rsidP="00000000" w:rsidRDefault="00000000" w:rsidRPr="00000000" w14:paraId="0000005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-0.1745</w:t>
            </w:r>
          </w:p>
        </w:tc>
        <w:tc>
          <w:tcPr/>
          <w:p w:rsidR="00000000" w:rsidDel="00000000" w:rsidP="00000000" w:rsidRDefault="00000000" w:rsidRPr="00000000" w14:paraId="0000005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0.0566</w:t>
            </w:r>
          </w:p>
        </w:tc>
      </w:tr>
      <w:tr>
        <w:trPr>
          <w:cantSplit w:val="0"/>
          <w:tblHeader w:val="0"/>
        </w:trPr>
        <w:tc>
          <w:tcPr/>
          <w:p w:rsidR="00000000" w:rsidDel="00000000" w:rsidP="00000000" w:rsidRDefault="00000000" w:rsidRPr="00000000" w14:paraId="0000005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VAS_Diff</w:t>
            </w:r>
          </w:p>
        </w:tc>
        <w:tc>
          <w:tcPr/>
          <w:p w:rsidR="00000000" w:rsidDel="00000000" w:rsidP="00000000" w:rsidRDefault="00000000" w:rsidRPr="00000000" w14:paraId="0000005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-0.7340</w:t>
            </w:r>
          </w:p>
        </w:tc>
        <w:tc>
          <w:tcPr/>
          <w:p w:rsidR="00000000" w:rsidDel="00000000" w:rsidP="00000000" w:rsidRDefault="00000000" w:rsidRPr="00000000" w14:paraId="0000005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0.0001</w:t>
            </w:r>
          </w:p>
        </w:tc>
      </w:tr>
      <w:tr>
        <w:trPr>
          <w:cantSplit w:val="0"/>
          <w:tblHeader w:val="0"/>
        </w:trPr>
        <w:tc>
          <w:tcPr/>
          <w:p w:rsidR="00000000" w:rsidDel="00000000" w:rsidP="00000000" w:rsidRDefault="00000000" w:rsidRPr="00000000" w14:paraId="0000006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ODI_Diff</w:t>
            </w:r>
          </w:p>
        </w:tc>
        <w:tc>
          <w:tcPr/>
          <w:p w:rsidR="00000000" w:rsidDel="00000000" w:rsidP="00000000" w:rsidRDefault="00000000" w:rsidRPr="00000000" w14:paraId="0000006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0.1385</w:t>
            </w:r>
          </w:p>
        </w:tc>
        <w:tc>
          <w:tcPr/>
          <w:p w:rsidR="00000000" w:rsidDel="00000000" w:rsidP="00000000" w:rsidRDefault="00000000" w:rsidRPr="00000000" w14:paraId="0000006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0.1313</w:t>
            </w:r>
          </w:p>
        </w:tc>
      </w:tr>
      <w:tr>
        <w:trPr>
          <w:cantSplit w:val="0"/>
          <w:tblHeader w:val="0"/>
        </w:trPr>
        <w:tc>
          <w:tcPr/>
          <w:p w:rsidR="00000000" w:rsidDel="00000000" w:rsidP="00000000" w:rsidRDefault="00000000" w:rsidRPr="00000000" w14:paraId="0000006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SF36_Diff</w:t>
            </w:r>
          </w:p>
        </w:tc>
        <w:tc>
          <w:tcPr/>
          <w:p w:rsidR="00000000" w:rsidDel="00000000" w:rsidP="00000000" w:rsidRDefault="00000000" w:rsidRPr="00000000" w14:paraId="0000006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0.0681</w:t>
            </w:r>
          </w:p>
        </w:tc>
        <w:tc>
          <w:tcPr/>
          <w:p w:rsidR="00000000" w:rsidDel="00000000" w:rsidP="00000000" w:rsidRDefault="00000000" w:rsidRPr="00000000" w14:paraId="0000006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0.4601</w:t>
            </w:r>
          </w:p>
        </w:tc>
      </w:tr>
      <w:tr>
        <w:trPr>
          <w:cantSplit w:val="0"/>
          <w:tblHeader w:val="0"/>
        </w:trPr>
        <w:tc>
          <w:tcPr/>
          <w:p w:rsidR="00000000" w:rsidDel="00000000" w:rsidP="00000000" w:rsidRDefault="00000000" w:rsidRPr="00000000" w14:paraId="0000006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CSA_Multifidus</w:t>
            </w:r>
          </w:p>
        </w:tc>
        <w:tc>
          <w:tcPr/>
          <w:p w:rsidR="00000000" w:rsidDel="00000000" w:rsidP="00000000" w:rsidRDefault="00000000" w:rsidRPr="00000000" w14:paraId="0000006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0.0321</w:t>
            </w:r>
          </w:p>
        </w:tc>
        <w:tc>
          <w:tcPr/>
          <w:p w:rsidR="00000000" w:rsidDel="00000000" w:rsidP="00000000" w:rsidRDefault="00000000" w:rsidRPr="00000000" w14:paraId="0000006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0.7282</w:t>
            </w:r>
          </w:p>
        </w:tc>
      </w:tr>
      <w:tr>
        <w:trPr>
          <w:cantSplit w:val="0"/>
          <w:tblHeader w:val="0"/>
        </w:trPr>
        <w:tc>
          <w:tcPr/>
          <w:p w:rsidR="00000000" w:rsidDel="00000000" w:rsidP="00000000" w:rsidRDefault="00000000" w:rsidRPr="00000000" w14:paraId="0000006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CSA_Erector_Spinae</w:t>
            </w:r>
          </w:p>
        </w:tc>
        <w:tc>
          <w:tcPr/>
          <w:p w:rsidR="00000000" w:rsidDel="00000000" w:rsidP="00000000" w:rsidRDefault="00000000" w:rsidRPr="00000000" w14:paraId="0000006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0.3146</w:t>
            </w:r>
          </w:p>
        </w:tc>
        <w:tc>
          <w:tcPr/>
          <w:p w:rsidR="00000000" w:rsidDel="00000000" w:rsidP="00000000" w:rsidRDefault="00000000" w:rsidRPr="00000000" w14:paraId="0000006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0.0005</w:t>
            </w:r>
          </w:p>
        </w:tc>
      </w:tr>
      <w:tr>
        <w:trPr>
          <w:cantSplit w:val="0"/>
          <w:tblHeader w:val="0"/>
        </w:trPr>
        <w:tc>
          <w:tcPr/>
          <w:p w:rsidR="00000000" w:rsidDel="00000000" w:rsidP="00000000" w:rsidRDefault="00000000" w:rsidRPr="00000000" w14:paraId="0000006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CSA_Psoas</w:t>
            </w:r>
          </w:p>
        </w:tc>
        <w:tc>
          <w:tcPr/>
          <w:p w:rsidR="00000000" w:rsidDel="00000000" w:rsidP="00000000" w:rsidRDefault="00000000" w:rsidRPr="00000000" w14:paraId="0000006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-0.1886</w:t>
            </w:r>
          </w:p>
        </w:tc>
        <w:tc>
          <w:tcPr/>
          <w:p w:rsidR="00000000" w:rsidDel="00000000" w:rsidP="00000000" w:rsidRDefault="00000000" w:rsidRPr="00000000" w14:paraId="0000006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0.0391</w:t>
            </w:r>
          </w:p>
        </w:tc>
      </w:tr>
      <w:tr>
        <w:trPr>
          <w:cantSplit w:val="0"/>
          <w:tblHeader w:val="0"/>
        </w:trPr>
        <w:tc>
          <w:tcPr/>
          <w:p w:rsidR="00000000" w:rsidDel="00000000" w:rsidP="00000000" w:rsidRDefault="00000000" w:rsidRPr="00000000" w14:paraId="0000006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Fat_Infiltration_Multifidus</w:t>
            </w:r>
          </w:p>
        </w:tc>
        <w:tc>
          <w:tcPr/>
          <w:p w:rsidR="00000000" w:rsidDel="00000000" w:rsidP="00000000" w:rsidRDefault="00000000" w:rsidRPr="00000000" w14:paraId="0000007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0.0271</w:t>
            </w:r>
          </w:p>
        </w:tc>
        <w:tc>
          <w:tcPr/>
          <w:p w:rsidR="00000000" w:rsidDel="00000000" w:rsidP="00000000" w:rsidRDefault="00000000" w:rsidRPr="00000000" w14:paraId="0000007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0.7687</w:t>
            </w:r>
          </w:p>
        </w:tc>
      </w:tr>
      <w:tr>
        <w:trPr>
          <w:cantSplit w:val="0"/>
          <w:tblHeader w:val="0"/>
        </w:trPr>
        <w:tc>
          <w:tcPr/>
          <w:p w:rsidR="00000000" w:rsidDel="00000000" w:rsidP="00000000" w:rsidRDefault="00000000" w:rsidRPr="00000000" w14:paraId="0000007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Fat_Infiltration_Erector_Spinae</w:t>
            </w:r>
          </w:p>
        </w:tc>
        <w:tc>
          <w:tcPr/>
          <w:p w:rsidR="00000000" w:rsidDel="00000000" w:rsidP="00000000" w:rsidRDefault="00000000" w:rsidRPr="00000000" w14:paraId="0000007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-0.0695</w:t>
            </w:r>
          </w:p>
        </w:tc>
        <w:tc>
          <w:tcPr/>
          <w:p w:rsidR="00000000" w:rsidDel="00000000" w:rsidP="00000000" w:rsidRDefault="00000000" w:rsidRPr="00000000" w14:paraId="0000007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0.4507</w:t>
            </w:r>
          </w:p>
        </w:tc>
      </w:tr>
      <w:tr>
        <w:trPr>
          <w:cantSplit w:val="0"/>
          <w:tblHeader w:val="0"/>
        </w:trPr>
        <w:tc>
          <w:tcPr/>
          <w:p w:rsidR="00000000" w:rsidDel="00000000" w:rsidP="00000000" w:rsidRDefault="00000000" w:rsidRPr="00000000" w14:paraId="0000007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VAS_Post vs Fat_Infiltration_Psoas</w:t>
            </w:r>
          </w:p>
        </w:tc>
        <w:tc>
          <w:tcPr/>
          <w:p w:rsidR="00000000" w:rsidDel="00000000" w:rsidP="00000000" w:rsidRDefault="00000000" w:rsidRPr="00000000" w14:paraId="0000007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0.0262</w:t>
            </w:r>
          </w:p>
        </w:tc>
        <w:tc>
          <w:tcPr/>
          <w:p w:rsidR="00000000" w:rsidDel="00000000" w:rsidP="00000000" w:rsidRDefault="00000000" w:rsidRPr="00000000" w14:paraId="0000007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0.7765</w:t>
            </w:r>
          </w:p>
        </w:tc>
      </w:tr>
      <w:tr>
        <w:trPr>
          <w:cantSplit w:val="0"/>
          <w:tblHeader w:val="0"/>
        </w:trPr>
        <w:tc>
          <w:tcPr/>
          <w:p w:rsidR="00000000" w:rsidDel="00000000" w:rsidP="00000000" w:rsidRDefault="00000000" w:rsidRPr="00000000" w14:paraId="0000007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SF36_Post</w:t>
            </w:r>
          </w:p>
        </w:tc>
        <w:tc>
          <w:tcPr/>
          <w:p w:rsidR="00000000" w:rsidDel="00000000" w:rsidP="00000000" w:rsidRDefault="00000000" w:rsidRPr="00000000" w14:paraId="0000007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-0.0027</w:t>
            </w:r>
          </w:p>
        </w:tc>
        <w:tc>
          <w:tcPr/>
          <w:p w:rsidR="00000000" w:rsidDel="00000000" w:rsidP="00000000" w:rsidRDefault="00000000" w:rsidRPr="00000000" w14:paraId="0000007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0.9769</w:t>
            </w:r>
          </w:p>
        </w:tc>
      </w:tr>
      <w:tr>
        <w:trPr>
          <w:cantSplit w:val="0"/>
          <w:tblHeader w:val="0"/>
        </w:trPr>
        <w:tc>
          <w:tcPr/>
          <w:p w:rsidR="00000000" w:rsidDel="00000000" w:rsidP="00000000" w:rsidRDefault="00000000" w:rsidRPr="00000000" w14:paraId="0000007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VAS_Diff</w:t>
            </w:r>
          </w:p>
        </w:tc>
        <w:tc>
          <w:tcPr/>
          <w:p w:rsidR="00000000" w:rsidDel="00000000" w:rsidP="00000000" w:rsidRDefault="00000000" w:rsidRPr="00000000" w14:paraId="0000007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-0.0352</w:t>
            </w:r>
          </w:p>
        </w:tc>
        <w:tc>
          <w:tcPr/>
          <w:p w:rsidR="00000000" w:rsidDel="00000000" w:rsidP="00000000" w:rsidRDefault="00000000" w:rsidRPr="00000000" w14:paraId="0000007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0.7028</w:t>
            </w:r>
          </w:p>
        </w:tc>
      </w:tr>
      <w:tr>
        <w:trPr>
          <w:cantSplit w:val="0"/>
          <w:tblHeader w:val="0"/>
        </w:trPr>
        <w:tc>
          <w:tcPr/>
          <w:p w:rsidR="00000000" w:rsidDel="00000000" w:rsidP="00000000" w:rsidRDefault="00000000" w:rsidRPr="00000000" w14:paraId="0000007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ODI_Diff</w:t>
            </w:r>
          </w:p>
        </w:tc>
        <w:tc>
          <w:tcPr/>
          <w:p w:rsidR="00000000" w:rsidDel="00000000" w:rsidP="00000000" w:rsidRDefault="00000000" w:rsidRPr="00000000" w14:paraId="0000007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-0.2314</w:t>
            </w:r>
          </w:p>
        </w:tc>
        <w:tc>
          <w:tcPr/>
          <w:p w:rsidR="00000000" w:rsidDel="00000000" w:rsidP="00000000" w:rsidRDefault="00000000" w:rsidRPr="00000000" w14:paraId="0000008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0.0110</w:t>
            </w:r>
          </w:p>
        </w:tc>
      </w:tr>
      <w:tr>
        <w:trPr>
          <w:cantSplit w:val="0"/>
          <w:tblHeader w:val="0"/>
        </w:trPr>
        <w:tc>
          <w:tcPr/>
          <w:p w:rsidR="00000000" w:rsidDel="00000000" w:rsidP="00000000" w:rsidRDefault="00000000" w:rsidRPr="00000000" w14:paraId="0000008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SF36_Diff</w:t>
            </w:r>
          </w:p>
        </w:tc>
        <w:tc>
          <w:tcPr/>
          <w:p w:rsidR="00000000" w:rsidDel="00000000" w:rsidP="00000000" w:rsidRDefault="00000000" w:rsidRPr="00000000" w14:paraId="0000008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-0.0136</w:t>
            </w:r>
          </w:p>
        </w:tc>
        <w:tc>
          <w:tcPr/>
          <w:p w:rsidR="00000000" w:rsidDel="00000000" w:rsidP="00000000" w:rsidRDefault="00000000" w:rsidRPr="00000000" w14:paraId="0000008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0.8827</w:t>
            </w:r>
          </w:p>
        </w:tc>
      </w:tr>
      <w:tr>
        <w:trPr>
          <w:cantSplit w:val="0"/>
          <w:tblHeader w:val="0"/>
        </w:trPr>
        <w:tc>
          <w:tcPr/>
          <w:p w:rsidR="00000000" w:rsidDel="00000000" w:rsidP="00000000" w:rsidRDefault="00000000" w:rsidRPr="00000000" w14:paraId="0000008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CSA_Multifidus</w:t>
            </w:r>
          </w:p>
        </w:tc>
        <w:tc>
          <w:tcPr/>
          <w:p w:rsidR="00000000" w:rsidDel="00000000" w:rsidP="00000000" w:rsidRDefault="00000000" w:rsidRPr="00000000" w14:paraId="0000008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0.0391</w:t>
            </w:r>
          </w:p>
        </w:tc>
        <w:tc>
          <w:tcPr/>
          <w:p w:rsidR="00000000" w:rsidDel="00000000" w:rsidP="00000000" w:rsidRDefault="00000000" w:rsidRPr="00000000" w14:paraId="0000008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0.6714</w:t>
            </w:r>
          </w:p>
        </w:tc>
      </w:tr>
      <w:tr>
        <w:trPr>
          <w:cantSplit w:val="0"/>
          <w:tblHeader w:val="0"/>
        </w:trPr>
        <w:tc>
          <w:tcPr/>
          <w:p w:rsidR="00000000" w:rsidDel="00000000" w:rsidP="00000000" w:rsidRDefault="00000000" w:rsidRPr="00000000" w14:paraId="0000008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CSA_Erector_Spinae</w:t>
            </w:r>
          </w:p>
        </w:tc>
        <w:tc>
          <w:tcPr/>
          <w:p w:rsidR="00000000" w:rsidDel="00000000" w:rsidP="00000000" w:rsidRDefault="00000000" w:rsidRPr="00000000" w14:paraId="0000008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0.2639</w:t>
            </w:r>
          </w:p>
        </w:tc>
        <w:tc>
          <w:tcPr/>
          <w:p w:rsidR="00000000" w:rsidDel="00000000" w:rsidP="00000000" w:rsidRDefault="00000000" w:rsidRPr="00000000" w14:paraId="0000008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0.0036</w:t>
            </w:r>
          </w:p>
        </w:tc>
      </w:tr>
      <w:tr>
        <w:trPr>
          <w:cantSplit w:val="0"/>
          <w:tblHeader w:val="0"/>
        </w:trPr>
        <w:tc>
          <w:tcPr/>
          <w:p w:rsidR="00000000" w:rsidDel="00000000" w:rsidP="00000000" w:rsidRDefault="00000000" w:rsidRPr="00000000" w14:paraId="0000008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CSA_Psoas</w:t>
            </w:r>
          </w:p>
        </w:tc>
        <w:tc>
          <w:tcPr/>
          <w:p w:rsidR="00000000" w:rsidDel="00000000" w:rsidP="00000000" w:rsidRDefault="00000000" w:rsidRPr="00000000" w14:paraId="0000008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-0.1390</w:t>
            </w:r>
          </w:p>
        </w:tc>
        <w:tc>
          <w:tcPr/>
          <w:p w:rsidR="00000000" w:rsidDel="00000000" w:rsidP="00000000" w:rsidRDefault="00000000" w:rsidRPr="00000000" w14:paraId="0000008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0.1299</w:t>
            </w:r>
          </w:p>
        </w:tc>
      </w:tr>
      <w:tr>
        <w:trPr>
          <w:cantSplit w:val="0"/>
          <w:tblHeader w:val="0"/>
        </w:trPr>
        <w:tc>
          <w:tcPr/>
          <w:p w:rsidR="00000000" w:rsidDel="00000000" w:rsidP="00000000" w:rsidRDefault="00000000" w:rsidRPr="00000000" w14:paraId="0000008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Fat_Infiltration_Multifidus</w:t>
            </w:r>
          </w:p>
        </w:tc>
        <w:tc>
          <w:tcPr/>
          <w:p w:rsidR="00000000" w:rsidDel="00000000" w:rsidP="00000000" w:rsidRDefault="00000000" w:rsidRPr="00000000" w14:paraId="0000008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-0.0213</w:t>
            </w:r>
          </w:p>
        </w:tc>
        <w:tc>
          <w:tcPr/>
          <w:p w:rsidR="00000000" w:rsidDel="00000000" w:rsidP="00000000" w:rsidRDefault="00000000" w:rsidRPr="00000000" w14:paraId="0000008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0.8172</w:t>
            </w:r>
          </w:p>
        </w:tc>
      </w:tr>
      <w:tr>
        <w:trPr>
          <w:cantSplit w:val="0"/>
          <w:tblHeader w:val="0"/>
        </w:trPr>
        <w:tc>
          <w:tcPr/>
          <w:p w:rsidR="00000000" w:rsidDel="00000000" w:rsidP="00000000" w:rsidRDefault="00000000" w:rsidRPr="00000000" w14:paraId="0000009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Fat_Infiltration_Erector_Spinae</w:t>
            </w:r>
          </w:p>
        </w:tc>
        <w:tc>
          <w:tcPr/>
          <w:p w:rsidR="00000000" w:rsidDel="00000000" w:rsidP="00000000" w:rsidRDefault="00000000" w:rsidRPr="00000000" w14:paraId="0000009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-0.0491</w:t>
            </w:r>
          </w:p>
        </w:tc>
        <w:tc>
          <w:tcPr/>
          <w:p w:rsidR="00000000" w:rsidDel="00000000" w:rsidP="00000000" w:rsidRDefault="00000000" w:rsidRPr="00000000" w14:paraId="0000009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0.5944</w:t>
            </w:r>
          </w:p>
        </w:tc>
      </w:tr>
      <w:tr>
        <w:trPr>
          <w:cantSplit w:val="0"/>
          <w:tblHeader w:val="0"/>
        </w:trPr>
        <w:tc>
          <w:tcPr/>
          <w:p w:rsidR="00000000" w:rsidDel="00000000" w:rsidP="00000000" w:rsidRDefault="00000000" w:rsidRPr="00000000" w14:paraId="0000009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ODI_Post vs Fat_Infiltration_Psoas</w:t>
            </w:r>
          </w:p>
        </w:tc>
        <w:tc>
          <w:tcPr/>
          <w:p w:rsidR="00000000" w:rsidDel="00000000" w:rsidP="00000000" w:rsidRDefault="00000000" w:rsidRPr="00000000" w14:paraId="0000009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-0.0149</w:t>
            </w:r>
          </w:p>
        </w:tc>
        <w:tc>
          <w:tcPr/>
          <w:p w:rsidR="00000000" w:rsidDel="00000000" w:rsidP="00000000" w:rsidRDefault="00000000" w:rsidRPr="00000000" w14:paraId="0000009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0.8718</w:t>
            </w:r>
          </w:p>
        </w:tc>
      </w:tr>
      <w:tr>
        <w:trPr>
          <w:cantSplit w:val="0"/>
          <w:tblHeader w:val="0"/>
        </w:trPr>
        <w:tc>
          <w:tcPr/>
          <w:p w:rsidR="00000000" w:rsidDel="00000000" w:rsidP="00000000" w:rsidRDefault="00000000" w:rsidRPr="00000000" w14:paraId="0000009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VAS_Diff</w:t>
            </w:r>
          </w:p>
        </w:tc>
        <w:tc>
          <w:tcPr/>
          <w:p w:rsidR="00000000" w:rsidDel="00000000" w:rsidP="00000000" w:rsidRDefault="00000000" w:rsidRPr="00000000" w14:paraId="0000009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0.1847</w:t>
            </w:r>
          </w:p>
        </w:tc>
        <w:tc>
          <w:tcPr/>
          <w:p w:rsidR="00000000" w:rsidDel="00000000" w:rsidP="00000000" w:rsidRDefault="00000000" w:rsidRPr="00000000" w14:paraId="0000009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0.0434</w:t>
            </w:r>
          </w:p>
        </w:tc>
      </w:tr>
      <w:tr>
        <w:trPr>
          <w:cantSplit w:val="0"/>
          <w:tblHeader w:val="0"/>
        </w:trPr>
        <w:tc>
          <w:tcPr/>
          <w:p w:rsidR="00000000" w:rsidDel="00000000" w:rsidP="00000000" w:rsidRDefault="00000000" w:rsidRPr="00000000" w14:paraId="0000009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ODI_Diff</w:t>
            </w:r>
          </w:p>
        </w:tc>
        <w:tc>
          <w:tcPr/>
          <w:p w:rsidR="00000000" w:rsidDel="00000000" w:rsidP="00000000" w:rsidRDefault="00000000" w:rsidRPr="00000000" w14:paraId="0000009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-0.0266</w:t>
            </w:r>
          </w:p>
        </w:tc>
        <w:tc>
          <w:tcPr/>
          <w:p w:rsidR="00000000" w:rsidDel="00000000" w:rsidP="00000000" w:rsidRDefault="00000000" w:rsidRPr="00000000" w14:paraId="0000009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0.7729</w:t>
            </w:r>
          </w:p>
        </w:tc>
      </w:tr>
      <w:tr>
        <w:trPr>
          <w:cantSplit w:val="0"/>
          <w:tblHeader w:val="0"/>
        </w:trPr>
        <w:tc>
          <w:tcPr/>
          <w:p w:rsidR="00000000" w:rsidDel="00000000" w:rsidP="00000000" w:rsidRDefault="00000000" w:rsidRPr="00000000" w14:paraId="0000009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SF36_Diff</w:t>
            </w:r>
          </w:p>
        </w:tc>
        <w:tc>
          <w:tcPr/>
          <w:p w:rsidR="00000000" w:rsidDel="00000000" w:rsidP="00000000" w:rsidRDefault="00000000" w:rsidRPr="00000000" w14:paraId="0000009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0.5139</w:t>
            </w:r>
          </w:p>
        </w:tc>
        <w:tc>
          <w:tcPr/>
          <w:p w:rsidR="00000000" w:rsidDel="00000000" w:rsidP="00000000" w:rsidRDefault="00000000" w:rsidRPr="00000000" w14:paraId="0000009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0.0001</w:t>
            </w:r>
          </w:p>
        </w:tc>
      </w:tr>
      <w:tr>
        <w:trPr>
          <w:cantSplit w:val="0"/>
          <w:tblHeader w:val="0"/>
        </w:trPr>
        <w:tc>
          <w:tcPr/>
          <w:p w:rsidR="00000000" w:rsidDel="00000000" w:rsidP="00000000" w:rsidRDefault="00000000" w:rsidRPr="00000000" w14:paraId="0000009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CSA_Multifidus</w:t>
            </w:r>
          </w:p>
        </w:tc>
        <w:tc>
          <w:tcPr/>
          <w:p w:rsidR="00000000" w:rsidDel="00000000" w:rsidP="00000000" w:rsidRDefault="00000000" w:rsidRPr="00000000" w14:paraId="000000A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-0.1105</w:t>
            </w:r>
          </w:p>
        </w:tc>
        <w:tc>
          <w:tcPr/>
          <w:p w:rsidR="00000000" w:rsidDel="00000000" w:rsidP="00000000" w:rsidRDefault="00000000" w:rsidRPr="00000000" w14:paraId="000000A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0.2296</w:t>
            </w:r>
          </w:p>
        </w:tc>
      </w:tr>
      <w:tr>
        <w:trPr>
          <w:cantSplit w:val="0"/>
          <w:tblHeader w:val="0"/>
        </w:trPr>
        <w:tc>
          <w:tcPr/>
          <w:p w:rsidR="00000000" w:rsidDel="00000000" w:rsidP="00000000" w:rsidRDefault="00000000" w:rsidRPr="00000000" w14:paraId="000000A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CSA_Erector_Spinae</w:t>
            </w:r>
          </w:p>
        </w:tc>
        <w:tc>
          <w:tcPr/>
          <w:p w:rsidR="00000000" w:rsidDel="00000000" w:rsidP="00000000" w:rsidRDefault="00000000" w:rsidRPr="00000000" w14:paraId="000000A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-0.0994</w:t>
            </w:r>
          </w:p>
        </w:tc>
        <w:tc>
          <w:tcPr/>
          <w:p w:rsidR="00000000" w:rsidDel="00000000" w:rsidP="00000000" w:rsidRDefault="00000000" w:rsidRPr="00000000" w14:paraId="000000A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0.2799</w:t>
            </w:r>
          </w:p>
        </w:tc>
      </w:tr>
      <w:tr>
        <w:trPr>
          <w:cantSplit w:val="0"/>
          <w:tblHeader w:val="0"/>
        </w:trPr>
        <w:tc>
          <w:tcPr/>
          <w:p w:rsidR="00000000" w:rsidDel="00000000" w:rsidP="00000000" w:rsidRDefault="00000000" w:rsidRPr="00000000" w14:paraId="000000A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CSA_Psoas</w:t>
            </w:r>
          </w:p>
        </w:tc>
        <w:tc>
          <w:tcPr/>
          <w:p w:rsidR="00000000" w:rsidDel="00000000" w:rsidP="00000000" w:rsidRDefault="00000000" w:rsidRPr="00000000" w14:paraId="000000A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0.0485</w:t>
            </w:r>
          </w:p>
        </w:tc>
        <w:tc>
          <w:tcPr/>
          <w:p w:rsidR="00000000" w:rsidDel="00000000" w:rsidP="00000000" w:rsidRDefault="00000000" w:rsidRPr="00000000" w14:paraId="000000A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0.5987</w:t>
            </w:r>
          </w:p>
        </w:tc>
      </w:tr>
      <w:tr>
        <w:trPr>
          <w:cantSplit w:val="0"/>
          <w:tblHeader w:val="0"/>
        </w:trPr>
        <w:tc>
          <w:tcPr/>
          <w:p w:rsidR="00000000" w:rsidDel="00000000" w:rsidP="00000000" w:rsidRDefault="00000000" w:rsidRPr="00000000" w14:paraId="000000A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Fat_Infiltration_Multifidus</w:t>
            </w:r>
          </w:p>
        </w:tc>
        <w:tc>
          <w:tcPr/>
          <w:p w:rsidR="00000000" w:rsidDel="00000000" w:rsidP="00000000" w:rsidRDefault="00000000" w:rsidRPr="00000000" w14:paraId="000000A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0.1586</w:t>
            </w:r>
          </w:p>
        </w:tc>
        <w:tc>
          <w:tcPr/>
          <w:p w:rsidR="00000000" w:rsidDel="00000000" w:rsidP="00000000" w:rsidRDefault="00000000" w:rsidRPr="00000000" w14:paraId="000000A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0.0835</w:t>
            </w:r>
          </w:p>
        </w:tc>
      </w:tr>
      <w:tr>
        <w:trPr>
          <w:cantSplit w:val="0"/>
          <w:tblHeader w:val="0"/>
        </w:trPr>
        <w:tc>
          <w:tcPr/>
          <w:p w:rsidR="00000000" w:rsidDel="00000000" w:rsidP="00000000" w:rsidRDefault="00000000" w:rsidRPr="00000000" w14:paraId="000000A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Fat_Infiltration_Erector_Spinae</w:t>
            </w:r>
          </w:p>
        </w:tc>
        <w:tc>
          <w:tcPr/>
          <w:p w:rsidR="00000000" w:rsidDel="00000000" w:rsidP="00000000" w:rsidRDefault="00000000" w:rsidRPr="00000000" w14:paraId="000000A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0.1067</w:t>
            </w:r>
          </w:p>
        </w:tc>
        <w:tc>
          <w:tcPr/>
          <w:p w:rsidR="00000000" w:rsidDel="00000000" w:rsidP="00000000" w:rsidRDefault="00000000" w:rsidRPr="00000000" w14:paraId="000000A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0.2460</w:t>
            </w:r>
          </w:p>
        </w:tc>
      </w:tr>
      <w:tr>
        <w:trPr>
          <w:cantSplit w:val="0"/>
          <w:tblHeader w:val="0"/>
        </w:trPr>
        <w:tc>
          <w:tcPr/>
          <w:p w:rsidR="00000000" w:rsidDel="00000000" w:rsidP="00000000" w:rsidRDefault="00000000" w:rsidRPr="00000000" w14:paraId="000000A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SF36_Post vs Fat_Infiltration_Psoas</w:t>
            </w:r>
          </w:p>
        </w:tc>
        <w:tc>
          <w:tcPr/>
          <w:p w:rsidR="00000000" w:rsidDel="00000000" w:rsidP="00000000" w:rsidRDefault="00000000" w:rsidRPr="00000000" w14:paraId="000000A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0.1452</w:t>
            </w:r>
          </w:p>
        </w:tc>
        <w:tc>
          <w:tcPr/>
          <w:p w:rsidR="00000000" w:rsidDel="00000000" w:rsidP="00000000" w:rsidRDefault="00000000" w:rsidRPr="00000000" w14:paraId="000000B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0.1135</w:t>
            </w:r>
          </w:p>
        </w:tc>
      </w:tr>
    </w:tbl>
    <w:p w:rsidR="00000000" w:rsidDel="00000000" w:rsidP="00000000" w:rsidRDefault="00000000" w:rsidRPr="00000000" w14:paraId="000000B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Supplementary Table S2.</w:t>
      </w:r>
      <w:r w:rsidDel="00000000" w:rsidR="00000000" w:rsidRPr="00000000">
        <w:rPr>
          <w:rFonts w:ascii="Times New Roman" w:cs="Times New Roman" w:eastAsia="Times New Roman" w:hAnsi="Times New Roman"/>
          <w:sz w:val="22"/>
          <w:szCs w:val="22"/>
          <w:rtl w:val="0"/>
        </w:rPr>
        <w:t xml:space="preserve"> Spearman correlations among non-normally distributed variables (n = 120).</w:t>
        <w:br w:type="textWrapping"/>
        <w:t xml:space="preserve">Spearman correlation coefficients (ρ) with p-values are shown for associations among variables classified as non-normal by the Shapiro–Wilk test. Significant correlations (p &lt; 0.05) are highlighted in bold.</w:t>
      </w:r>
    </w:p>
    <w:p w:rsidR="00000000" w:rsidDel="00000000" w:rsidP="00000000" w:rsidRDefault="00000000" w:rsidRPr="00000000" w14:paraId="000000B2">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B3">
      <w:pPr>
        <w:pStyle w:val="Heading2"/>
        <w:jc w:val="both"/>
        <w:rPr>
          <w:rFonts w:ascii="Times New Roman" w:cs="Times New Roman" w:eastAsia="Times New Roman" w:hAnsi="Times New Roman"/>
          <w:b w:val="1"/>
          <w:bCs w:val="1"/>
          <w:sz w:val="22"/>
          <w:szCs w:val="22"/>
        </w:rPr>
      </w:pPr>
      <w:bookmarkStart w:colFirst="0" w:colLast="0" w:name="_heading=h.ompc8n4c9053" w:id="3"/>
      <w:bookmarkEnd w:id="3"/>
      <w:r w:rsidDel="00000000" w:rsidR="00000000" w:rsidRPr="00000000">
        <w:rPr>
          <w:rFonts w:ascii="Times New Roman" w:cs="Times New Roman" w:eastAsia="Times New Roman" w:hAnsi="Times New Roman"/>
          <w:b w:val="1"/>
          <w:bCs w:val="1"/>
          <w:sz w:val="22"/>
          <w:szCs w:val="22"/>
          <w:rtl w:val="0"/>
        </w:rPr>
        <w:t xml:space="preserve">Supplementary Table S3. Diagnostic test results for regression models (n = 120).</w:t>
      </w:r>
    </w:p>
    <w:p w:rsidR="00000000" w:rsidDel="00000000" w:rsidP="00000000" w:rsidRDefault="00000000" w:rsidRPr="00000000" w14:paraId="000000B4">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Summary of normality and model fit diagnostics for regression residuals of ΔVAS, ΔODI, and ΔSF-36 improvement models. Shapiro–Wilk tests were used to assess normality. Cook’s distance was applied to identify influential observations (see Supplementary Figure S3).</w:t>
      </w:r>
    </w:p>
    <w:tbl>
      <w:tblPr>
        <w:tblStyle w:val="Table3"/>
        <w:tblW w:w="7971.0" w:type="dxa"/>
        <w:jc w:val="left"/>
        <w:tblBorders>
          <w:top w:color="0f9ed5" w:space="0" w:sz="4" w:val="single"/>
          <w:bottom w:color="0f9ed5" w:space="0" w:sz="4" w:val="single"/>
        </w:tblBorders>
        <w:tblLayout w:type="fixed"/>
        <w:tblLook w:val="04A0"/>
      </w:tblPr>
      <w:tblGrid>
        <w:gridCol w:w="1072"/>
        <w:gridCol w:w="1266"/>
        <w:gridCol w:w="1365"/>
        <w:gridCol w:w="952"/>
        <w:gridCol w:w="760"/>
        <w:gridCol w:w="1496"/>
        <w:gridCol w:w="1060"/>
        <w:tblGridChange w:id="0">
          <w:tblGrid>
            <w:gridCol w:w="1072"/>
            <w:gridCol w:w="1266"/>
            <w:gridCol w:w="1365"/>
            <w:gridCol w:w="952"/>
            <w:gridCol w:w="760"/>
            <w:gridCol w:w="1496"/>
            <w:gridCol w:w="1060"/>
          </w:tblGrid>
        </w:tblGridChange>
      </w:tblGrid>
      <w:tr>
        <w:trPr>
          <w:cantSplit w:val="0"/>
          <w:tblHeader w:val="0"/>
        </w:trPr>
        <w:tc>
          <w:tcPr/>
          <w:p w:rsidR="00000000" w:rsidDel="00000000" w:rsidP="00000000" w:rsidRDefault="00000000" w:rsidRPr="00000000" w14:paraId="000000B5">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Outcome</w:t>
            </w:r>
            <w:r w:rsidDel="00000000" w:rsidR="00000000" w:rsidRPr="00000000">
              <w:rPr>
                <w:rtl w:val="0"/>
              </w:rPr>
            </w:r>
          </w:p>
        </w:tc>
        <w:tc>
          <w:tcPr/>
          <w:p w:rsidR="00000000" w:rsidDel="00000000" w:rsidP="00000000" w:rsidRDefault="00000000" w:rsidRPr="00000000" w14:paraId="000000B6">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Shapiro–Wilk (p)</w:t>
            </w:r>
            <w:r w:rsidDel="00000000" w:rsidR="00000000" w:rsidRPr="00000000">
              <w:rPr>
                <w:rtl w:val="0"/>
              </w:rPr>
            </w:r>
          </w:p>
        </w:tc>
        <w:tc>
          <w:tcPr/>
          <w:p w:rsidR="00000000" w:rsidDel="00000000" w:rsidP="00000000" w:rsidRDefault="00000000" w:rsidRPr="00000000" w14:paraId="000000B7">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Residual normality</w:t>
            </w:r>
            <w:r w:rsidDel="00000000" w:rsidR="00000000" w:rsidRPr="00000000">
              <w:rPr>
                <w:rtl w:val="0"/>
              </w:rPr>
            </w:r>
          </w:p>
        </w:tc>
        <w:tc>
          <w:tcPr/>
          <w:p w:rsidR="00000000" w:rsidDel="00000000" w:rsidP="00000000" w:rsidRDefault="00000000" w:rsidRPr="00000000" w14:paraId="000000B8">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Model fit R²</w:t>
            </w:r>
            <w:r w:rsidDel="00000000" w:rsidR="00000000" w:rsidRPr="00000000">
              <w:rPr>
                <w:rtl w:val="0"/>
              </w:rPr>
            </w:r>
          </w:p>
        </w:tc>
        <w:tc>
          <w:tcPr/>
          <w:p w:rsidR="00000000" w:rsidDel="00000000" w:rsidP="00000000" w:rsidRDefault="00000000" w:rsidRPr="00000000" w14:paraId="000000B9">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Adj. R²</w:t>
            </w:r>
            <w:r w:rsidDel="00000000" w:rsidR="00000000" w:rsidRPr="00000000">
              <w:rPr>
                <w:rtl w:val="0"/>
              </w:rPr>
            </w:r>
          </w:p>
        </w:tc>
        <w:tc>
          <w:tcPr/>
          <w:p w:rsidR="00000000" w:rsidDel="00000000" w:rsidP="00000000" w:rsidRDefault="00000000" w:rsidRPr="00000000" w14:paraId="000000BA">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F-statistic (df)</w:t>
            </w:r>
            <w:r w:rsidDel="00000000" w:rsidR="00000000" w:rsidRPr="00000000">
              <w:rPr>
                <w:rtl w:val="0"/>
              </w:rPr>
            </w:r>
          </w:p>
        </w:tc>
        <w:tc>
          <w:tcPr/>
          <w:p w:rsidR="00000000" w:rsidDel="00000000" w:rsidP="00000000" w:rsidRDefault="00000000" w:rsidRPr="00000000" w14:paraId="000000BB">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p(model)</w:t>
            </w:r>
            <w:r w:rsidDel="00000000" w:rsidR="00000000" w:rsidRPr="00000000">
              <w:rPr>
                <w:rtl w:val="0"/>
              </w:rPr>
            </w:r>
          </w:p>
        </w:tc>
      </w:tr>
      <w:tr>
        <w:trPr>
          <w:cantSplit w:val="0"/>
          <w:tblHeader w:val="0"/>
        </w:trPr>
        <w:tc>
          <w:tcPr/>
          <w:p w:rsidR="00000000" w:rsidDel="00000000" w:rsidP="00000000" w:rsidRDefault="00000000" w:rsidRPr="00000000" w14:paraId="000000B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ΔVAS</w:t>
            </w:r>
          </w:p>
        </w:tc>
        <w:tc>
          <w:tcPr/>
          <w:p w:rsidR="00000000" w:rsidDel="00000000" w:rsidP="00000000" w:rsidRDefault="00000000" w:rsidRPr="00000000" w14:paraId="000000B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e.g., 0.1217</w:t>
            </w:r>
          </w:p>
        </w:tc>
        <w:tc>
          <w:tcPr/>
          <w:p w:rsidR="00000000" w:rsidDel="00000000" w:rsidP="00000000" w:rsidRDefault="00000000" w:rsidRPr="00000000" w14:paraId="000000B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Normal (p &gt; 0.05)</w:t>
            </w:r>
          </w:p>
        </w:tc>
        <w:tc>
          <w:tcPr/>
          <w:p w:rsidR="00000000" w:rsidDel="00000000" w:rsidP="00000000" w:rsidRDefault="00000000" w:rsidRPr="00000000" w14:paraId="000000B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0.205</w:t>
            </w:r>
          </w:p>
        </w:tc>
        <w:tc>
          <w:tcPr/>
          <w:p w:rsidR="00000000" w:rsidDel="00000000" w:rsidP="00000000" w:rsidRDefault="00000000" w:rsidRPr="00000000" w14:paraId="000000C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0.140</w:t>
            </w:r>
          </w:p>
        </w:tc>
        <w:tc>
          <w:tcPr/>
          <w:p w:rsidR="00000000" w:rsidDel="00000000" w:rsidP="00000000" w:rsidRDefault="00000000" w:rsidRPr="00000000" w14:paraId="000000C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F(9,110)=3.15</w:t>
            </w:r>
          </w:p>
        </w:tc>
        <w:tc>
          <w:tcPr/>
          <w:p w:rsidR="00000000" w:rsidDel="00000000" w:rsidP="00000000" w:rsidRDefault="00000000" w:rsidRPr="00000000" w14:paraId="000000C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0.002</w:t>
            </w:r>
          </w:p>
        </w:tc>
      </w:tr>
      <w:tr>
        <w:trPr>
          <w:cantSplit w:val="0"/>
          <w:tblHeader w:val="0"/>
        </w:trPr>
        <w:tc>
          <w:tcPr/>
          <w:p w:rsidR="00000000" w:rsidDel="00000000" w:rsidP="00000000" w:rsidRDefault="00000000" w:rsidRPr="00000000" w14:paraId="000000C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ΔODI</w:t>
            </w:r>
          </w:p>
        </w:tc>
        <w:tc>
          <w:tcPr/>
          <w:p w:rsidR="00000000" w:rsidDel="00000000" w:rsidP="00000000" w:rsidRDefault="00000000" w:rsidRPr="00000000" w14:paraId="000000C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e.g., 0.1701</w:t>
            </w:r>
          </w:p>
        </w:tc>
        <w:tc>
          <w:tcPr/>
          <w:p w:rsidR="00000000" w:rsidDel="00000000" w:rsidP="00000000" w:rsidRDefault="00000000" w:rsidRPr="00000000" w14:paraId="000000C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Normal (p &gt; 0.05)</w:t>
            </w:r>
          </w:p>
        </w:tc>
        <w:tc>
          <w:tcPr/>
          <w:p w:rsidR="00000000" w:rsidDel="00000000" w:rsidP="00000000" w:rsidRDefault="00000000" w:rsidRPr="00000000" w14:paraId="000000C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0.102</w:t>
            </w:r>
          </w:p>
        </w:tc>
        <w:tc>
          <w:tcPr/>
          <w:p w:rsidR="00000000" w:rsidDel="00000000" w:rsidP="00000000" w:rsidRDefault="00000000" w:rsidRPr="00000000" w14:paraId="000000C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0.028</w:t>
            </w:r>
          </w:p>
        </w:tc>
        <w:tc>
          <w:tcPr/>
          <w:p w:rsidR="00000000" w:rsidDel="00000000" w:rsidP="00000000" w:rsidRDefault="00000000" w:rsidRPr="00000000" w14:paraId="000000C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F(9,110)=1.38</w:t>
            </w:r>
          </w:p>
        </w:tc>
        <w:tc>
          <w:tcPr/>
          <w:p w:rsidR="00000000" w:rsidDel="00000000" w:rsidP="00000000" w:rsidRDefault="00000000" w:rsidRPr="00000000" w14:paraId="000000C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0.204</w:t>
            </w:r>
          </w:p>
        </w:tc>
      </w:tr>
      <w:tr>
        <w:trPr>
          <w:cantSplit w:val="0"/>
          <w:tblHeader w:val="0"/>
        </w:trPr>
        <w:tc>
          <w:tcPr/>
          <w:p w:rsidR="00000000" w:rsidDel="00000000" w:rsidP="00000000" w:rsidRDefault="00000000" w:rsidRPr="00000000" w14:paraId="000000C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ΔSF-36</w:t>
            </w:r>
          </w:p>
        </w:tc>
        <w:tc>
          <w:tcPr/>
          <w:p w:rsidR="00000000" w:rsidDel="00000000" w:rsidP="00000000" w:rsidRDefault="00000000" w:rsidRPr="00000000" w14:paraId="000000C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e.g., 0.2492</w:t>
            </w:r>
          </w:p>
        </w:tc>
        <w:tc>
          <w:tcPr/>
          <w:p w:rsidR="00000000" w:rsidDel="00000000" w:rsidP="00000000" w:rsidRDefault="00000000" w:rsidRPr="00000000" w14:paraId="000000C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Normal (p &gt; 0.05)</w:t>
            </w:r>
          </w:p>
        </w:tc>
        <w:tc>
          <w:tcPr/>
          <w:p w:rsidR="00000000" w:rsidDel="00000000" w:rsidP="00000000" w:rsidRDefault="00000000" w:rsidRPr="00000000" w14:paraId="000000C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0.131</w:t>
            </w:r>
          </w:p>
        </w:tc>
        <w:tc>
          <w:tcPr/>
          <w:p w:rsidR="00000000" w:rsidDel="00000000" w:rsidP="00000000" w:rsidRDefault="00000000" w:rsidRPr="00000000" w14:paraId="000000C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0.060</w:t>
            </w:r>
          </w:p>
        </w:tc>
        <w:tc>
          <w:tcPr/>
          <w:p w:rsidR="00000000" w:rsidDel="00000000" w:rsidP="00000000" w:rsidRDefault="00000000" w:rsidRPr="00000000" w14:paraId="000000C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F(9,110)=1.85</w:t>
            </w:r>
          </w:p>
        </w:tc>
        <w:tc>
          <w:tcPr/>
          <w:p w:rsidR="00000000" w:rsidDel="00000000" w:rsidP="00000000" w:rsidRDefault="00000000" w:rsidRPr="00000000" w14:paraId="000000D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0.067</w:t>
            </w:r>
          </w:p>
        </w:tc>
      </w:tr>
    </w:tbl>
    <w:p w:rsidR="00000000" w:rsidDel="00000000" w:rsidP="00000000" w:rsidRDefault="00000000" w:rsidRPr="00000000" w14:paraId="000000D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Supplementary Table S3.</w:t>
      </w:r>
      <w:r w:rsidDel="00000000" w:rsidR="00000000" w:rsidRPr="00000000">
        <w:rPr>
          <w:rFonts w:ascii="Times New Roman" w:cs="Times New Roman" w:eastAsia="Times New Roman" w:hAnsi="Times New Roman"/>
          <w:i w:val="1"/>
          <w:iCs w:val="1"/>
          <w:sz w:val="22"/>
          <w:szCs w:val="22"/>
          <w:rtl w:val="0"/>
        </w:rPr>
        <w:t xml:space="preserve"> Diagnostic test results for regression models (n = 120).</w:t>
        <w:br w:type="textWrapping"/>
        <w:t xml:space="preserve">This table summarizes model diagnostics for regression residuals of ΔVAS, ΔODI, and ΔSF-36 improvement models. Shapiro–Wilk tests were applied to assess residual normality, and model fit was evaluated using R², adjusted R², F-statistics, and overall model p-values. Cook’s distance was used to identify influential observations (see Supplementary Figure S3).</w:t>
      </w:r>
      <w:r w:rsidDel="00000000" w:rsidR="00000000" w:rsidRPr="00000000">
        <w:br w:type="page"/>
      </w: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bCs w:val="1"/>
          <w:sz w:val="22"/>
          <w:szCs w:val="22"/>
        </w:rPr>
      </w:pPr>
      <w:r w:rsidDel="00000000" w:rsidR="00000000" w:rsidRPr="00000000">
        <w:rPr>
          <w:rtl w:val="0"/>
        </w:rPr>
      </w:r>
    </w:p>
    <w:p w:rsidR="00000000" w:rsidDel="00000000" w:rsidP="00000000" w:rsidRDefault="00000000" w:rsidRPr="00000000" w14:paraId="000000D3">
      <w:pPr>
        <w:pStyle w:val="Heading2"/>
        <w:rPr>
          <w:rFonts w:ascii="Times New Roman" w:cs="Times New Roman" w:eastAsia="Times New Roman" w:hAnsi="Times New Roman"/>
          <w:b w:val="1"/>
          <w:bCs w:val="1"/>
          <w:sz w:val="22"/>
          <w:szCs w:val="22"/>
        </w:rPr>
      </w:pPr>
      <w:bookmarkStart w:colFirst="0" w:colLast="0" w:name="_heading=h.y6uaoqh4lozk" w:id="4"/>
      <w:bookmarkEnd w:id="4"/>
      <w:r w:rsidDel="00000000" w:rsidR="00000000" w:rsidRPr="00000000">
        <w:rPr>
          <w:rFonts w:ascii="Times New Roman" w:cs="Times New Roman" w:eastAsia="Times New Roman" w:hAnsi="Times New Roman"/>
          <w:b w:val="1"/>
          <w:bCs w:val="1"/>
          <w:sz w:val="22"/>
          <w:szCs w:val="22"/>
          <w:rtl w:val="0"/>
        </w:rPr>
        <w:t xml:space="preserve">Supplementary Table S4. Robust regression coefficients (HC3) compared to OLS.</w:t>
      </w:r>
    </w:p>
    <w:p w:rsidR="00000000" w:rsidDel="00000000" w:rsidP="00000000" w:rsidRDefault="00000000" w:rsidRPr="00000000" w14:paraId="000000D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Comparison of standardized regression coefficients (β) estimated by ordinary least squares (OLS) and robust HC3 variance estimation for ΔVAS, ΔODI, and ΔSF-36 improvement models.</w:t>
      </w:r>
    </w:p>
    <w:tbl>
      <w:tblPr>
        <w:tblStyle w:val="Table4"/>
        <w:tblW w:w="7971.0" w:type="dxa"/>
        <w:jc w:val="left"/>
        <w:tblBorders>
          <w:top w:color="0f9ed5" w:space="0" w:sz="4" w:val="single"/>
          <w:bottom w:color="0f9ed5" w:space="0" w:sz="4" w:val="single"/>
        </w:tblBorders>
        <w:tblLayout w:type="fixed"/>
        <w:tblLook w:val="04A0"/>
      </w:tblPr>
      <w:tblGrid>
        <w:gridCol w:w="1072"/>
        <w:gridCol w:w="1806"/>
        <w:gridCol w:w="1558"/>
        <w:gridCol w:w="879"/>
        <w:gridCol w:w="1777"/>
        <w:gridCol w:w="879"/>
        <w:tblGridChange w:id="0">
          <w:tblGrid>
            <w:gridCol w:w="1072"/>
            <w:gridCol w:w="1806"/>
            <w:gridCol w:w="1558"/>
            <w:gridCol w:w="879"/>
            <w:gridCol w:w="1777"/>
            <w:gridCol w:w="879"/>
          </w:tblGrid>
        </w:tblGridChange>
      </w:tblGrid>
      <w:tr>
        <w:trPr>
          <w:cantSplit w:val="0"/>
          <w:tblHeader w:val="0"/>
        </w:trPr>
        <w:tc>
          <w:tcPr/>
          <w:p w:rsidR="00000000" w:rsidDel="00000000" w:rsidP="00000000" w:rsidRDefault="00000000" w:rsidRPr="00000000" w14:paraId="000000D5">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Outcome</w:t>
            </w:r>
            <w:r w:rsidDel="00000000" w:rsidR="00000000" w:rsidRPr="00000000">
              <w:rPr>
                <w:rtl w:val="0"/>
              </w:rPr>
            </w:r>
          </w:p>
        </w:tc>
        <w:tc>
          <w:tcPr/>
          <w:p w:rsidR="00000000" w:rsidDel="00000000" w:rsidP="00000000" w:rsidRDefault="00000000" w:rsidRPr="00000000" w14:paraId="000000D6">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Predictor</w:t>
            </w:r>
            <w:r w:rsidDel="00000000" w:rsidR="00000000" w:rsidRPr="00000000">
              <w:rPr>
                <w:rtl w:val="0"/>
              </w:rPr>
            </w:r>
          </w:p>
        </w:tc>
        <w:tc>
          <w:tcPr/>
          <w:p w:rsidR="00000000" w:rsidDel="00000000" w:rsidP="00000000" w:rsidRDefault="00000000" w:rsidRPr="00000000" w14:paraId="000000D7">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OLS β (95% CI)</w:t>
            </w:r>
            <w:r w:rsidDel="00000000" w:rsidR="00000000" w:rsidRPr="00000000">
              <w:rPr>
                <w:rtl w:val="0"/>
              </w:rPr>
            </w:r>
          </w:p>
        </w:tc>
        <w:tc>
          <w:tcPr/>
          <w:p w:rsidR="00000000" w:rsidDel="00000000" w:rsidP="00000000" w:rsidRDefault="00000000" w:rsidRPr="00000000" w14:paraId="000000D8">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p-value</w:t>
            </w:r>
            <w:r w:rsidDel="00000000" w:rsidR="00000000" w:rsidRPr="00000000">
              <w:rPr>
                <w:rtl w:val="0"/>
              </w:rPr>
            </w:r>
          </w:p>
        </w:tc>
        <w:tc>
          <w:tcPr/>
          <w:p w:rsidR="00000000" w:rsidDel="00000000" w:rsidP="00000000" w:rsidRDefault="00000000" w:rsidRPr="00000000" w14:paraId="000000D9">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Robust HC3 β (95% CI)</w:t>
            </w:r>
            <w:r w:rsidDel="00000000" w:rsidR="00000000" w:rsidRPr="00000000">
              <w:rPr>
                <w:rtl w:val="0"/>
              </w:rPr>
            </w:r>
          </w:p>
        </w:tc>
        <w:tc>
          <w:tcPr/>
          <w:p w:rsidR="00000000" w:rsidDel="00000000" w:rsidP="00000000" w:rsidRDefault="00000000" w:rsidRPr="00000000" w14:paraId="000000DA">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p-value</w:t>
            </w:r>
            <w:r w:rsidDel="00000000" w:rsidR="00000000" w:rsidRPr="00000000">
              <w:rPr>
                <w:rtl w:val="0"/>
              </w:rPr>
            </w:r>
          </w:p>
        </w:tc>
      </w:tr>
      <w:tr>
        <w:trPr>
          <w:cantSplit w:val="0"/>
          <w:tblHeader w:val="0"/>
        </w:trPr>
        <w:tc>
          <w:tcPr/>
          <w:p w:rsidR="00000000" w:rsidDel="00000000" w:rsidP="00000000" w:rsidRDefault="00000000" w:rsidRPr="00000000" w14:paraId="000000D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ΔVAS</w:t>
            </w:r>
          </w:p>
        </w:tc>
        <w:tc>
          <w:tcPr/>
          <w:p w:rsidR="00000000" w:rsidDel="00000000" w:rsidP="00000000" w:rsidRDefault="00000000" w:rsidRPr="00000000" w14:paraId="000000D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BMI (kg/m²)</w:t>
            </w:r>
          </w:p>
        </w:tc>
        <w:tc>
          <w:tcPr/>
          <w:p w:rsidR="00000000" w:rsidDel="00000000" w:rsidP="00000000" w:rsidRDefault="00000000" w:rsidRPr="00000000" w14:paraId="000000D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0.34 (0.16–0.51)</w:t>
            </w:r>
          </w:p>
        </w:tc>
        <w:tc>
          <w:tcPr/>
          <w:p w:rsidR="00000000" w:rsidDel="00000000" w:rsidP="00000000" w:rsidRDefault="00000000" w:rsidRPr="00000000" w14:paraId="000000D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&lt;0.001</w:t>
            </w:r>
          </w:p>
        </w:tc>
        <w:tc>
          <w:tcPr/>
          <w:p w:rsidR="00000000" w:rsidDel="00000000" w:rsidP="00000000" w:rsidRDefault="00000000" w:rsidRPr="00000000" w14:paraId="000000D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~0.34 (0.15–0.52)</w:t>
            </w:r>
          </w:p>
        </w:tc>
        <w:tc>
          <w:tcPr/>
          <w:p w:rsidR="00000000" w:rsidDel="00000000" w:rsidP="00000000" w:rsidRDefault="00000000" w:rsidRPr="00000000" w14:paraId="000000E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&lt;0.001</w:t>
            </w:r>
          </w:p>
        </w:tc>
      </w:tr>
      <w:tr>
        <w:trPr>
          <w:cantSplit w:val="0"/>
          <w:tblHeader w:val="0"/>
        </w:trPr>
        <w:tc>
          <w:tcPr/>
          <w:p w:rsidR="00000000" w:rsidDel="00000000" w:rsidP="00000000" w:rsidRDefault="00000000" w:rsidRPr="00000000" w14:paraId="000000E1">
            <w:pPr>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E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CSA – Erector spinae</w:t>
            </w:r>
          </w:p>
        </w:tc>
        <w:tc>
          <w:tcPr/>
          <w:p w:rsidR="00000000" w:rsidDel="00000000" w:rsidP="00000000" w:rsidRDefault="00000000" w:rsidRPr="00000000" w14:paraId="000000E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–0.21 (–0.38 to –0.03)</w:t>
            </w:r>
          </w:p>
        </w:tc>
        <w:tc>
          <w:tcPr/>
          <w:p w:rsidR="00000000" w:rsidDel="00000000" w:rsidP="00000000" w:rsidRDefault="00000000" w:rsidRPr="00000000" w14:paraId="000000E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0.022</w:t>
            </w:r>
          </w:p>
        </w:tc>
        <w:tc>
          <w:tcPr/>
          <w:p w:rsidR="00000000" w:rsidDel="00000000" w:rsidP="00000000" w:rsidRDefault="00000000" w:rsidRPr="00000000" w14:paraId="000000E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–0.22 (–0.39 to –0.05)</w:t>
            </w:r>
          </w:p>
        </w:tc>
        <w:tc>
          <w:tcPr/>
          <w:p w:rsidR="00000000" w:rsidDel="00000000" w:rsidP="00000000" w:rsidRDefault="00000000" w:rsidRPr="00000000" w14:paraId="000000E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0.015</w:t>
            </w:r>
          </w:p>
        </w:tc>
      </w:tr>
      <w:tr>
        <w:trPr>
          <w:cantSplit w:val="0"/>
          <w:tblHeader w:val="0"/>
        </w:trPr>
        <w:tc>
          <w:tcPr/>
          <w:p w:rsidR="00000000" w:rsidDel="00000000" w:rsidP="00000000" w:rsidRDefault="00000000" w:rsidRPr="00000000" w14:paraId="000000E7">
            <w:pPr>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E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Fat infiltration – Psoas</w:t>
            </w:r>
          </w:p>
        </w:tc>
        <w:tc>
          <w:tcPr/>
          <w:p w:rsidR="00000000" w:rsidDel="00000000" w:rsidP="00000000" w:rsidRDefault="00000000" w:rsidRPr="00000000" w14:paraId="000000E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0.19 (0.01–0.37)</w:t>
            </w:r>
          </w:p>
        </w:tc>
        <w:tc>
          <w:tcPr/>
          <w:p w:rsidR="00000000" w:rsidDel="00000000" w:rsidP="00000000" w:rsidRDefault="00000000" w:rsidRPr="00000000" w14:paraId="000000E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0.035</w:t>
            </w:r>
          </w:p>
        </w:tc>
        <w:tc>
          <w:tcPr/>
          <w:p w:rsidR="00000000" w:rsidDel="00000000" w:rsidP="00000000" w:rsidRDefault="00000000" w:rsidRPr="00000000" w14:paraId="000000E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0.18 (0.00–0.36)</w:t>
            </w:r>
          </w:p>
        </w:tc>
        <w:tc>
          <w:tcPr/>
          <w:p w:rsidR="00000000" w:rsidDel="00000000" w:rsidP="00000000" w:rsidRDefault="00000000" w:rsidRPr="00000000" w14:paraId="000000E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0.048</w:t>
            </w:r>
          </w:p>
        </w:tc>
      </w:tr>
      <w:tr>
        <w:trPr>
          <w:cantSplit w:val="0"/>
          <w:tblHeader w:val="0"/>
        </w:trPr>
        <w:tc>
          <w:tcPr/>
          <w:p w:rsidR="00000000" w:rsidDel="00000000" w:rsidP="00000000" w:rsidRDefault="00000000" w:rsidRPr="00000000" w14:paraId="000000E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ΔODI</w:t>
            </w:r>
          </w:p>
        </w:tc>
        <w:tc>
          <w:tcPr/>
          <w:p w:rsidR="00000000" w:rsidDel="00000000" w:rsidP="00000000" w:rsidRDefault="00000000" w:rsidRPr="00000000" w14:paraId="000000E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CSA – Erector spinae</w:t>
            </w:r>
          </w:p>
        </w:tc>
        <w:tc>
          <w:tcPr/>
          <w:p w:rsidR="00000000" w:rsidDel="00000000" w:rsidP="00000000" w:rsidRDefault="00000000" w:rsidRPr="00000000" w14:paraId="000000EF">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–0.17 (–0.35 to 0.02)</w:t>
            </w:r>
          </w:p>
        </w:tc>
        <w:tc>
          <w:tcPr/>
          <w:p w:rsidR="00000000" w:rsidDel="00000000" w:rsidP="00000000" w:rsidRDefault="00000000" w:rsidRPr="00000000" w14:paraId="000000F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0.078</w:t>
            </w:r>
          </w:p>
        </w:tc>
        <w:tc>
          <w:tcPr/>
          <w:p w:rsidR="00000000" w:rsidDel="00000000" w:rsidP="00000000" w:rsidRDefault="00000000" w:rsidRPr="00000000" w14:paraId="000000F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–0.18 (–0.36 to 0.01)</w:t>
            </w:r>
          </w:p>
        </w:tc>
        <w:tc>
          <w:tcPr/>
          <w:p w:rsidR="00000000" w:rsidDel="00000000" w:rsidP="00000000" w:rsidRDefault="00000000" w:rsidRPr="00000000" w14:paraId="000000F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0.066</w:t>
            </w:r>
          </w:p>
        </w:tc>
      </w:tr>
      <w:tr>
        <w:trPr>
          <w:cantSplit w:val="0"/>
          <w:tblHeader w:val="0"/>
        </w:trPr>
        <w:tc>
          <w:tcPr/>
          <w:p w:rsidR="00000000" w:rsidDel="00000000" w:rsidP="00000000" w:rsidRDefault="00000000" w:rsidRPr="00000000" w14:paraId="000000F3">
            <w:pPr>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0F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Age (years)</w:t>
            </w:r>
          </w:p>
        </w:tc>
        <w:tc>
          <w:tcPr/>
          <w:p w:rsidR="00000000" w:rsidDel="00000000" w:rsidP="00000000" w:rsidRDefault="00000000" w:rsidRPr="00000000" w14:paraId="000000F5">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0.14 (–0.05 to 0.33)</w:t>
            </w:r>
          </w:p>
        </w:tc>
        <w:tc>
          <w:tcPr/>
          <w:p w:rsidR="00000000" w:rsidDel="00000000" w:rsidP="00000000" w:rsidRDefault="00000000" w:rsidRPr="00000000" w14:paraId="000000F6">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0.144</w:t>
            </w:r>
          </w:p>
        </w:tc>
        <w:tc>
          <w:tcPr/>
          <w:p w:rsidR="00000000" w:rsidDel="00000000" w:rsidP="00000000" w:rsidRDefault="00000000" w:rsidRPr="00000000" w14:paraId="000000F7">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0.15 (–0.04 to 0.34)</w:t>
            </w:r>
          </w:p>
        </w:tc>
        <w:tc>
          <w:tcPr/>
          <w:p w:rsidR="00000000" w:rsidDel="00000000" w:rsidP="00000000" w:rsidRDefault="00000000" w:rsidRPr="00000000" w14:paraId="000000F8">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0.128</w:t>
            </w:r>
          </w:p>
        </w:tc>
      </w:tr>
      <w:tr>
        <w:trPr>
          <w:cantSplit w:val="0"/>
          <w:tblHeader w:val="0"/>
        </w:trPr>
        <w:tc>
          <w:tcPr/>
          <w:p w:rsidR="00000000" w:rsidDel="00000000" w:rsidP="00000000" w:rsidRDefault="00000000" w:rsidRPr="00000000" w14:paraId="000000F9">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ΔSF-36</w:t>
            </w:r>
          </w:p>
        </w:tc>
        <w:tc>
          <w:tcPr/>
          <w:p w:rsidR="00000000" w:rsidDel="00000000" w:rsidP="00000000" w:rsidRDefault="00000000" w:rsidRPr="00000000" w14:paraId="000000FA">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Age (years)</w:t>
            </w:r>
          </w:p>
        </w:tc>
        <w:tc>
          <w:tcPr/>
          <w:p w:rsidR="00000000" w:rsidDel="00000000" w:rsidP="00000000" w:rsidRDefault="00000000" w:rsidRPr="00000000" w14:paraId="000000FB">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0.22 (0.03–0.40)</w:t>
            </w:r>
          </w:p>
        </w:tc>
        <w:tc>
          <w:tcPr/>
          <w:p w:rsidR="00000000" w:rsidDel="00000000" w:rsidP="00000000" w:rsidRDefault="00000000" w:rsidRPr="00000000" w14:paraId="000000FC">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0.022</w:t>
            </w:r>
          </w:p>
        </w:tc>
        <w:tc>
          <w:tcPr/>
          <w:p w:rsidR="00000000" w:rsidDel="00000000" w:rsidP="00000000" w:rsidRDefault="00000000" w:rsidRPr="00000000" w14:paraId="000000FD">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0.21 (0.02–0.39)</w:t>
            </w:r>
          </w:p>
        </w:tc>
        <w:tc>
          <w:tcPr/>
          <w:p w:rsidR="00000000" w:rsidDel="00000000" w:rsidP="00000000" w:rsidRDefault="00000000" w:rsidRPr="00000000" w14:paraId="000000FE">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0.025</w:t>
            </w:r>
          </w:p>
        </w:tc>
      </w:tr>
      <w:tr>
        <w:trPr>
          <w:cantSplit w:val="0"/>
          <w:tblHeader w:val="0"/>
        </w:trPr>
        <w:tc>
          <w:tcPr/>
          <w:p w:rsidR="00000000" w:rsidDel="00000000" w:rsidP="00000000" w:rsidRDefault="00000000" w:rsidRPr="00000000" w14:paraId="000000FF">
            <w:pPr>
              <w:rPr>
                <w:rFonts w:ascii="Times New Roman" w:cs="Times New Roman" w:eastAsia="Times New Roman" w:hAnsi="Times New Roman"/>
                <w:color w:val="000000"/>
                <w:sz w:val="22"/>
                <w:szCs w:val="22"/>
              </w:rPr>
            </w:pPr>
            <w:r w:rsidDel="00000000" w:rsidR="00000000" w:rsidRPr="00000000">
              <w:rPr>
                <w:rtl w:val="0"/>
              </w:rPr>
            </w:r>
          </w:p>
        </w:tc>
        <w:tc>
          <w:tcPr/>
          <w:p w:rsidR="00000000" w:rsidDel="00000000" w:rsidP="00000000" w:rsidRDefault="00000000" w:rsidRPr="00000000" w14:paraId="00000100">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Fat infiltration – Multif.</w:t>
            </w:r>
          </w:p>
        </w:tc>
        <w:tc>
          <w:tcPr/>
          <w:p w:rsidR="00000000" w:rsidDel="00000000" w:rsidP="00000000" w:rsidRDefault="00000000" w:rsidRPr="00000000" w14:paraId="00000101">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0.18 (–0.01 to 0.37)</w:t>
            </w:r>
          </w:p>
        </w:tc>
        <w:tc>
          <w:tcPr/>
          <w:p w:rsidR="00000000" w:rsidDel="00000000" w:rsidP="00000000" w:rsidRDefault="00000000" w:rsidRPr="00000000" w14:paraId="00000102">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0.056</w:t>
            </w:r>
          </w:p>
        </w:tc>
        <w:tc>
          <w:tcPr/>
          <w:p w:rsidR="00000000" w:rsidDel="00000000" w:rsidP="00000000" w:rsidRDefault="00000000" w:rsidRPr="00000000" w14:paraId="00000103">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0.17 (–0.02 to 0.36)</w:t>
            </w:r>
          </w:p>
        </w:tc>
        <w:tc>
          <w:tcPr/>
          <w:p w:rsidR="00000000" w:rsidDel="00000000" w:rsidP="00000000" w:rsidRDefault="00000000" w:rsidRPr="00000000" w14:paraId="00000104">
            <w:pPr>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0.072</w:t>
            </w:r>
          </w:p>
        </w:tc>
      </w:tr>
    </w:tbl>
    <w:p w:rsidR="00000000" w:rsidDel="00000000" w:rsidP="00000000" w:rsidRDefault="00000000" w:rsidRPr="00000000" w14:paraId="00000105">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Supplementary Table S4.</w:t>
      </w:r>
      <w:r w:rsidDel="00000000" w:rsidR="00000000" w:rsidRPr="00000000">
        <w:rPr>
          <w:rFonts w:ascii="Times New Roman" w:cs="Times New Roman" w:eastAsia="Times New Roman" w:hAnsi="Times New Roman"/>
          <w:i w:val="1"/>
          <w:iCs w:val="1"/>
          <w:sz w:val="22"/>
          <w:szCs w:val="22"/>
          <w:rtl w:val="0"/>
        </w:rPr>
        <w:t xml:space="preserve"> Robust regression coefficients (HC3) for postoperative improvement models (n = 120).</w:t>
        <w:br w:type="textWrapping"/>
        <w:t xml:space="preserve">This table presents HC3 robust regression coefficients (β), standard errors (SE), t-statistics, and p-values for predictors of improvement in pain (ΔVAS), disability (ΔODI), and quality of life (ΔSF-36). Predictors include MRI-derived cross-sectional areas (CSA) of paraspinal muscles and fat infiltration measures, adjusted for age, sex, BMI, and other clinical covariates. Asterisk (*) indicates statistical significance at p &lt; 0.05.</w:t>
      </w:r>
    </w:p>
    <w:p w:rsidR="00000000" w:rsidDel="00000000" w:rsidP="00000000" w:rsidRDefault="00000000" w:rsidRPr="00000000" w14:paraId="00000106">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07">
      <w:pPr>
        <w:pStyle w:val="Heading2"/>
        <w:rPr>
          <w:rFonts w:ascii="Times New Roman" w:cs="Times New Roman" w:eastAsia="Times New Roman" w:hAnsi="Times New Roman"/>
          <w:b w:val="1"/>
          <w:bCs w:val="1"/>
          <w:sz w:val="22"/>
          <w:szCs w:val="22"/>
        </w:rPr>
      </w:pPr>
      <w:bookmarkStart w:colFirst="0" w:colLast="0" w:name="_heading=h.u5ql6465yev6" w:id="5"/>
      <w:bookmarkEnd w:id="5"/>
      <w:r w:rsidDel="00000000" w:rsidR="00000000" w:rsidRPr="00000000">
        <w:rPr>
          <w:rFonts w:ascii="Times New Roman" w:cs="Times New Roman" w:eastAsia="Times New Roman" w:hAnsi="Times New Roman"/>
          <w:b w:val="1"/>
          <w:bCs w:val="1"/>
          <w:sz w:val="22"/>
          <w:szCs w:val="22"/>
          <w:rtl w:val="0"/>
        </w:rPr>
        <w:t xml:space="preserve">Supplementary Table S5. STROBE checklist summary.</w:t>
      </w:r>
    </w:p>
    <w:p w:rsidR="00000000" w:rsidDel="00000000" w:rsidP="00000000" w:rsidRDefault="00000000" w:rsidRPr="00000000" w14:paraId="00000108">
      <w:pPr>
        <w:spacing w:after="0" w:line="276" w:lineRule="auto"/>
        <w:rPr>
          <w:rFonts w:ascii="Arial" w:cs="Arial" w:eastAsia="Arial" w:hAnsi="Arial"/>
          <w:sz w:val="22"/>
          <w:szCs w:val="22"/>
        </w:rPr>
      </w:pPr>
      <w:r w:rsidDel="00000000" w:rsidR="00000000" w:rsidRPr="00000000">
        <w:rPr>
          <w:rtl w:val="0"/>
        </w:rPr>
      </w:r>
    </w:p>
    <w:tbl>
      <w:tblPr>
        <w:tblStyle w:val="Table5"/>
        <w:tblpPr w:leftFromText="180" w:rightFromText="180" w:topFromText="180" w:bottomFromText="180" w:vertAnchor="text" w:horzAnchor="text" w:tblpX="-1078" w:tblpY="0"/>
        <w:tblW w:w="103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2235"/>
        <w:gridCol w:w="2070"/>
        <w:gridCol w:w="3780"/>
        <w:tblGridChange w:id="0">
          <w:tblGrid>
            <w:gridCol w:w="2235"/>
            <w:gridCol w:w="2235"/>
            <w:gridCol w:w="2070"/>
            <w:gridCol w:w="3780"/>
          </w:tblGrid>
        </w:tblGridChange>
      </w:tblGrid>
      <w:tr>
        <w:trPr>
          <w:cantSplit w:val="0"/>
          <w:tblHeader w:val="0"/>
        </w:trPr>
        <w:tc>
          <w:tcPr/>
          <w:p w:rsidR="00000000" w:rsidDel="00000000" w:rsidP="00000000" w:rsidRDefault="00000000" w:rsidRPr="00000000" w14:paraId="00000109">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Item</w:t>
            </w:r>
          </w:p>
        </w:tc>
        <w:tc>
          <w:tcPr/>
          <w:p w:rsidR="00000000" w:rsidDel="00000000" w:rsidP="00000000" w:rsidRDefault="00000000" w:rsidRPr="00000000" w14:paraId="0000010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Item No</w:t>
            </w:r>
          </w:p>
        </w:tc>
        <w:tc>
          <w:tcPr/>
          <w:p w:rsidR="00000000" w:rsidDel="00000000" w:rsidP="00000000" w:rsidRDefault="00000000" w:rsidRPr="00000000" w14:paraId="0000010B">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Location of report</w:t>
            </w:r>
          </w:p>
        </w:tc>
        <w:tc>
          <w:tcPr/>
          <w:p w:rsidR="00000000" w:rsidDel="00000000" w:rsidP="00000000" w:rsidRDefault="00000000" w:rsidRPr="00000000" w14:paraId="0000010C">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Reported as</w:t>
            </w:r>
          </w:p>
        </w:tc>
      </w:tr>
      <w:tr>
        <w:trPr>
          <w:cantSplit w:val="0"/>
          <w:tblHeader w:val="0"/>
        </w:trPr>
        <w:tc>
          <w:tcPr/>
          <w:p w:rsidR="00000000" w:rsidDel="00000000" w:rsidP="00000000" w:rsidRDefault="00000000" w:rsidRPr="00000000" w14:paraId="0000010D">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Title and abstract</w:t>
            </w:r>
          </w:p>
        </w:tc>
        <w:tc>
          <w:tcPr/>
          <w:p w:rsidR="00000000" w:rsidDel="00000000" w:rsidP="00000000" w:rsidRDefault="00000000" w:rsidRPr="00000000" w14:paraId="0000010E">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1a</w:t>
            </w:r>
          </w:p>
        </w:tc>
        <w:tc>
          <w:tcPr/>
          <w:p w:rsidR="00000000" w:rsidDel="00000000" w:rsidP="00000000" w:rsidRDefault="00000000" w:rsidRPr="00000000" w14:paraId="0000010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Title</w:t>
            </w:r>
          </w:p>
        </w:tc>
        <w:tc>
          <w:tcPr/>
          <w:p w:rsidR="00000000" w:rsidDel="00000000" w:rsidP="00000000" w:rsidRDefault="00000000" w:rsidRPr="00000000" w14:paraId="00000110">
            <w:pPr>
              <w:spacing w:after="240" w:before="240" w:line="276"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“Assessing the Prognostic Value of Preoperative Paraspinal Muscle MRI in Patients Undergoing Lumbar Spine Discectomy: A Single-Center Experience”</w:t>
            </w:r>
          </w:p>
        </w:tc>
      </w:tr>
      <w:tr>
        <w:trPr>
          <w:cantSplit w:val="0"/>
          <w:tblHeader w:val="0"/>
        </w:trPr>
        <w:tc>
          <w:tcPr/>
          <w:p w:rsidR="00000000" w:rsidDel="00000000" w:rsidP="00000000" w:rsidRDefault="00000000" w:rsidRPr="00000000" w14:paraId="00000111">
            <w:pPr>
              <w:widowControl w:val="0"/>
              <w:spacing w:after="0" w:line="240" w:lineRule="auto"/>
              <w:jc w:val="center"/>
              <w:rPr>
                <w:rFonts w:ascii="Arial" w:cs="Arial" w:eastAsia="Arial" w:hAnsi="Arial"/>
                <w:sz w:val="22"/>
                <w:szCs w:val="22"/>
              </w:rPr>
            </w:pPr>
            <w:r w:rsidDel="00000000" w:rsidR="00000000" w:rsidRPr="00000000">
              <w:rPr>
                <w:rFonts w:ascii="Times New Roman" w:cs="Times New Roman" w:eastAsia="Times New Roman" w:hAnsi="Times New Roman"/>
                <w:b w:val="1"/>
                <w:bCs w:val="1"/>
                <w:sz w:val="20"/>
                <w:szCs w:val="20"/>
                <w:rtl w:val="0"/>
              </w:rPr>
              <w:t xml:space="preserve">Title and abstract</w:t>
            </w:r>
            <w:r w:rsidDel="00000000" w:rsidR="00000000" w:rsidRPr="00000000">
              <w:rPr>
                <w:rtl w:val="0"/>
              </w:rPr>
            </w:r>
          </w:p>
        </w:tc>
        <w:tc>
          <w:tcPr/>
          <w:p w:rsidR="00000000" w:rsidDel="00000000" w:rsidP="00000000" w:rsidRDefault="00000000" w:rsidRPr="00000000" w14:paraId="00000112">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1b</w:t>
            </w:r>
          </w:p>
        </w:tc>
        <w:tc>
          <w:tcPr/>
          <w:p w:rsidR="00000000" w:rsidDel="00000000" w:rsidP="00000000" w:rsidRDefault="00000000" w:rsidRPr="00000000" w14:paraId="0000011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Abstract</w:t>
            </w:r>
          </w:p>
        </w:tc>
        <w:tc>
          <w:tcPr/>
          <w:p w:rsidR="00000000" w:rsidDel="00000000" w:rsidP="00000000" w:rsidRDefault="00000000" w:rsidRPr="00000000" w14:paraId="0000011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Check abstract section in the main manuscript</w:t>
            </w:r>
          </w:p>
        </w:tc>
      </w:tr>
      <w:tr>
        <w:trPr>
          <w:cantSplit w:val="0"/>
          <w:tblHeader w:val="0"/>
        </w:trPr>
        <w:tc>
          <w:tcPr/>
          <w:p w:rsidR="00000000" w:rsidDel="00000000" w:rsidP="00000000" w:rsidRDefault="00000000" w:rsidRPr="00000000" w14:paraId="00000115">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Introduction (Background/rationale)</w:t>
            </w:r>
          </w:p>
        </w:tc>
        <w:tc>
          <w:tcPr/>
          <w:p w:rsidR="00000000" w:rsidDel="00000000" w:rsidP="00000000" w:rsidRDefault="00000000" w:rsidRPr="00000000" w14:paraId="00000116">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p w:rsidR="00000000" w:rsidDel="00000000" w:rsidP="00000000" w:rsidRDefault="00000000" w:rsidRPr="00000000" w14:paraId="0000011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Introduction</w:t>
            </w:r>
          </w:p>
        </w:tc>
        <w:tc>
          <w:tcPr/>
          <w:p w:rsidR="00000000" w:rsidDel="00000000" w:rsidP="00000000" w:rsidRDefault="00000000" w:rsidRPr="00000000" w14:paraId="00000118">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“Systematic reviews and meta-analyses further underscore the heterogeneity of available data. For instance, Lu et al. found only low-quality evidence linking multifidus CSA changes to pain improvement after discectomy, with no consistent predictive value. Another review concluded that predictive associations between paraspinal muscle morphology and long-term functional outcomes remain unclear, largely constrained by methodological differences and small sample sizes. Notably, most investigations have focused on multifidus, with less attention paid to erector spinae and psoas muscles, or on patient-centered outcomes such as quality of life.”</w:t>
            </w:r>
          </w:p>
          <w:p w:rsidR="00000000" w:rsidDel="00000000" w:rsidP="00000000" w:rsidRDefault="00000000" w:rsidRPr="00000000" w14:paraId="00000119">
            <w:pPr>
              <w:widowControl w:val="0"/>
              <w:spacing w:after="0"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11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Introduction (objectives)</w:t>
            </w:r>
          </w:p>
        </w:tc>
        <w:tc>
          <w:tcPr/>
          <w:p w:rsidR="00000000" w:rsidDel="00000000" w:rsidP="00000000" w:rsidRDefault="00000000" w:rsidRPr="00000000" w14:paraId="0000011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p w:rsidR="00000000" w:rsidDel="00000000" w:rsidP="00000000" w:rsidRDefault="00000000" w:rsidRPr="00000000" w14:paraId="0000011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Introduction</w:t>
            </w:r>
          </w:p>
        </w:tc>
        <w:tc>
          <w:tcPr/>
          <w:p w:rsidR="00000000" w:rsidDel="00000000" w:rsidP="00000000" w:rsidRDefault="00000000" w:rsidRPr="00000000" w14:paraId="0000011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aim of this study is to better understand the predictive value of muscle morphology by integrating imaging with clinical outcomes, which may help guide perioperative risk assessment and future rehabilitation strategies.”</w:t>
            </w:r>
          </w:p>
        </w:tc>
      </w:tr>
      <w:tr>
        <w:trPr>
          <w:cantSplit w:val="0"/>
          <w:tblHeader w:val="0"/>
        </w:trPr>
        <w:tc>
          <w:tcPr/>
          <w:p w:rsidR="00000000" w:rsidDel="00000000" w:rsidP="00000000" w:rsidRDefault="00000000" w:rsidRPr="00000000" w14:paraId="0000011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(Study design)</w:t>
            </w:r>
          </w:p>
        </w:tc>
        <w:tc>
          <w:tcPr/>
          <w:p w:rsidR="00000000" w:rsidDel="00000000" w:rsidP="00000000" w:rsidRDefault="00000000" w:rsidRPr="00000000" w14:paraId="0000011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p w:rsidR="00000000" w:rsidDel="00000000" w:rsidP="00000000" w:rsidRDefault="00000000" w:rsidRPr="00000000" w14:paraId="0000012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“Study design and setting”</w:t>
            </w:r>
          </w:p>
        </w:tc>
        <w:tc>
          <w:tcPr/>
          <w:p w:rsidR="00000000" w:rsidDel="00000000" w:rsidP="00000000" w:rsidRDefault="00000000" w:rsidRPr="00000000" w14:paraId="00000121">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was a retrospective cohort study…” </w:t>
            </w:r>
          </w:p>
        </w:tc>
      </w:tr>
      <w:tr>
        <w:trPr>
          <w:cantSplit w:val="0"/>
          <w:tblHeader w:val="0"/>
        </w:trPr>
        <w:tc>
          <w:tcPr/>
          <w:p w:rsidR="00000000" w:rsidDel="00000000" w:rsidP="00000000" w:rsidRDefault="00000000" w:rsidRPr="00000000" w14:paraId="0000012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(Setting)</w:t>
            </w:r>
          </w:p>
        </w:tc>
        <w:tc>
          <w:tcPr/>
          <w:p w:rsidR="00000000" w:rsidDel="00000000" w:rsidP="00000000" w:rsidRDefault="00000000" w:rsidRPr="00000000" w14:paraId="0000012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p w:rsidR="00000000" w:rsidDel="00000000" w:rsidP="00000000" w:rsidRDefault="00000000" w:rsidRPr="00000000" w14:paraId="0000012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“Study design and setting”</w:t>
            </w:r>
          </w:p>
        </w:tc>
        <w:tc>
          <w:tcPr/>
          <w:p w:rsidR="00000000" w:rsidDel="00000000" w:rsidP="00000000" w:rsidRDefault="00000000" w:rsidRPr="00000000" w14:paraId="00000125">
            <w:pPr>
              <w:spacing w:after="240"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“...conducted at Baghdad Medical City, a tertiary referral center, between January 2018 and March 2024. The study evaluated whether preoperative paraspinal muscle characteristics on MRI could predict postoperative improvement in pain, disability, and quality of life following lumbar discectomy”</w:t>
            </w:r>
          </w:p>
        </w:tc>
      </w:tr>
      <w:tr>
        <w:trPr>
          <w:cantSplit w:val="0"/>
          <w:tblHeader w:val="0"/>
        </w:trPr>
        <w:tc>
          <w:tcPr/>
          <w:p w:rsidR="00000000" w:rsidDel="00000000" w:rsidP="00000000" w:rsidRDefault="00000000" w:rsidRPr="00000000" w14:paraId="0000012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(Participants)</w:t>
            </w:r>
          </w:p>
        </w:tc>
        <w:tc>
          <w:tcPr/>
          <w:p w:rsidR="00000000" w:rsidDel="00000000" w:rsidP="00000000" w:rsidRDefault="00000000" w:rsidRPr="00000000" w14:paraId="0000012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6a</w:t>
            </w:r>
          </w:p>
        </w:tc>
        <w:tc>
          <w:tcPr/>
          <w:p w:rsidR="00000000" w:rsidDel="00000000" w:rsidP="00000000" w:rsidRDefault="00000000" w:rsidRPr="00000000" w14:paraId="0000012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“Participants”</w:t>
            </w:r>
          </w:p>
        </w:tc>
        <w:tc>
          <w:tcPr/>
          <w:p w:rsidR="00000000" w:rsidDel="00000000" w:rsidP="00000000" w:rsidRDefault="00000000" w:rsidRPr="00000000" w14:paraId="00000129">
            <w:pPr>
              <w:spacing w:after="0" w:line="240" w:lineRule="auto"/>
              <w:jc w:val="both"/>
              <w:rPr>
                <w:rFonts w:ascii="Times New Roman" w:cs="Times New Roman" w:eastAsia="Times New Roman" w:hAnsi="Times New Roman"/>
                <w:sz w:val="20"/>
                <w:szCs w:val="20"/>
              </w:rPr>
            </w:pPr>
            <w:r w:rsidDel="00000000" w:rsidR="00000000" w:rsidRPr="00000000">
              <w:rPr>
                <w:rFonts w:ascii="Gungsuh" w:cs="Gungsuh" w:eastAsia="Gungsuh" w:hAnsi="Gungsuh"/>
                <w:sz w:val="20"/>
                <w:szCs w:val="20"/>
                <w:rtl w:val="0"/>
              </w:rPr>
              <w:t xml:space="preserve">“We included 120 consecutive adult patients (≥18 years) with MRI-confirmed lumbar disc herniation who underwent first-time, single-level lumbar discectomy (L4–L5 or L5–S1). Patients were eligible for inclusion if they had a clinical diagnosis of lumbar disc herniation that required surgical discectomy. Additionally, participants had undergone preoperative lumbar spine magnetic resonance imaging within one month prior to surgery. Finally, only patients with complete preoperative and postoperative outcome data were considered for inclusion in the study.  Patients were excluded if they had undergone revision surgeries or any previous lumbar spine procedures. Those with multilevel disease or those requiring spinal fusion or instrumentation were also excluded. Additionally, patients with spinal deformity, trauma, tumor, or infection were not eligible for inclusion. Finally, cases with poor-quality or incomplete preoperative magnetic resonance imaging data were excluded from the study.”</w:t>
            </w:r>
            <w:r w:rsidDel="00000000" w:rsidR="00000000" w:rsidRPr="00000000">
              <w:rPr>
                <w:rtl w:val="0"/>
              </w:rPr>
            </w:r>
          </w:p>
        </w:tc>
      </w:tr>
      <w:tr>
        <w:trPr>
          <w:cantSplit w:val="0"/>
          <w:tblHeader w:val="0"/>
        </w:trPr>
        <w:tc>
          <w:tcPr/>
          <w:p w:rsidR="00000000" w:rsidDel="00000000" w:rsidP="00000000" w:rsidRDefault="00000000" w:rsidRPr="00000000" w14:paraId="0000012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(Participants)</w:t>
            </w:r>
          </w:p>
        </w:tc>
        <w:tc>
          <w:tcPr/>
          <w:p w:rsidR="00000000" w:rsidDel="00000000" w:rsidP="00000000" w:rsidRDefault="00000000" w:rsidRPr="00000000" w14:paraId="0000012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6b</w:t>
            </w:r>
          </w:p>
        </w:tc>
        <w:tc>
          <w:tcPr/>
          <w:p w:rsidR="00000000" w:rsidDel="00000000" w:rsidP="00000000" w:rsidRDefault="00000000" w:rsidRPr="00000000" w14:paraId="0000012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2D">
            <w:pPr>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2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(Variables)</w:t>
            </w:r>
          </w:p>
        </w:tc>
        <w:tc>
          <w:tcPr/>
          <w:p w:rsidR="00000000" w:rsidDel="00000000" w:rsidP="00000000" w:rsidRDefault="00000000" w:rsidRPr="00000000" w14:paraId="0000012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p w:rsidR="00000000" w:rsidDel="00000000" w:rsidP="00000000" w:rsidRDefault="00000000" w:rsidRPr="00000000" w14:paraId="0000013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“Magnetic Resonance Imaging Analysis” and “Outcomes”</w:t>
            </w:r>
          </w:p>
        </w:tc>
        <w:tc>
          <w:tcPr/>
          <w:p w:rsidR="00000000" w:rsidDel="00000000" w:rsidP="00000000" w:rsidRDefault="00000000" w:rsidRPr="00000000" w14:paraId="0000013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“MRI scans were performed using a 1.5 Tesla scanner (Siemens/GE/Philips) with standard lumbar spine protocols. Axial T2-weighted images…” </w:t>
            </w:r>
          </w:p>
          <w:p w:rsidR="00000000" w:rsidDel="00000000" w:rsidP="00000000" w:rsidRDefault="00000000" w:rsidRPr="00000000" w14:paraId="00000132">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134">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3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“...Pain intensity was assessed by the VAS, in which scores range from 0 (lower score) to 10 (maximum score). Disability was assessed via Oswestry Disability Index (ODI)...”</w:t>
            </w:r>
          </w:p>
        </w:tc>
      </w:tr>
      <w:tr>
        <w:trPr>
          <w:cantSplit w:val="0"/>
          <w:tblHeader w:val="0"/>
        </w:trPr>
        <w:tc>
          <w:tcPr/>
          <w:p w:rsidR="00000000" w:rsidDel="00000000" w:rsidP="00000000" w:rsidRDefault="00000000" w:rsidRPr="00000000" w14:paraId="0000013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(Data sources/ measurement)</w:t>
            </w:r>
          </w:p>
        </w:tc>
        <w:tc>
          <w:tcPr/>
          <w:p w:rsidR="00000000" w:rsidDel="00000000" w:rsidP="00000000" w:rsidRDefault="00000000" w:rsidRPr="00000000" w14:paraId="0000013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p w:rsidR="00000000" w:rsidDel="00000000" w:rsidP="00000000" w:rsidRDefault="00000000" w:rsidRPr="00000000" w14:paraId="0000013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“Outcomes”</w:t>
            </w:r>
          </w:p>
        </w:tc>
        <w:tc>
          <w:tcPr/>
          <w:p w:rsidR="00000000" w:rsidDel="00000000" w:rsidP="00000000" w:rsidRDefault="00000000" w:rsidRPr="00000000" w14:paraId="0000013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“Changes in scores (Δ) for VAS and ODI were calculated by subtracting pre-operative values from postoperative (ΔVAS = VAS_Pre – VAS_Post; ΔODI = ODI_Pre – ODI_Post) and for SF-36, postoperative values were subtracted from preoperative (ΔSF-36 = SF36_Post – SF36_Pre)...”</w:t>
            </w:r>
          </w:p>
        </w:tc>
      </w:tr>
      <w:tr>
        <w:trPr>
          <w:cantSplit w:val="0"/>
          <w:tblHeader w:val="0"/>
        </w:trPr>
        <w:tc>
          <w:tcPr/>
          <w:p w:rsidR="00000000" w:rsidDel="00000000" w:rsidP="00000000" w:rsidRDefault="00000000" w:rsidRPr="00000000" w14:paraId="0000013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(Bias)</w:t>
            </w:r>
          </w:p>
        </w:tc>
        <w:tc>
          <w:tcPr/>
          <w:p w:rsidR="00000000" w:rsidDel="00000000" w:rsidP="00000000" w:rsidRDefault="00000000" w:rsidRPr="00000000" w14:paraId="0000013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p w:rsidR="00000000" w:rsidDel="00000000" w:rsidP="00000000" w:rsidRDefault="00000000" w:rsidRPr="00000000" w14:paraId="0000013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“Statistical analysis”</w:t>
            </w:r>
          </w:p>
        </w:tc>
        <w:tc>
          <w:tcPr/>
          <w:p w:rsidR="00000000" w:rsidDel="00000000" w:rsidP="00000000" w:rsidRDefault="00000000" w:rsidRPr="00000000" w14:paraId="0000013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“Residual plots, variance inflation factors (VIF), and heteroskedasticity tests confirmed model assumptions. Sensitivity analyses using HC3 robust SEs and bootstrap optimism-correction confirmed stability of results.”</w:t>
            </w:r>
          </w:p>
        </w:tc>
      </w:tr>
      <w:tr>
        <w:trPr>
          <w:cantSplit w:val="0"/>
          <w:tblHeader w:val="0"/>
        </w:trPr>
        <w:tc>
          <w:tcPr/>
          <w:p w:rsidR="00000000" w:rsidDel="00000000" w:rsidP="00000000" w:rsidRDefault="00000000" w:rsidRPr="00000000" w14:paraId="0000013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(Study size)</w:t>
            </w:r>
          </w:p>
        </w:tc>
        <w:tc>
          <w:tcPr/>
          <w:p w:rsidR="00000000" w:rsidDel="00000000" w:rsidP="00000000" w:rsidRDefault="00000000" w:rsidRPr="00000000" w14:paraId="0000013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p w:rsidR="00000000" w:rsidDel="00000000" w:rsidP="00000000" w:rsidRDefault="00000000" w:rsidRPr="00000000" w14:paraId="0000014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“Sample size calculation”</w:t>
            </w:r>
          </w:p>
        </w:tc>
        <w:tc>
          <w:tcPr/>
          <w:p w:rsidR="00000000" w:rsidDel="00000000" w:rsidP="00000000" w:rsidRDefault="00000000" w:rsidRPr="00000000" w14:paraId="0000014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“Based on published MCIDs (12, 2, and 5 points, respectively) and reported standard deviations, a paired-samples framework with 90% power and a Bonferroni-adjusted two-sided α of 0.0167 indicated a minimum requirement of fewer than 40…”</w:t>
            </w:r>
          </w:p>
        </w:tc>
      </w:tr>
      <w:tr>
        <w:trPr>
          <w:cantSplit w:val="0"/>
          <w:tblHeader w:val="0"/>
        </w:trPr>
        <w:tc>
          <w:tcPr/>
          <w:p w:rsidR="00000000" w:rsidDel="00000000" w:rsidP="00000000" w:rsidRDefault="00000000" w:rsidRPr="00000000" w14:paraId="0000014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(Quantitative variables)</w:t>
            </w:r>
          </w:p>
        </w:tc>
        <w:tc>
          <w:tcPr/>
          <w:p w:rsidR="00000000" w:rsidDel="00000000" w:rsidP="00000000" w:rsidRDefault="00000000" w:rsidRPr="00000000" w14:paraId="0000014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p w:rsidR="00000000" w:rsidDel="00000000" w:rsidP="00000000" w:rsidRDefault="00000000" w:rsidRPr="00000000" w14:paraId="0000014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4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4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(Statistical methods)</w:t>
            </w:r>
          </w:p>
        </w:tc>
        <w:tc>
          <w:tcPr/>
          <w:p w:rsidR="00000000" w:rsidDel="00000000" w:rsidP="00000000" w:rsidRDefault="00000000" w:rsidRPr="00000000" w14:paraId="0000014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12a</w:t>
            </w:r>
          </w:p>
        </w:tc>
        <w:tc>
          <w:tcPr/>
          <w:p w:rsidR="00000000" w:rsidDel="00000000" w:rsidP="00000000" w:rsidRDefault="00000000" w:rsidRPr="00000000" w14:paraId="0000014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“Statistical analysis”</w:t>
            </w:r>
          </w:p>
        </w:tc>
        <w:tc>
          <w:tcPr/>
          <w:p w:rsidR="00000000" w:rsidDel="00000000" w:rsidP="00000000" w:rsidRDefault="00000000" w:rsidRPr="00000000" w14:paraId="0000014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“All statistical analyses were conducted using R (version 4.4.3). The normality of data distribution was evaluated using the Shapiro–Wilk test and Q-Q plots…”</w:t>
            </w:r>
          </w:p>
        </w:tc>
      </w:tr>
      <w:tr>
        <w:trPr>
          <w:cantSplit w:val="0"/>
          <w:tblHeader w:val="0"/>
        </w:trPr>
        <w:tc>
          <w:tcPr/>
          <w:p w:rsidR="00000000" w:rsidDel="00000000" w:rsidP="00000000" w:rsidRDefault="00000000" w:rsidRPr="00000000" w14:paraId="0000014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(Statistical methods)</w:t>
            </w:r>
          </w:p>
        </w:tc>
        <w:tc>
          <w:tcPr/>
          <w:p w:rsidR="00000000" w:rsidDel="00000000" w:rsidP="00000000" w:rsidRDefault="00000000" w:rsidRPr="00000000" w14:paraId="0000014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12b</w:t>
            </w:r>
          </w:p>
        </w:tc>
        <w:tc>
          <w:tcPr/>
          <w:p w:rsidR="00000000" w:rsidDel="00000000" w:rsidP="00000000" w:rsidRDefault="00000000" w:rsidRPr="00000000" w14:paraId="0000014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“Statistical analysis”</w:t>
            </w:r>
          </w:p>
        </w:tc>
        <w:tc>
          <w:tcPr/>
          <w:p w:rsidR="00000000" w:rsidDel="00000000" w:rsidP="00000000" w:rsidRDefault="00000000" w:rsidRPr="00000000" w14:paraId="0000014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“Multivariable linear regression models (Figures 2A–C; Tables 3–5) examined predictors of ΔVAS, ΔODI, and ΔSF-36, including MRI parameters (CSA, fat infiltration) and covariates (age, BMI, symptom duration)”</w:t>
            </w:r>
          </w:p>
        </w:tc>
      </w:tr>
      <w:tr>
        <w:trPr>
          <w:cantSplit w:val="0"/>
          <w:tblHeader w:val="0"/>
        </w:trPr>
        <w:tc>
          <w:tcPr/>
          <w:p w:rsidR="00000000" w:rsidDel="00000000" w:rsidP="00000000" w:rsidRDefault="00000000" w:rsidRPr="00000000" w14:paraId="0000014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(Statistical methods)</w:t>
            </w:r>
          </w:p>
        </w:tc>
        <w:tc>
          <w:tcPr/>
          <w:p w:rsidR="00000000" w:rsidDel="00000000" w:rsidP="00000000" w:rsidRDefault="00000000" w:rsidRPr="00000000" w14:paraId="0000014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12c</w:t>
            </w:r>
          </w:p>
        </w:tc>
        <w:tc>
          <w:tcPr/>
          <w:p w:rsidR="00000000" w:rsidDel="00000000" w:rsidP="00000000" w:rsidRDefault="00000000" w:rsidRPr="00000000" w14:paraId="0000015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51">
            <w:pPr>
              <w:widowControl w:val="0"/>
              <w:spacing w:after="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5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(Statistical methods)</w:t>
            </w:r>
          </w:p>
        </w:tc>
        <w:tc>
          <w:tcPr/>
          <w:p w:rsidR="00000000" w:rsidDel="00000000" w:rsidP="00000000" w:rsidRDefault="00000000" w:rsidRPr="00000000" w14:paraId="0000015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12d</w:t>
            </w:r>
          </w:p>
        </w:tc>
        <w:tc>
          <w:tcPr/>
          <w:p w:rsidR="00000000" w:rsidDel="00000000" w:rsidP="00000000" w:rsidRDefault="00000000" w:rsidRPr="00000000" w14:paraId="0000015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5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5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Methods (Statistical methods)</w:t>
            </w:r>
          </w:p>
        </w:tc>
        <w:tc>
          <w:tcPr/>
          <w:p w:rsidR="00000000" w:rsidDel="00000000" w:rsidP="00000000" w:rsidRDefault="00000000" w:rsidRPr="00000000" w14:paraId="0000015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12e</w:t>
            </w:r>
          </w:p>
        </w:tc>
        <w:tc>
          <w:tcPr/>
          <w:p w:rsidR="00000000" w:rsidDel="00000000" w:rsidP="00000000" w:rsidRDefault="00000000" w:rsidRPr="00000000" w14:paraId="0000015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“Statistical analysis”</w:t>
            </w:r>
          </w:p>
        </w:tc>
        <w:tc>
          <w:tcPr/>
          <w:p w:rsidR="00000000" w:rsidDel="00000000" w:rsidP="00000000" w:rsidRDefault="00000000" w:rsidRPr="00000000" w14:paraId="0000015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“Comparisons between preoperative and postoperative outcomes were performed using paired t-tests for normally distributed outcomes, and sensitivity analyses by Wilcoxon signed-rank tests”</w:t>
            </w:r>
          </w:p>
        </w:tc>
      </w:tr>
      <w:tr>
        <w:trPr>
          <w:cantSplit w:val="0"/>
          <w:tblHeader w:val="0"/>
        </w:trPr>
        <w:tc>
          <w:tcPr/>
          <w:p w:rsidR="00000000" w:rsidDel="00000000" w:rsidP="00000000" w:rsidRDefault="00000000" w:rsidRPr="00000000" w14:paraId="0000015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(Participants)</w:t>
            </w:r>
          </w:p>
        </w:tc>
        <w:tc>
          <w:tcPr/>
          <w:p w:rsidR="00000000" w:rsidDel="00000000" w:rsidP="00000000" w:rsidRDefault="00000000" w:rsidRPr="00000000" w14:paraId="0000015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13a, 13b, 13c</w:t>
            </w:r>
          </w:p>
        </w:tc>
        <w:tc>
          <w:tcPr/>
          <w:p w:rsidR="00000000" w:rsidDel="00000000" w:rsidP="00000000" w:rsidRDefault="00000000" w:rsidRPr="00000000" w14:paraId="0000015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5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5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(Descriptive data)</w:t>
            </w:r>
          </w:p>
        </w:tc>
        <w:tc>
          <w:tcPr/>
          <w:p w:rsidR="00000000" w:rsidDel="00000000" w:rsidP="00000000" w:rsidRDefault="00000000" w:rsidRPr="00000000" w14:paraId="0000015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14a</w:t>
            </w:r>
          </w:p>
        </w:tc>
        <w:tc>
          <w:tcPr/>
          <w:p w:rsidR="00000000" w:rsidDel="00000000" w:rsidP="00000000" w:rsidRDefault="00000000" w:rsidRPr="00000000" w14:paraId="0000016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“Cohort characteristics”</w:t>
            </w:r>
          </w:p>
        </w:tc>
        <w:tc>
          <w:tcPr/>
          <w:p w:rsidR="00000000" w:rsidDel="00000000" w:rsidP="00000000" w:rsidRDefault="00000000" w:rsidRPr="00000000" w14:paraId="0000016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total of 120 patients were included in the analysis. The mean age was 51.7 ± 12.5 years, and the mean BMI was 26.9 ± 4.1 kg/m². The averaged symptom duration was 15.4 ± 5.4 months (median 15.0, IQR 9.0), and patients resumed normal activities after 19.5 ± 5.3 days (median 19.0, IQR 9.0). The mean operative time was 69.9 ± 10.6 minutes. Psychological burden was low, with PHQ-9 and GAD-7 medians of 2.0 (IQR 2 each). MRI assessments revealed mean cross-sectional areas (CSA) of 17.0 cm² for multifidus, 22.3 cm² for erector spinae, and 26.9 cm² for psoas, with mild fat infiltration (medians 12–13%), [Table 1].”</w:t>
            </w:r>
          </w:p>
        </w:tc>
      </w:tr>
      <w:tr>
        <w:trPr>
          <w:cantSplit w:val="0"/>
          <w:tblHeader w:val="0"/>
        </w:trPr>
        <w:tc>
          <w:tcPr/>
          <w:p w:rsidR="00000000" w:rsidDel="00000000" w:rsidP="00000000" w:rsidRDefault="00000000" w:rsidRPr="00000000" w14:paraId="0000016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(Descriptive data)</w:t>
            </w:r>
          </w:p>
        </w:tc>
        <w:tc>
          <w:tcPr/>
          <w:p w:rsidR="00000000" w:rsidDel="00000000" w:rsidP="00000000" w:rsidRDefault="00000000" w:rsidRPr="00000000" w14:paraId="0000016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14b</w:t>
            </w:r>
          </w:p>
        </w:tc>
        <w:tc>
          <w:tcPr/>
          <w:p w:rsidR="00000000" w:rsidDel="00000000" w:rsidP="00000000" w:rsidRDefault="00000000" w:rsidRPr="00000000" w14:paraId="0000016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6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6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(Descriptive data)</w:t>
            </w:r>
          </w:p>
        </w:tc>
        <w:tc>
          <w:tcPr/>
          <w:p w:rsidR="00000000" w:rsidDel="00000000" w:rsidP="00000000" w:rsidRDefault="00000000" w:rsidRPr="00000000" w14:paraId="0000016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14c</w:t>
            </w:r>
          </w:p>
        </w:tc>
        <w:tc>
          <w:tcPr/>
          <w:p w:rsidR="00000000" w:rsidDel="00000000" w:rsidP="00000000" w:rsidRDefault="00000000" w:rsidRPr="00000000" w14:paraId="0000016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6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6A">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(Outcome data)</w:t>
            </w:r>
          </w:p>
        </w:tc>
        <w:tc>
          <w:tcPr/>
          <w:p w:rsidR="00000000" w:rsidDel="00000000" w:rsidP="00000000" w:rsidRDefault="00000000" w:rsidRPr="00000000" w14:paraId="0000016B">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p w:rsidR="00000000" w:rsidDel="00000000" w:rsidP="00000000" w:rsidRDefault="00000000" w:rsidRPr="00000000" w14:paraId="0000016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“Clinical outcomes”</w:t>
            </w:r>
          </w:p>
        </w:tc>
        <w:tc>
          <w:tcPr/>
          <w:p w:rsidR="00000000" w:rsidDel="00000000" w:rsidP="00000000" w:rsidRDefault="00000000" w:rsidRPr="00000000" w14:paraId="0000016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mean preoperative VAS score was 7.56 ± 1.50, which decreased to 1.68 ± 1.10 at 3 months. The mean reduction was 5.88 ± 2.14, corresponding to a 75.9% improvement (p &lt; 0.001).”</w:t>
            </w:r>
          </w:p>
          <w:p w:rsidR="00000000" w:rsidDel="00000000" w:rsidP="00000000" w:rsidRDefault="00000000" w:rsidRPr="00000000" w14:paraId="0000016E">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F">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170">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“Preoperative ODI averaged 67.5 ± 13.1, improving to 17.5 ± 6.7 postoperatively. The mean improvement was 49.98 ± 13.3, reflecting a 73.5% functional gain (</w:t>
            </w:r>
            <w:r w:rsidDel="00000000" w:rsidR="00000000" w:rsidRPr="00000000">
              <w:rPr>
                <w:rFonts w:ascii="Times New Roman" w:cs="Times New Roman" w:eastAsia="Times New Roman" w:hAnsi="Times New Roman"/>
                <w:i w:val="1"/>
                <w:iCs w:val="1"/>
                <w:sz w:val="20"/>
                <w:szCs w:val="20"/>
                <w:rtl w:val="0"/>
              </w:rPr>
              <w:t xml:space="preserve">p</w:t>
            </w:r>
            <w:r w:rsidDel="00000000" w:rsidR="00000000" w:rsidRPr="00000000">
              <w:rPr>
                <w:rFonts w:ascii="Times New Roman" w:cs="Times New Roman" w:eastAsia="Times New Roman" w:hAnsi="Times New Roman"/>
                <w:sz w:val="20"/>
                <w:szCs w:val="20"/>
                <w:rtl w:val="0"/>
              </w:rPr>
              <w:t xml:space="preserve"> &lt; 0.001)”</w:t>
            </w:r>
          </w:p>
          <w:p w:rsidR="00000000" w:rsidDel="00000000" w:rsidP="00000000" w:rsidRDefault="00000000" w:rsidRPr="00000000" w14:paraId="00000172">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3">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174">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“Quality of life (SF-36) scores increased from 46.5 ± 9.2 at baseline to 82.4 ± 7.0 at 3 months”</w:t>
            </w:r>
          </w:p>
        </w:tc>
      </w:tr>
      <w:tr>
        <w:trPr>
          <w:cantSplit w:val="0"/>
          <w:tblHeader w:val="0"/>
        </w:trPr>
        <w:tc>
          <w:tcPr/>
          <w:p w:rsidR="00000000" w:rsidDel="00000000" w:rsidP="00000000" w:rsidRDefault="00000000" w:rsidRPr="00000000" w14:paraId="0000017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(Main results)</w:t>
            </w:r>
          </w:p>
        </w:tc>
        <w:tc>
          <w:tcPr/>
          <w:p w:rsidR="00000000" w:rsidDel="00000000" w:rsidP="00000000" w:rsidRDefault="00000000" w:rsidRPr="00000000" w14:paraId="0000017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16a</w:t>
            </w:r>
          </w:p>
        </w:tc>
        <w:tc>
          <w:tcPr/>
          <w:p w:rsidR="00000000" w:rsidDel="00000000" w:rsidP="00000000" w:rsidRDefault="00000000" w:rsidRPr="00000000" w14:paraId="0000017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“Visual regression associations”</w:t>
            </w:r>
          </w:p>
          <w:p w:rsidR="00000000" w:rsidDel="00000000" w:rsidP="00000000" w:rsidRDefault="00000000" w:rsidRPr="00000000" w14:paraId="00000179">
            <w:pPr>
              <w:widowControl w:val="0"/>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A">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17B">
            <w:pPr>
              <w:widowControl w:val="0"/>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7C">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“Tables and Figures”</w:t>
            </w:r>
          </w:p>
        </w:tc>
        <w:tc>
          <w:tcPr/>
          <w:p w:rsidR="00000000" w:rsidDel="00000000" w:rsidP="00000000" w:rsidRDefault="00000000" w:rsidRPr="00000000" w14:paraId="0000017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“Larger erector spinae CSA was significantly associated with higher postoperative pain scores (VAS_post; β = 0.09, p = 0.001; ρ = 0.31, p = 0.0005) [Figure 3] and greater disability (ODI_post; β = 0.42, p = 0.01) [Figure 4]”</w:t>
            </w:r>
          </w:p>
        </w:tc>
      </w:tr>
      <w:tr>
        <w:trPr>
          <w:cantSplit w:val="0"/>
          <w:tblHeader w:val="0"/>
        </w:trPr>
        <w:tc>
          <w:tcPr/>
          <w:p w:rsidR="00000000" w:rsidDel="00000000" w:rsidP="00000000" w:rsidRDefault="00000000" w:rsidRPr="00000000" w14:paraId="0000017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(Main results)</w:t>
            </w:r>
          </w:p>
        </w:tc>
        <w:tc>
          <w:tcPr/>
          <w:p w:rsidR="00000000" w:rsidDel="00000000" w:rsidP="00000000" w:rsidRDefault="00000000" w:rsidRPr="00000000" w14:paraId="0000017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16b</w:t>
            </w:r>
          </w:p>
        </w:tc>
        <w:tc>
          <w:tcPr/>
          <w:p w:rsidR="00000000" w:rsidDel="00000000" w:rsidP="00000000" w:rsidRDefault="00000000" w:rsidRPr="00000000" w14:paraId="0000018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“Magnetic Resonance Imaging Analysis”</w:t>
            </w:r>
          </w:p>
        </w:tc>
        <w:tc>
          <w:tcPr/>
          <w:p w:rsidR="00000000" w:rsidDel="00000000" w:rsidP="00000000" w:rsidRDefault="00000000" w:rsidRPr="00000000" w14:paraId="0000018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degree of paraspinal muscle atrophy was quantified using the percentage of fatty infiltration (FI) within the muscle's cross-sectional area. Based on clinically relevant thresholds established in prior literature for lumbar surgery, we categorized the degree of atrophy as mild (FI &lt;30%), moderate (FI 30–50%), and severe (FI &gt;50%)”</w:t>
            </w:r>
          </w:p>
        </w:tc>
      </w:tr>
      <w:tr>
        <w:trPr>
          <w:cantSplit w:val="0"/>
          <w:tblHeader w:val="0"/>
        </w:trPr>
        <w:tc>
          <w:tcPr/>
          <w:p w:rsidR="00000000" w:rsidDel="00000000" w:rsidP="00000000" w:rsidRDefault="00000000" w:rsidRPr="00000000" w14:paraId="0000018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(Main results)</w:t>
            </w:r>
          </w:p>
        </w:tc>
        <w:tc>
          <w:tcPr/>
          <w:p w:rsidR="00000000" w:rsidDel="00000000" w:rsidP="00000000" w:rsidRDefault="00000000" w:rsidRPr="00000000" w14:paraId="0000018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16c</w:t>
            </w:r>
          </w:p>
        </w:tc>
        <w:tc>
          <w:tcPr/>
          <w:p w:rsidR="00000000" w:rsidDel="00000000" w:rsidP="00000000" w:rsidRDefault="00000000" w:rsidRPr="00000000" w14:paraId="0000018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c>
          <w:tcPr/>
          <w:p w:rsidR="00000000" w:rsidDel="00000000" w:rsidP="00000000" w:rsidRDefault="00000000" w:rsidRPr="00000000" w14:paraId="0000018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Not applicable</w:t>
            </w:r>
          </w:p>
        </w:tc>
      </w:tr>
      <w:tr>
        <w:trPr>
          <w:cantSplit w:val="0"/>
          <w:tblHeader w:val="0"/>
        </w:trPr>
        <w:tc>
          <w:tcPr/>
          <w:p w:rsidR="00000000" w:rsidDel="00000000" w:rsidP="00000000" w:rsidRDefault="00000000" w:rsidRPr="00000000" w14:paraId="0000018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Results (Other analysis)</w:t>
            </w:r>
          </w:p>
        </w:tc>
        <w:tc>
          <w:tcPr/>
          <w:p w:rsidR="00000000" w:rsidDel="00000000" w:rsidP="00000000" w:rsidRDefault="00000000" w:rsidRPr="00000000" w14:paraId="0000018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p w:rsidR="00000000" w:rsidDel="00000000" w:rsidP="00000000" w:rsidRDefault="00000000" w:rsidRPr="00000000" w14:paraId="0000018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“Comparisons and correlations”</w:t>
            </w:r>
          </w:p>
        </w:tc>
        <w:tc>
          <w:tcPr/>
          <w:p w:rsidR="00000000" w:rsidDel="00000000" w:rsidP="00000000" w:rsidRDefault="00000000" w:rsidRPr="00000000" w14:paraId="0000018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were no significant gender differences in postoperative outcomes: VAS (female 1.51 vs male 1.85, p = 0.092), ODI (female 17.21 vs male 17.78, p = 0.64), or SF-36 (female 82.43 vs male 82.32, p = 0.94).”</w:t>
            </w:r>
          </w:p>
          <w:p w:rsidR="00000000" w:rsidDel="00000000" w:rsidP="00000000" w:rsidRDefault="00000000" w:rsidRPr="00000000" w14:paraId="0000018A">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8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18C">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8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“Similarly, no significant differences were observed between patients with mild versus moderate atrophy for postoperative VAS, ODI, or SF-36 (all p &gt; 0.30).”</w:t>
            </w:r>
          </w:p>
        </w:tc>
      </w:tr>
      <w:tr>
        <w:trPr>
          <w:cantSplit w:val="0"/>
          <w:tblHeader w:val="0"/>
        </w:trPr>
        <w:tc>
          <w:tcPr/>
          <w:p w:rsidR="00000000" w:rsidDel="00000000" w:rsidP="00000000" w:rsidRDefault="00000000" w:rsidRPr="00000000" w14:paraId="0000018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Discussion (Key results)</w:t>
            </w:r>
          </w:p>
        </w:tc>
        <w:tc>
          <w:tcPr/>
          <w:p w:rsidR="00000000" w:rsidDel="00000000" w:rsidP="00000000" w:rsidRDefault="00000000" w:rsidRPr="00000000" w14:paraId="0000018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p w:rsidR="00000000" w:rsidDel="00000000" w:rsidP="00000000" w:rsidRDefault="00000000" w:rsidRPr="00000000" w14:paraId="0000019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“Discussion” (first paragraph)</w:t>
            </w:r>
          </w:p>
        </w:tc>
        <w:tc>
          <w:tcPr/>
          <w:p w:rsidR="00000000" w:rsidDel="00000000" w:rsidP="00000000" w:rsidRDefault="00000000" w:rsidRPr="00000000" w14:paraId="0000019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this retrospective cohort of 120 patients undergoing lumbar discectomy, we observed large and clinically meaningful improvements in pain, disability, and quality of life at 3 months.”</w:t>
            </w:r>
          </w:p>
        </w:tc>
      </w:tr>
      <w:tr>
        <w:trPr>
          <w:cantSplit w:val="0"/>
          <w:tblHeader w:val="0"/>
        </w:trPr>
        <w:tc>
          <w:tcPr/>
          <w:p w:rsidR="00000000" w:rsidDel="00000000" w:rsidP="00000000" w:rsidRDefault="00000000" w:rsidRPr="00000000" w14:paraId="0000019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Discussion (Limitations)</w:t>
            </w:r>
          </w:p>
        </w:tc>
        <w:tc>
          <w:tcPr/>
          <w:p w:rsidR="00000000" w:rsidDel="00000000" w:rsidP="00000000" w:rsidRDefault="00000000" w:rsidRPr="00000000" w14:paraId="0000019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p w:rsidR="00000000" w:rsidDel="00000000" w:rsidP="00000000" w:rsidRDefault="00000000" w:rsidRPr="00000000" w14:paraId="0000019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“Discussion” (Final paragraph)</w:t>
            </w:r>
          </w:p>
        </w:tc>
        <w:tc>
          <w:tcPr/>
          <w:p w:rsidR="00000000" w:rsidDel="00000000" w:rsidP="00000000" w:rsidRDefault="00000000" w:rsidRPr="00000000" w14:paraId="0000019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“Limitations include the retrospective single-center design, modest sample size, and follow-up restricted to 3 months, all of which limit generalizability and preclude causal inference. Given these constraints, the results should be considered hypothesis-generating and require validation in larger, prospective studies.”</w:t>
            </w:r>
          </w:p>
        </w:tc>
      </w:tr>
      <w:tr>
        <w:trPr>
          <w:cantSplit w:val="0"/>
          <w:tblHeader w:val="0"/>
        </w:trPr>
        <w:tc>
          <w:tcPr/>
          <w:p w:rsidR="00000000" w:rsidDel="00000000" w:rsidP="00000000" w:rsidRDefault="00000000" w:rsidRPr="00000000" w14:paraId="00000196">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Discussion (Interpretation)</w:t>
            </w:r>
          </w:p>
        </w:tc>
        <w:tc>
          <w:tcPr/>
          <w:p w:rsidR="00000000" w:rsidDel="00000000" w:rsidP="00000000" w:rsidRDefault="00000000" w:rsidRPr="00000000" w14:paraId="00000197">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p w:rsidR="00000000" w:rsidDel="00000000" w:rsidP="00000000" w:rsidRDefault="00000000" w:rsidRPr="00000000" w14:paraId="00000198">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“Discussion” (6th and 7th paragraphs)</w:t>
            </w:r>
          </w:p>
        </w:tc>
        <w:tc>
          <w:tcPr/>
          <w:p w:rsidR="00000000" w:rsidDel="00000000" w:rsidP="00000000" w:rsidRDefault="00000000" w:rsidRPr="00000000" w14:paraId="00000199">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“First, reliance on multifidus CSA alone, as emphasized in earlier work, may be misleading; muscle-specific contributions differ, with psoas showing protective associations and erector spinae paradoxically unfavorable..”</w:t>
            </w:r>
          </w:p>
          <w:p w:rsidR="00000000" w:rsidDel="00000000" w:rsidP="00000000" w:rsidRDefault="00000000" w:rsidRPr="00000000" w14:paraId="0000019A">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B">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w:t>
            </w:r>
          </w:p>
          <w:p w:rsidR="00000000" w:rsidDel="00000000" w:rsidP="00000000" w:rsidRDefault="00000000" w:rsidRPr="00000000" w14:paraId="0000019C">
            <w:pPr>
              <w:spacing w:after="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9D">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 et al. demonstrated that greater multifidus CSA reduction correlated with less pain improvement, but baseline CSA had no consistent predictive value”</w:t>
            </w:r>
          </w:p>
        </w:tc>
      </w:tr>
      <w:tr>
        <w:trPr>
          <w:cantSplit w:val="0"/>
          <w:tblHeader w:val="0"/>
        </w:trPr>
        <w:tc>
          <w:tcPr/>
          <w:p w:rsidR="00000000" w:rsidDel="00000000" w:rsidP="00000000" w:rsidRDefault="00000000" w:rsidRPr="00000000" w14:paraId="0000019E">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Discussion (Generalisability)</w:t>
            </w:r>
          </w:p>
        </w:tc>
        <w:tc>
          <w:tcPr/>
          <w:p w:rsidR="00000000" w:rsidDel="00000000" w:rsidP="00000000" w:rsidRDefault="00000000" w:rsidRPr="00000000" w14:paraId="0000019F">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p w:rsidR="00000000" w:rsidDel="00000000" w:rsidP="00000000" w:rsidRDefault="00000000" w:rsidRPr="00000000" w14:paraId="000001A0">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“Discussion” (final paragraph)</w:t>
            </w:r>
          </w:p>
        </w:tc>
        <w:tc>
          <w:tcPr/>
          <w:p w:rsidR="00000000" w:rsidDel="00000000" w:rsidP="00000000" w:rsidRDefault="00000000" w:rsidRPr="00000000" w14:paraId="000001A1">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“Given these constraints, the results should be considered hypothesis-generating and require validation in larger, prospective studies”</w:t>
            </w:r>
          </w:p>
        </w:tc>
      </w:tr>
      <w:tr>
        <w:trPr>
          <w:cantSplit w:val="0"/>
          <w:tblHeader w:val="0"/>
        </w:trPr>
        <w:tc>
          <w:tcPr/>
          <w:p w:rsidR="00000000" w:rsidDel="00000000" w:rsidP="00000000" w:rsidRDefault="00000000" w:rsidRPr="00000000" w14:paraId="000001A2">
            <w:pPr>
              <w:widowControl w:val="0"/>
              <w:spacing w:after="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Other information</w:t>
            </w:r>
          </w:p>
        </w:tc>
        <w:tc>
          <w:tcPr/>
          <w:p w:rsidR="00000000" w:rsidDel="00000000" w:rsidP="00000000" w:rsidRDefault="00000000" w:rsidRPr="00000000" w14:paraId="000001A3">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p w:rsidR="00000000" w:rsidDel="00000000" w:rsidP="00000000" w:rsidRDefault="00000000" w:rsidRPr="00000000" w14:paraId="000001A4">
            <w:pPr>
              <w:widowControl w:val="0"/>
              <w:spacing w:after="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Section “Sources of funding”</w:t>
            </w:r>
          </w:p>
        </w:tc>
        <w:tc>
          <w:tcPr/>
          <w:p w:rsidR="00000000" w:rsidDel="00000000" w:rsidP="00000000" w:rsidRDefault="00000000" w:rsidRPr="00000000" w14:paraId="000001A5">
            <w:pPr>
              <w:spacing w:after="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color w:val="1b1b1b"/>
                <w:sz w:val="20"/>
                <w:szCs w:val="20"/>
                <w:highlight w:val="white"/>
                <w:rtl w:val="0"/>
              </w:rPr>
              <w:t xml:space="preserve">This research did not receive any specific grant from funding agencies in the public, commercial, or not-for-profit sectors.”</w:t>
            </w:r>
            <w:r w:rsidDel="00000000" w:rsidR="00000000" w:rsidRPr="00000000">
              <w:rPr>
                <w:rtl w:val="0"/>
              </w:rPr>
            </w:r>
          </w:p>
        </w:tc>
      </w:tr>
    </w:tbl>
    <w:p w:rsidR="00000000" w:rsidDel="00000000" w:rsidP="00000000" w:rsidRDefault="00000000" w:rsidRPr="00000000" w14:paraId="000001A6">
      <w:pPr>
        <w:spacing w:after="0"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1A7">
      <w:pP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A8">
      <w:pPr>
        <w:pStyle w:val="Heading2"/>
        <w:rPr>
          <w:rFonts w:ascii="Times New Roman" w:cs="Times New Roman" w:eastAsia="Times New Roman" w:hAnsi="Times New Roman"/>
          <w:b w:val="1"/>
          <w:bCs w:val="1"/>
          <w:sz w:val="22"/>
          <w:szCs w:val="22"/>
        </w:rPr>
      </w:pPr>
      <w:bookmarkStart w:colFirst="0" w:colLast="0" w:name="_heading=h.9umz6cph8un0" w:id="6"/>
      <w:bookmarkEnd w:id="6"/>
      <w:r w:rsidDel="00000000" w:rsidR="00000000" w:rsidRPr="00000000">
        <w:rPr>
          <w:rFonts w:ascii="Times New Roman" w:cs="Times New Roman" w:eastAsia="Times New Roman" w:hAnsi="Times New Roman"/>
          <w:b w:val="1"/>
          <w:bCs w:val="1"/>
          <w:sz w:val="22"/>
          <w:szCs w:val="22"/>
          <w:rtl w:val="0"/>
        </w:rPr>
        <w:t xml:space="preserve">Supplementary Figure S1. ΔVAS normality Q-Q plots</w:t>
      </w:r>
    </w:p>
    <w:p w:rsidR="00000000" w:rsidDel="00000000" w:rsidP="00000000" w:rsidRDefault="00000000" w:rsidRPr="00000000" w14:paraId="000001A9">
      <w:pPr>
        <w:pStyle w:val="Heading2"/>
        <w:rPr>
          <w:rFonts w:ascii="Times New Roman" w:cs="Times New Roman" w:eastAsia="Times New Roman" w:hAnsi="Times New Roman"/>
          <w:sz w:val="22"/>
          <w:szCs w:val="22"/>
        </w:rPr>
      </w:pPr>
      <w:bookmarkStart w:colFirst="0" w:colLast="0" w:name="_heading=h.rfmmjluynlzb" w:id="7"/>
      <w:bookmarkEnd w:id="7"/>
      <w:r w:rsidDel="00000000" w:rsidR="00000000" w:rsidRPr="00000000">
        <w:rPr>
          <w:rFonts w:ascii="Times New Roman" w:cs="Times New Roman" w:eastAsia="Times New Roman" w:hAnsi="Times New Roman"/>
          <w:b w:val="1"/>
          <w:bCs w:val="1"/>
          <w:sz w:val="22"/>
          <w:szCs w:val="22"/>
        </w:rPr>
        <w:drawing>
          <wp:inline distB="114300" distT="114300" distL="114300" distR="114300">
            <wp:extent cx="4825683" cy="3597641"/>
            <wp:effectExtent b="0" l="0" r="0" t="0"/>
            <wp:docPr id="1"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4825683" cy="3597641"/>
                    </a:xfrm>
                    <a:prstGeom prst="rect"/>
                    <a:ln/>
                  </pic:spPr>
                </pic:pic>
              </a:graphicData>
            </a:graphic>
          </wp:inline>
        </w:drawing>
      </w:r>
      <w:r w:rsidDel="00000000" w:rsidR="00000000" w:rsidRPr="00000000">
        <w:rPr>
          <w:rFonts w:ascii="Times New Roman" w:cs="Times New Roman" w:eastAsia="Times New Roman" w:hAnsi="Times New Roman"/>
          <w:b w:val="1"/>
          <w:bCs w:val="1"/>
          <w:sz w:val="22"/>
          <w:szCs w:val="22"/>
          <w:rtl w:val="0"/>
        </w:rPr>
        <w:t xml:space="preserve">.</w:t>
      </w: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Supplementary Figure S1. </w:t>
      </w:r>
      <w:r w:rsidDel="00000000" w:rsidR="00000000" w:rsidRPr="00000000">
        <w:rPr>
          <w:rFonts w:ascii="Times New Roman" w:cs="Times New Roman" w:eastAsia="Times New Roman" w:hAnsi="Times New Roman"/>
          <w:i w:val="1"/>
          <w:iCs w:val="1"/>
          <w:sz w:val="22"/>
          <w:szCs w:val="22"/>
          <w:rtl w:val="0"/>
        </w:rPr>
        <w:t xml:space="preserve">Q-Q plot assessing the normality of residuals. Data points close to the reference line indicate adherence to the assumption of normality</w:t>
      </w:r>
    </w:p>
    <w:p w:rsidR="00000000" w:rsidDel="00000000" w:rsidP="00000000" w:rsidRDefault="00000000" w:rsidRPr="00000000" w14:paraId="000001AB">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AC">
      <w:pPr>
        <w:pStyle w:val="Heading2"/>
        <w:rPr>
          <w:rFonts w:ascii="Times New Roman" w:cs="Times New Roman" w:eastAsia="Times New Roman" w:hAnsi="Times New Roman"/>
          <w:b w:val="1"/>
          <w:bCs w:val="1"/>
          <w:sz w:val="22"/>
          <w:szCs w:val="22"/>
        </w:rPr>
      </w:pPr>
      <w:bookmarkStart w:colFirst="0" w:colLast="0" w:name="_heading=h.qbl1f65fbin3" w:id="8"/>
      <w:bookmarkEnd w:id="8"/>
      <w:r w:rsidDel="00000000" w:rsidR="00000000" w:rsidRPr="00000000">
        <w:rPr>
          <w:rFonts w:ascii="Times New Roman" w:cs="Times New Roman" w:eastAsia="Times New Roman" w:hAnsi="Times New Roman"/>
          <w:b w:val="1"/>
          <w:bCs w:val="1"/>
          <w:sz w:val="22"/>
          <w:szCs w:val="22"/>
          <w:rtl w:val="0"/>
        </w:rPr>
        <w:t xml:space="preserve">Supplementary Figure S2. ΔODI normality Q-Q plots</w:t>
      </w:r>
    </w:p>
    <w:p w:rsidR="00000000" w:rsidDel="00000000" w:rsidP="00000000" w:rsidRDefault="00000000" w:rsidRPr="00000000" w14:paraId="000001AD">
      <w:pPr>
        <w:rPr/>
      </w:pPr>
      <w:r w:rsidDel="00000000" w:rsidR="00000000" w:rsidRPr="00000000">
        <w:rPr/>
        <w:drawing>
          <wp:inline distB="114300" distT="114300" distL="114300" distR="114300">
            <wp:extent cx="4578033" cy="3445831"/>
            <wp:effectExtent b="0" l="0" r="0" t="0"/>
            <wp:docPr id="3" name="image3.png"/>
            <a:graphic>
              <a:graphicData uri="http://schemas.openxmlformats.org/drawingml/2006/picture">
                <pic:pic>
                  <pic:nvPicPr>
                    <pic:cNvPr id="0" name="image3.png"/>
                    <pic:cNvPicPr preferRelativeResize="0"/>
                  </pic:nvPicPr>
                  <pic:blipFill>
                    <a:blip r:embed="rId24"/>
                    <a:srcRect b="0" l="0" r="0" t="0"/>
                    <a:stretch>
                      <a:fillRect/>
                    </a:stretch>
                  </pic:blipFill>
                  <pic:spPr>
                    <a:xfrm>
                      <a:off x="0" y="0"/>
                      <a:ext cx="4578033" cy="3445831"/>
                    </a:xfrm>
                    <a:prstGeom prst="rect"/>
                    <a:ln/>
                  </pic:spPr>
                </pic:pic>
              </a:graphicData>
            </a:graphic>
          </wp:inline>
        </w:drawing>
      </w: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Supplementary Figure S2. </w:t>
      </w:r>
      <w:r w:rsidDel="00000000" w:rsidR="00000000" w:rsidRPr="00000000">
        <w:rPr>
          <w:rFonts w:ascii="Times New Roman" w:cs="Times New Roman" w:eastAsia="Times New Roman" w:hAnsi="Times New Roman"/>
          <w:i w:val="1"/>
          <w:iCs w:val="1"/>
          <w:sz w:val="22"/>
          <w:szCs w:val="22"/>
          <w:rtl w:val="0"/>
        </w:rPr>
        <w:t xml:space="preserve">Q-Q plot assessing the normality of residuals. Data points close to the reference line indicate adherence to the assumption of normality</w:t>
      </w:r>
    </w:p>
    <w:p w:rsidR="00000000" w:rsidDel="00000000" w:rsidP="00000000" w:rsidRDefault="00000000" w:rsidRPr="00000000" w14:paraId="000001AF">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B0">
      <w:pPr>
        <w:pStyle w:val="Heading2"/>
        <w:rPr>
          <w:rFonts w:ascii="Times New Roman" w:cs="Times New Roman" w:eastAsia="Times New Roman" w:hAnsi="Times New Roman"/>
          <w:b w:val="1"/>
          <w:bCs w:val="1"/>
          <w:sz w:val="22"/>
          <w:szCs w:val="22"/>
        </w:rPr>
      </w:pPr>
      <w:bookmarkStart w:colFirst="0" w:colLast="0" w:name="_heading=h.bz2dt0808nrs" w:id="9"/>
      <w:bookmarkEnd w:id="9"/>
      <w:r w:rsidDel="00000000" w:rsidR="00000000" w:rsidRPr="00000000">
        <w:rPr>
          <w:rFonts w:ascii="Times New Roman" w:cs="Times New Roman" w:eastAsia="Times New Roman" w:hAnsi="Times New Roman"/>
          <w:b w:val="1"/>
          <w:bCs w:val="1"/>
          <w:sz w:val="22"/>
          <w:szCs w:val="22"/>
          <w:rtl w:val="0"/>
        </w:rPr>
        <w:t xml:space="preserve">Supplementary Figure S3. ΔSF-36 normality Q-Q plots</w:t>
      </w:r>
    </w:p>
    <w:p w:rsidR="00000000" w:rsidDel="00000000" w:rsidP="00000000" w:rsidRDefault="00000000" w:rsidRPr="00000000" w14:paraId="000001B1">
      <w:pP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Pr>
        <w:drawing>
          <wp:inline distB="114300" distT="114300" distL="114300" distR="114300">
            <wp:extent cx="4979625" cy="3721333"/>
            <wp:effectExtent b="0" l="0" r="0" t="0"/>
            <wp:docPr id="2"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4979625" cy="3721333"/>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1"/>
          <w:bCs w:val="1"/>
          <w:i w:val="1"/>
          <w:iCs w:val="1"/>
          <w:sz w:val="22"/>
          <w:szCs w:val="22"/>
          <w:rtl w:val="0"/>
        </w:rPr>
        <w:t xml:space="preserve">Supplementary Figure S3. </w:t>
      </w:r>
      <w:r w:rsidDel="00000000" w:rsidR="00000000" w:rsidRPr="00000000">
        <w:rPr>
          <w:rFonts w:ascii="Times New Roman" w:cs="Times New Roman" w:eastAsia="Times New Roman" w:hAnsi="Times New Roman"/>
          <w:i w:val="1"/>
          <w:iCs w:val="1"/>
          <w:sz w:val="22"/>
          <w:szCs w:val="22"/>
          <w:rtl w:val="0"/>
        </w:rPr>
        <w:t xml:space="preserve">Q-Q plot assessing the normality of residuals. Data points close to the reference line indicate adherence to the assumption of normality</w:t>
      </w:r>
    </w:p>
    <w:p w:rsidR="00000000" w:rsidDel="00000000" w:rsidP="00000000" w:rsidRDefault="00000000" w:rsidRPr="00000000" w14:paraId="000001B3">
      <w:pPr>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B4">
      <w:pPr>
        <w:pStyle w:val="Heading2"/>
        <w:spacing w:line="480" w:lineRule="auto"/>
        <w:rPr>
          <w:rFonts w:ascii="Times New Roman" w:cs="Times New Roman" w:eastAsia="Times New Roman" w:hAnsi="Times New Roman"/>
          <w:b w:val="1"/>
          <w:bCs w:val="1"/>
          <w:sz w:val="22"/>
          <w:szCs w:val="22"/>
        </w:rPr>
      </w:pPr>
      <w:bookmarkStart w:colFirst="0" w:colLast="0" w:name="_heading=h.jr7mnn4kgzie" w:id="10"/>
      <w:bookmarkEnd w:id="10"/>
      <w:r w:rsidDel="00000000" w:rsidR="00000000" w:rsidRPr="00000000">
        <w:rPr>
          <w:rFonts w:ascii="Times New Roman" w:cs="Times New Roman" w:eastAsia="Times New Roman" w:hAnsi="Times New Roman"/>
          <w:b w:val="1"/>
          <w:bCs w:val="1"/>
          <w:sz w:val="22"/>
          <w:szCs w:val="22"/>
          <w:rtl w:val="0"/>
        </w:rPr>
        <w:t xml:space="preserve">Supplementary references</w:t>
      </w:r>
    </w:p>
    <w:p w:rsidR="00000000" w:rsidDel="00000000" w:rsidP="00000000" w:rsidRDefault="00000000" w:rsidRPr="00000000" w14:paraId="000001B5">
      <w:pPr>
        <w:numPr>
          <w:ilvl w:val="0"/>
          <w:numId w:val="1"/>
        </w:numPr>
        <w:spacing w:after="0" w:line="48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highlight w:val="white"/>
          <w:rtl w:val="0"/>
        </w:rPr>
        <w:t xml:space="preserve">Ghogawala, Z., Shaffrey, C. I., Asher, A. L., Heary, R. F., Logvinenko, T., Malhotra, N. R., Dante, S. J., Hurlbert, R. J., Douglas, A. F., Magge, S. N., Mummaneni, P. V., Cheng, J. S., Smith, J. S., Kaiser, M. G., Abbed, K. M., Sciubba, D. M., &amp; Resnick, D. K. (2013). The efficacy of lumbar discectomy and single-level fusion for spondylolisthesis: results from the NeuroPoint-SD registry: clinical article. </w:t>
      </w:r>
      <w:r w:rsidDel="00000000" w:rsidR="00000000" w:rsidRPr="00000000">
        <w:rPr>
          <w:rFonts w:ascii="Times New Roman" w:cs="Times New Roman" w:eastAsia="Times New Roman" w:hAnsi="Times New Roman"/>
          <w:i w:val="1"/>
          <w:iCs w:val="1"/>
          <w:sz w:val="20"/>
          <w:szCs w:val="20"/>
          <w:highlight w:val="white"/>
          <w:rtl w:val="0"/>
        </w:rPr>
        <w:t xml:space="preserve">Journal of neurosurgery. Spine</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iCs w:val="1"/>
          <w:sz w:val="20"/>
          <w:szCs w:val="20"/>
          <w:highlight w:val="white"/>
          <w:rtl w:val="0"/>
        </w:rPr>
        <w:t xml:space="preserve">19</w:t>
      </w:r>
      <w:r w:rsidDel="00000000" w:rsidR="00000000" w:rsidRPr="00000000">
        <w:rPr>
          <w:rFonts w:ascii="Times New Roman" w:cs="Times New Roman" w:eastAsia="Times New Roman" w:hAnsi="Times New Roman"/>
          <w:sz w:val="20"/>
          <w:szCs w:val="20"/>
          <w:highlight w:val="white"/>
          <w:rtl w:val="0"/>
        </w:rPr>
        <w:t xml:space="preserve">(5), 555–563. </w:t>
      </w:r>
      <w:hyperlink r:id="rId26">
        <w:r w:rsidDel="00000000" w:rsidR="00000000" w:rsidRPr="00000000">
          <w:rPr>
            <w:rFonts w:ascii="Times New Roman" w:cs="Times New Roman" w:eastAsia="Times New Roman" w:hAnsi="Times New Roman"/>
            <w:sz w:val="20"/>
            <w:szCs w:val="20"/>
            <w:highlight w:val="white"/>
            <w:u w:val="single"/>
            <w:rtl w:val="0"/>
          </w:rPr>
          <w:t xml:space="preserve">https://doi.org/10.3171/2013.7.SPINE1362</w:t>
        </w:r>
      </w:hyperlink>
      <w:r w:rsidDel="00000000" w:rsidR="00000000" w:rsidRPr="00000000">
        <w:rPr>
          <w:rtl w:val="0"/>
        </w:rPr>
      </w:r>
    </w:p>
    <w:p w:rsidR="00000000" w:rsidDel="00000000" w:rsidP="00000000" w:rsidRDefault="00000000" w:rsidRPr="00000000" w14:paraId="000001B6">
      <w:pPr>
        <w:numPr>
          <w:ilvl w:val="0"/>
          <w:numId w:val="1"/>
        </w:numPr>
        <w:spacing w:after="0" w:line="480" w:lineRule="auto"/>
        <w:ind w:left="720" w:hanging="36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Zhou, Y., Liu, Z., Lei, F., Xie, K., &amp; Jia, X. (2020). A randomized study protocol of microendoscopic versus open discectomy in treatment of lumbar disc herniation. </w:t>
      </w:r>
      <w:r w:rsidDel="00000000" w:rsidR="00000000" w:rsidRPr="00000000">
        <w:rPr>
          <w:rFonts w:ascii="Times New Roman" w:cs="Times New Roman" w:eastAsia="Times New Roman" w:hAnsi="Times New Roman"/>
          <w:i w:val="1"/>
          <w:iCs w:val="1"/>
          <w:sz w:val="20"/>
          <w:szCs w:val="20"/>
          <w:highlight w:val="white"/>
          <w:rtl w:val="0"/>
        </w:rPr>
        <w:t xml:space="preserve">Medicine</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iCs w:val="1"/>
          <w:sz w:val="20"/>
          <w:szCs w:val="20"/>
          <w:highlight w:val="white"/>
          <w:rtl w:val="0"/>
        </w:rPr>
        <w:t xml:space="preserve">99</w:t>
      </w:r>
      <w:r w:rsidDel="00000000" w:rsidR="00000000" w:rsidRPr="00000000">
        <w:rPr>
          <w:rFonts w:ascii="Times New Roman" w:cs="Times New Roman" w:eastAsia="Times New Roman" w:hAnsi="Times New Roman"/>
          <w:sz w:val="20"/>
          <w:szCs w:val="20"/>
          <w:highlight w:val="white"/>
          <w:rtl w:val="0"/>
        </w:rPr>
        <w:t xml:space="preserve">(31), e21361. </w:t>
      </w:r>
      <w:hyperlink r:id="rId27">
        <w:r w:rsidDel="00000000" w:rsidR="00000000" w:rsidRPr="00000000">
          <w:rPr>
            <w:rFonts w:ascii="Times New Roman" w:cs="Times New Roman" w:eastAsia="Times New Roman" w:hAnsi="Times New Roman"/>
            <w:sz w:val="20"/>
            <w:szCs w:val="20"/>
            <w:highlight w:val="white"/>
            <w:u w:val="single"/>
            <w:rtl w:val="0"/>
          </w:rPr>
          <w:t xml:space="preserve">https://doi.org/10.1097/MD.0000000000021361</w:t>
        </w:r>
      </w:hyperlink>
      <w:r w:rsidDel="00000000" w:rsidR="00000000" w:rsidRPr="00000000">
        <w:rPr>
          <w:rtl w:val="0"/>
        </w:rPr>
      </w:r>
    </w:p>
    <w:p w:rsidR="00000000" w:rsidDel="00000000" w:rsidP="00000000" w:rsidRDefault="00000000" w:rsidRPr="00000000" w14:paraId="000001B7">
      <w:pPr>
        <w:numPr>
          <w:ilvl w:val="0"/>
          <w:numId w:val="1"/>
        </w:numPr>
        <w:spacing w:after="240" w:line="480" w:lineRule="auto"/>
        <w:ind w:left="720" w:hanging="360"/>
        <w:jc w:val="both"/>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Song, C., Deng, Z., Dai, H., Zheng, W., Yu, G., Wu, Y., Luo, J., &amp; Xu, J. (2024). Comparison of the Medium-term Outcomes of Anterior Lumbar Discectomy and Fusion with Minimally Invasive Transforaminal Lumbar Interbody Fusion: A Retrospective Cohort Study. </w:t>
      </w:r>
      <w:r w:rsidDel="00000000" w:rsidR="00000000" w:rsidRPr="00000000">
        <w:rPr>
          <w:rFonts w:ascii="Times New Roman" w:cs="Times New Roman" w:eastAsia="Times New Roman" w:hAnsi="Times New Roman"/>
          <w:i w:val="1"/>
          <w:iCs w:val="1"/>
          <w:sz w:val="20"/>
          <w:szCs w:val="20"/>
          <w:highlight w:val="white"/>
          <w:rtl w:val="0"/>
        </w:rPr>
        <w:t xml:space="preserve">Orthopaedic surgery</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iCs w:val="1"/>
          <w:sz w:val="20"/>
          <w:szCs w:val="20"/>
          <w:highlight w:val="white"/>
          <w:rtl w:val="0"/>
        </w:rPr>
        <w:t xml:space="preserve">16</w:t>
      </w:r>
      <w:r w:rsidDel="00000000" w:rsidR="00000000" w:rsidRPr="00000000">
        <w:rPr>
          <w:rFonts w:ascii="Times New Roman" w:cs="Times New Roman" w:eastAsia="Times New Roman" w:hAnsi="Times New Roman"/>
          <w:sz w:val="20"/>
          <w:szCs w:val="20"/>
          <w:highlight w:val="white"/>
          <w:rtl w:val="0"/>
        </w:rPr>
        <w:t xml:space="preserve">(5), 1042–1050. https://doi.org/10.1111/os.14028</w:t>
      </w:r>
    </w:p>
    <w:p w:rsidR="00000000" w:rsidDel="00000000" w:rsidP="00000000" w:rsidRDefault="00000000" w:rsidRPr="00000000" w14:paraId="000001B8">
      <w:pPr>
        <w:rPr>
          <w:rFonts w:ascii="Times New Roman" w:cs="Times New Roman" w:eastAsia="Times New Roman" w:hAnsi="Times New Roman"/>
          <w:sz w:val="20"/>
          <w:szCs w:val="20"/>
        </w:rPr>
      </w:pPr>
      <w:r w:rsidDel="00000000" w:rsidR="00000000" w:rsidRPr="00000000">
        <w:rPr>
          <w:rtl w:val="0"/>
        </w:rPr>
      </w:r>
    </w:p>
    <w:sectPr>
      <w:footerReference r:id="rId28" w:type="default"/>
      <w:pgSz w:h="16838" w:w="11906" w:orient="portrait"/>
      <w:pgMar w:bottom="1440" w:top="1440" w:left="2125.9842519685035"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Gungsuh"/>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9">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Times New Roman" w:cs="Times New Roman" w:eastAsia="Times New Roman" w:hAnsi="Times New Roman"/>
      <w:b w:val="1"/>
      <w:bCs w:val="1"/>
      <w:color w:val="0f4761"/>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rPr>
      <w:color w:val="0b769f"/>
    </w:rPr>
    <w:tblPr>
      <w:tblStyleRowBandSize w:val="1"/>
      <w:tblStyleColBandSize w:val="1"/>
      <w:tblCellMar>
        <w:top w:w="0.0" w:type="dxa"/>
        <w:left w:w="108.0" w:type="dxa"/>
        <w:bottom w:w="0.0" w:type="dxa"/>
        <w:right w:w="108.0" w:type="dxa"/>
      </w:tblCellMar>
    </w:tblPr>
    <w:tblStylePr w:type="band1Horz">
      <w:tcPr>
        <w:shd w:fill="caedfb" w:val="clear"/>
      </w:tcPr>
    </w:tblStylePr>
    <w:tblStylePr w:type="band1Vert">
      <w:tcPr>
        <w:shd w:fill="caedfb" w:val="clear"/>
      </w:tcPr>
    </w:tblStylePr>
    <w:tblStylePr w:type="firstCol">
      <w:rPr>
        <w:b w:val="1"/>
        <w:bCs w:val="1"/>
      </w:rPr>
    </w:tblStylePr>
    <w:tblStylePr w:type="firstRow">
      <w:rPr>
        <w:b w:val="1"/>
        <w:bCs w:val="1"/>
      </w:rPr>
      <w:tcPr>
        <w:tcBorders>
          <w:bottom w:color="0f9ed5" w:space="0" w:sz="4" w:val="single"/>
        </w:tcBorders>
      </w:tcPr>
    </w:tblStylePr>
    <w:tblStylePr w:type="lastCol">
      <w:rPr>
        <w:b w:val="1"/>
        <w:bCs w:val="1"/>
      </w:rPr>
    </w:tblStylePr>
    <w:tblStylePr w:type="lastRow">
      <w:rPr>
        <w:b w:val="1"/>
        <w:bCs w:val="1"/>
      </w:rPr>
      <w:tcPr>
        <w:tcBorders>
          <w:top w:color="0f9ed5" w:space="0" w:sz="4" w:val="single"/>
        </w:tcBorders>
      </w:tcPr>
    </w:tblStylePr>
  </w:style>
  <w:style w:type="table" w:styleId="Table2">
    <w:basedOn w:val="TableNormal"/>
    <w:pPr>
      <w:spacing w:after="0" w:line="240" w:lineRule="auto"/>
    </w:pPr>
    <w:rPr>
      <w:color w:val="0b769f"/>
    </w:rPr>
    <w:tblPr>
      <w:tblStyleRowBandSize w:val="1"/>
      <w:tblStyleColBandSize w:val="1"/>
      <w:tblCellMar>
        <w:top w:w="0.0" w:type="dxa"/>
        <w:left w:w="108.0" w:type="dxa"/>
        <w:bottom w:w="0.0" w:type="dxa"/>
        <w:right w:w="108.0" w:type="dxa"/>
      </w:tblCellMar>
    </w:tblPr>
    <w:tblStylePr w:type="band1Horz">
      <w:tcPr>
        <w:shd w:fill="caedfb" w:val="clear"/>
      </w:tcPr>
    </w:tblStylePr>
    <w:tblStylePr w:type="band1Vert">
      <w:tcPr>
        <w:shd w:fill="caedfb" w:val="clear"/>
      </w:tcPr>
    </w:tblStylePr>
    <w:tblStylePr w:type="firstCol">
      <w:rPr>
        <w:b w:val="1"/>
        <w:bCs w:val="1"/>
      </w:rPr>
    </w:tblStylePr>
    <w:tblStylePr w:type="firstRow">
      <w:rPr>
        <w:b w:val="1"/>
        <w:bCs w:val="1"/>
      </w:rPr>
      <w:tcPr>
        <w:tcBorders>
          <w:bottom w:color="0f9ed5" w:space="0" w:sz="4" w:val="single"/>
        </w:tcBorders>
      </w:tcPr>
    </w:tblStylePr>
    <w:tblStylePr w:type="lastCol">
      <w:rPr>
        <w:b w:val="1"/>
        <w:bCs w:val="1"/>
      </w:rPr>
    </w:tblStylePr>
    <w:tblStylePr w:type="lastRow">
      <w:rPr>
        <w:b w:val="1"/>
        <w:bCs w:val="1"/>
      </w:rPr>
      <w:tcPr>
        <w:tcBorders>
          <w:top w:color="0f9ed5" w:space="0" w:sz="4" w:val="single"/>
        </w:tcBorders>
      </w:tcPr>
    </w:tblStylePr>
  </w:style>
  <w:style w:type="table" w:styleId="Table3">
    <w:basedOn w:val="TableNormal"/>
    <w:pPr>
      <w:spacing w:after="0" w:line="240" w:lineRule="auto"/>
    </w:pPr>
    <w:rPr>
      <w:color w:val="0b769f"/>
    </w:rPr>
    <w:tblPr>
      <w:tblStyleRowBandSize w:val="1"/>
      <w:tblStyleColBandSize w:val="1"/>
      <w:tblCellMar>
        <w:top w:w="0.0" w:type="dxa"/>
        <w:left w:w="108.0" w:type="dxa"/>
        <w:bottom w:w="0.0" w:type="dxa"/>
        <w:right w:w="108.0" w:type="dxa"/>
      </w:tblCellMar>
    </w:tblPr>
    <w:tblStylePr w:type="band1Horz">
      <w:tcPr>
        <w:shd w:fill="caedfb" w:val="clear"/>
      </w:tcPr>
    </w:tblStylePr>
    <w:tblStylePr w:type="band1Vert">
      <w:tcPr>
        <w:shd w:fill="caedfb" w:val="clear"/>
      </w:tcPr>
    </w:tblStylePr>
    <w:tblStylePr w:type="firstCol">
      <w:rPr>
        <w:b w:val="1"/>
        <w:bCs w:val="1"/>
      </w:rPr>
    </w:tblStylePr>
    <w:tblStylePr w:type="firstRow">
      <w:rPr>
        <w:b w:val="1"/>
        <w:bCs w:val="1"/>
      </w:rPr>
      <w:tcPr>
        <w:tcBorders>
          <w:bottom w:color="0f9ed5" w:space="0" w:sz="4" w:val="single"/>
        </w:tcBorders>
      </w:tcPr>
    </w:tblStylePr>
    <w:tblStylePr w:type="lastCol">
      <w:rPr>
        <w:b w:val="1"/>
        <w:bCs w:val="1"/>
      </w:rPr>
    </w:tblStylePr>
    <w:tblStylePr w:type="lastRow">
      <w:rPr>
        <w:b w:val="1"/>
        <w:bCs w:val="1"/>
      </w:rPr>
      <w:tcPr>
        <w:tcBorders>
          <w:top w:color="0f9ed5" w:space="0" w:sz="4" w:val="single"/>
        </w:tcBorders>
      </w:tcPr>
    </w:tblStylePr>
  </w:style>
  <w:style w:type="table" w:styleId="Table4">
    <w:basedOn w:val="TableNormal"/>
    <w:pPr>
      <w:spacing w:after="0" w:line="240" w:lineRule="auto"/>
    </w:pPr>
    <w:rPr>
      <w:color w:val="0b769f"/>
    </w:rPr>
    <w:tblPr>
      <w:tblStyleRowBandSize w:val="1"/>
      <w:tblStyleColBandSize w:val="1"/>
      <w:tblCellMar>
        <w:top w:w="0.0" w:type="dxa"/>
        <w:left w:w="108.0" w:type="dxa"/>
        <w:bottom w:w="0.0" w:type="dxa"/>
        <w:right w:w="108.0" w:type="dxa"/>
      </w:tblCellMar>
    </w:tblPr>
    <w:tblStylePr w:type="band1Horz">
      <w:tcPr>
        <w:shd w:fill="caedfb" w:val="clear"/>
      </w:tcPr>
    </w:tblStylePr>
    <w:tblStylePr w:type="band1Vert">
      <w:tcPr>
        <w:shd w:fill="caedfb" w:val="clear"/>
      </w:tcPr>
    </w:tblStylePr>
    <w:tblStylePr w:type="firstCol">
      <w:rPr>
        <w:b w:val="1"/>
        <w:bCs w:val="1"/>
      </w:rPr>
    </w:tblStylePr>
    <w:tblStylePr w:type="firstRow">
      <w:rPr>
        <w:b w:val="1"/>
        <w:bCs w:val="1"/>
      </w:rPr>
      <w:tcPr>
        <w:tcBorders>
          <w:bottom w:color="0f9ed5" w:space="0" w:sz="4" w:val="single"/>
        </w:tcBorders>
      </w:tcPr>
    </w:tblStylePr>
    <w:tblStylePr w:type="lastCol">
      <w:rPr>
        <w:b w:val="1"/>
        <w:bCs w:val="1"/>
      </w:rPr>
    </w:tblStylePr>
    <w:tblStylePr w:type="lastRow">
      <w:rPr>
        <w:b w:val="1"/>
        <w:bCs w:val="1"/>
      </w:rPr>
      <w:tcPr>
        <w:tcBorders>
          <w:top w:color="0f9ed5" w:space="0" w:sz="4" w:val="single"/>
        </w:tcBorders>
      </w:tcPr>
    </w:tblStyle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mailto:biondigustavo@gmail.com" TargetMode="External"/><Relationship Id="rId22" Type="http://schemas.openxmlformats.org/officeDocument/2006/relationships/hyperlink" Target="mailto:murtaja.satea@gmail.com" TargetMode="External"/><Relationship Id="rId21" Type="http://schemas.openxmlformats.org/officeDocument/2006/relationships/hyperlink" Target="mailto:salvagni.dr@gmail.com" TargetMode="External"/><Relationship Id="rId24" Type="http://schemas.openxmlformats.org/officeDocument/2006/relationships/image" Target="media/image3.png"/><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murtaja.satea@gmail.com" TargetMode="External"/><Relationship Id="rId26" Type="http://schemas.openxmlformats.org/officeDocument/2006/relationships/hyperlink" Target="https://doi.org/10.3171/2013.7.SPINE1362" TargetMode="External"/><Relationship Id="rId25" Type="http://schemas.openxmlformats.org/officeDocument/2006/relationships/image" Target="media/image2.png"/><Relationship Id="rId28" Type="http://schemas.openxmlformats.org/officeDocument/2006/relationships/footer" Target="footer1.xml"/><Relationship Id="rId27" Type="http://schemas.openxmlformats.org/officeDocument/2006/relationships/hyperlink" Target="https://doi.org/10.1097/MD.000000000002136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alitarik@comed.uobaghdad.edu.iq" TargetMode="External"/><Relationship Id="rId8" Type="http://schemas.openxmlformats.org/officeDocument/2006/relationships/hyperlink" Target="mailto:noor.najah002@gmail.com" TargetMode="External"/><Relationship Id="rId11" Type="http://schemas.openxmlformats.org/officeDocument/2006/relationships/hyperlink" Target="mailto:Karpinski.p@yahoo.com" TargetMode="External"/><Relationship Id="rId10" Type="http://schemas.openxmlformats.org/officeDocument/2006/relationships/hyperlink" Target="mailto:seccolg@gmail.com" TargetMode="External"/><Relationship Id="rId13" Type="http://schemas.openxmlformats.org/officeDocument/2006/relationships/hyperlink" Target="mailto:pedrobetini@hotmail.com" TargetMode="External"/><Relationship Id="rId12" Type="http://schemas.openxmlformats.org/officeDocument/2006/relationships/hyperlink" Target="mailto:luanamartinsv9@gmail.com" TargetMode="External"/><Relationship Id="rId15" Type="http://schemas.openxmlformats.org/officeDocument/2006/relationships/hyperlink" Target="mailto:noorhusain23@gmail.com" TargetMode="External"/><Relationship Id="rId14" Type="http://schemas.openxmlformats.org/officeDocument/2006/relationships/hyperlink" Target="mailto:ohannesian.victor@gmail.com" TargetMode="External"/><Relationship Id="rId17" Type="http://schemas.openxmlformats.org/officeDocument/2006/relationships/hyperlink" Target="mailto:talib.j@uowa.edu.iq" TargetMode="External"/><Relationship Id="rId16" Type="http://schemas.openxmlformats.org/officeDocument/2006/relationships/hyperlink" Target="mailto:enzo.von.quednow@gmail.com" TargetMode="External"/><Relationship Id="rId19" Type="http://schemas.openxmlformats.org/officeDocument/2006/relationships/hyperlink" Target="mailto:ahbangash98@gmail.com" TargetMode="External"/><Relationship Id="rId18" Type="http://schemas.openxmlformats.org/officeDocument/2006/relationships/hyperlink" Target="mailto:mdesouzaferreira@northwell.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LFdlCQ4eu5a0YdYGramFc80veg==">CgMxLjAyDmgucGw4ZTkwbW5wcXk3Mg5oLmIyeHU4aDdib3I4aDIOaC4yZWN1MmFncWVqbmoyDmgub21wYzhuNGM5MDUzMg5oLnk2dWFvcWg0bG96azIOaC51NXFsNjQ2NXlldjYyDmguOXVtejZjcGg4dW4wMg5oLnJmbW1qbHV5bmx6YjIOaC5xYmwxZjY1ZmJpbjMyDmguYnoyZHQwODA4bnJzMg5oLmpyN21ubjRrZ3ppZTgAciExSFQwTG40R3paYkRYeC1VNFlnRGc4bkxEeTFNMDJnVE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