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9E490" w14:textId="2D93EA8D" w:rsidR="00A942E3" w:rsidRPr="009E36BC" w:rsidRDefault="00A942E3" w:rsidP="00A942E3">
      <w:pPr>
        <w:jc w:val="center"/>
        <w:rPr>
          <w:rFonts w:ascii="Times New Roman" w:eastAsia="Calibri" w:hAnsi="Times New Roman" w:cs="Times New Roman"/>
          <w:b/>
          <w:bCs/>
        </w:rPr>
      </w:pPr>
      <w:r w:rsidRPr="009E36BC">
        <w:rPr>
          <w:rFonts w:ascii="Times New Roman" w:eastAsia="Calibri" w:hAnsi="Times New Roman" w:cs="Times New Roman"/>
          <w:b/>
          <w:bCs/>
        </w:rPr>
        <w:t>Supporting Information</w:t>
      </w:r>
    </w:p>
    <w:p w14:paraId="2849A13F" w14:textId="77777777" w:rsidR="00C112CC" w:rsidRDefault="00C112CC" w:rsidP="009213E2">
      <w:pPr>
        <w:jc w:val="both"/>
        <w:rPr>
          <w:rFonts w:ascii="Times New Roman" w:eastAsia="Calibri" w:hAnsi="Times New Roman" w:cs="Times New Roman"/>
        </w:rPr>
      </w:pPr>
      <w:r w:rsidRPr="00C112CC">
        <w:rPr>
          <w:rFonts w:ascii="Times New Roman" w:eastAsia="Calibri" w:hAnsi="Times New Roman" w:cs="Times New Roman"/>
        </w:rPr>
        <w:t>Utilizing 4D-STEM to Characterize Diffusion-Induced Grain Boundary Migration in NiCr Alloys</w:t>
      </w:r>
    </w:p>
    <w:p w14:paraId="39EA2068" w14:textId="70ECC3EE" w:rsidR="009213E2" w:rsidRPr="00AA4A8F" w:rsidRDefault="009213E2" w:rsidP="009213E2">
      <w:pPr>
        <w:jc w:val="both"/>
        <w:rPr>
          <w:rFonts w:ascii="Times New Roman" w:eastAsia="Calibri" w:hAnsi="Times New Roman" w:cs="Times New Roman"/>
        </w:rPr>
      </w:pPr>
      <w:r w:rsidRPr="00AA4A8F">
        <w:rPr>
          <w:rFonts w:ascii="Times New Roman" w:eastAsia="Calibri" w:hAnsi="Times New Roman" w:cs="Times New Roman"/>
        </w:rPr>
        <w:t>Eitan Hershkovitz</w:t>
      </w:r>
      <w:r w:rsidRPr="00AA4A8F">
        <w:rPr>
          <w:rFonts w:ascii="Times New Roman" w:eastAsia="Calibri" w:hAnsi="Times New Roman" w:cs="Times New Roman"/>
          <w:vertAlign w:val="superscript"/>
        </w:rPr>
        <w:t>1</w:t>
      </w:r>
      <w:r w:rsidRPr="00AA4A8F">
        <w:rPr>
          <w:rFonts w:ascii="Times New Roman" w:eastAsia="Calibri" w:hAnsi="Times New Roman" w:cs="Times New Roman"/>
        </w:rPr>
        <w:t>,</w:t>
      </w:r>
      <w:r w:rsidR="00C112CC">
        <w:rPr>
          <w:rFonts w:ascii="Times New Roman" w:eastAsia="Calibri" w:hAnsi="Times New Roman" w:cs="Times New Roman"/>
        </w:rPr>
        <w:t xml:space="preserve"> </w:t>
      </w:r>
      <w:r w:rsidR="00C112CC" w:rsidRPr="00C112CC">
        <w:rPr>
          <w:rFonts w:ascii="Times New Roman" w:eastAsia="Calibri" w:hAnsi="Times New Roman" w:cs="Times New Roman"/>
        </w:rPr>
        <w:t>Karen Kruska</w:t>
      </w:r>
      <w:r w:rsidR="00C112CC" w:rsidRPr="00C112CC">
        <w:rPr>
          <w:rFonts w:ascii="Times New Roman" w:eastAsia="Calibri" w:hAnsi="Times New Roman" w:cs="Times New Roman"/>
          <w:vertAlign w:val="superscript"/>
        </w:rPr>
        <w:t>2</w:t>
      </w:r>
      <w:r w:rsidR="00C112CC" w:rsidRPr="00C112CC">
        <w:rPr>
          <w:rFonts w:ascii="Times New Roman" w:eastAsia="Calibri" w:hAnsi="Times New Roman" w:cs="Times New Roman"/>
        </w:rPr>
        <w:t>, Pauline Simmonnin</w:t>
      </w:r>
      <w:r w:rsidR="00C112CC" w:rsidRPr="00C112CC">
        <w:rPr>
          <w:rFonts w:ascii="Times New Roman" w:eastAsia="Calibri" w:hAnsi="Times New Roman" w:cs="Times New Roman"/>
          <w:vertAlign w:val="superscript"/>
        </w:rPr>
        <w:t>2</w:t>
      </w:r>
      <w:r w:rsidR="00C112CC" w:rsidRPr="00C112CC">
        <w:rPr>
          <w:rFonts w:ascii="Times New Roman" w:eastAsia="Calibri" w:hAnsi="Times New Roman" w:cs="Times New Roman"/>
        </w:rPr>
        <w:t>, Konnor Walter</w:t>
      </w:r>
      <w:r w:rsidR="00C112CC" w:rsidRPr="00C112CC">
        <w:rPr>
          <w:rFonts w:ascii="Times New Roman" w:eastAsia="Calibri" w:hAnsi="Times New Roman" w:cs="Times New Roman"/>
          <w:vertAlign w:val="superscript"/>
        </w:rPr>
        <w:t>3</w:t>
      </w:r>
      <w:r w:rsidR="00C112CC" w:rsidRPr="00C112CC">
        <w:rPr>
          <w:rFonts w:ascii="Times New Roman" w:eastAsia="Calibri" w:hAnsi="Times New Roman" w:cs="Times New Roman"/>
        </w:rPr>
        <w:t>, Emmanuelle Marquis</w:t>
      </w:r>
      <w:r w:rsidR="00F90461" w:rsidRPr="00F90461">
        <w:rPr>
          <w:rFonts w:ascii="Times New Roman" w:eastAsia="Calibri" w:hAnsi="Times New Roman" w:cs="Times New Roman"/>
          <w:vertAlign w:val="superscript"/>
        </w:rPr>
        <w:t>2,</w:t>
      </w:r>
      <w:r w:rsidR="00C112CC" w:rsidRPr="00C112CC">
        <w:rPr>
          <w:rFonts w:ascii="Times New Roman" w:eastAsia="Calibri" w:hAnsi="Times New Roman" w:cs="Times New Roman"/>
          <w:vertAlign w:val="superscript"/>
        </w:rPr>
        <w:t>3</w:t>
      </w:r>
      <w:r w:rsidR="00C112CC" w:rsidRPr="00C112CC">
        <w:rPr>
          <w:rFonts w:ascii="Times New Roman" w:eastAsia="Calibri" w:hAnsi="Times New Roman" w:cs="Times New Roman"/>
        </w:rPr>
        <w:t>, Daniel Schreiber</w:t>
      </w:r>
      <w:r w:rsidR="00C112CC" w:rsidRPr="00C112CC">
        <w:rPr>
          <w:rFonts w:ascii="Times New Roman" w:eastAsia="Calibri" w:hAnsi="Times New Roman" w:cs="Times New Roman"/>
          <w:vertAlign w:val="superscript"/>
        </w:rPr>
        <w:t>2*</w:t>
      </w:r>
      <w:r w:rsidR="00C112CC" w:rsidRPr="00C112CC">
        <w:rPr>
          <w:rFonts w:ascii="Times New Roman" w:eastAsia="Calibri" w:hAnsi="Times New Roman" w:cs="Times New Roman"/>
        </w:rPr>
        <w:t>, and Chongmin Wang</w:t>
      </w:r>
      <w:r w:rsidR="00C112CC" w:rsidRPr="00C112CC">
        <w:rPr>
          <w:rFonts w:ascii="Times New Roman" w:eastAsia="Calibri" w:hAnsi="Times New Roman" w:cs="Times New Roman"/>
          <w:vertAlign w:val="superscript"/>
        </w:rPr>
        <w:t>1</w:t>
      </w:r>
      <w:r w:rsidR="00EE5236">
        <w:rPr>
          <w:rFonts w:ascii="Times New Roman" w:eastAsia="Calibri" w:hAnsi="Times New Roman" w:cs="Times New Roman"/>
          <w:vertAlign w:val="superscript"/>
        </w:rPr>
        <w:t>*</w:t>
      </w:r>
    </w:p>
    <w:p w14:paraId="554F442E" w14:textId="77777777" w:rsidR="00C112CC" w:rsidRPr="00C112CC" w:rsidRDefault="00C112CC" w:rsidP="00C112CC">
      <w:pPr>
        <w:spacing w:after="0" w:line="259" w:lineRule="auto"/>
        <w:rPr>
          <w:rFonts w:ascii="Times New Roman" w:hAnsi="Times New Roman" w:cs="Times New Roman"/>
        </w:rPr>
      </w:pPr>
      <w:r w:rsidRPr="00C112CC">
        <w:rPr>
          <w:rFonts w:ascii="Times New Roman" w:hAnsi="Times New Roman" w:cs="Times New Roman"/>
          <w:vertAlign w:val="superscript"/>
        </w:rPr>
        <w:t>1</w:t>
      </w:r>
      <w:r w:rsidRPr="00C112CC">
        <w:rPr>
          <w:rFonts w:ascii="Times New Roman" w:hAnsi="Times New Roman" w:cs="Times New Roman"/>
        </w:rPr>
        <w:t>Environmental Molecular Sciences Laboratory, Pacific Northwest National Laboratory, Richland, WA, USA.</w:t>
      </w:r>
    </w:p>
    <w:p w14:paraId="5CF78D73" w14:textId="7240B67F" w:rsidR="00C112CC" w:rsidRPr="00C112CC" w:rsidRDefault="00C112CC" w:rsidP="00C112CC">
      <w:pPr>
        <w:spacing w:after="0" w:line="259" w:lineRule="auto"/>
        <w:rPr>
          <w:rFonts w:ascii="Times New Roman" w:hAnsi="Times New Roman" w:cs="Times New Roman"/>
        </w:rPr>
      </w:pPr>
      <w:r w:rsidRPr="00C112CC">
        <w:rPr>
          <w:rFonts w:ascii="Times New Roman" w:hAnsi="Times New Roman" w:cs="Times New Roman"/>
          <w:vertAlign w:val="superscript"/>
        </w:rPr>
        <w:t>2</w:t>
      </w:r>
      <w:r w:rsidRPr="00C112CC">
        <w:rPr>
          <w:rFonts w:ascii="Times New Roman" w:hAnsi="Times New Roman" w:cs="Times New Roman"/>
        </w:rPr>
        <w:t>Energy and Environment Directorate, Pacific Northwest National Laboratory, Richland, WA, USA.</w:t>
      </w:r>
    </w:p>
    <w:p w14:paraId="1FFA4E78" w14:textId="6A1C1F3C" w:rsidR="00C112CC" w:rsidRPr="00C112CC" w:rsidRDefault="00C112CC" w:rsidP="00C112CC">
      <w:pPr>
        <w:spacing w:after="0" w:line="259" w:lineRule="auto"/>
        <w:rPr>
          <w:rFonts w:ascii="Times New Roman" w:hAnsi="Times New Roman" w:cs="Times New Roman"/>
        </w:rPr>
      </w:pPr>
      <w:r w:rsidRPr="00C112CC">
        <w:rPr>
          <w:rFonts w:ascii="Times New Roman" w:hAnsi="Times New Roman" w:cs="Times New Roman"/>
          <w:vertAlign w:val="superscript"/>
        </w:rPr>
        <w:t>3</w:t>
      </w:r>
      <w:r w:rsidRPr="00C112CC">
        <w:rPr>
          <w:rFonts w:ascii="Times New Roman" w:hAnsi="Times New Roman" w:cs="Times New Roman"/>
        </w:rPr>
        <w:t>Department of Materials Science and Engineering, University of Michigan, Ann Arbor, MI, USA.</w:t>
      </w:r>
    </w:p>
    <w:p w14:paraId="60A11554" w14:textId="04606CF1" w:rsidR="00C112CC" w:rsidRPr="00C112CC" w:rsidRDefault="00C112CC" w:rsidP="00C112CC">
      <w:pPr>
        <w:spacing w:after="0" w:line="360" w:lineRule="auto"/>
        <w:rPr>
          <w:rFonts w:ascii="Times New Roman" w:hAnsi="Times New Roman" w:cs="Times New Roman"/>
          <w:u w:val="single"/>
        </w:rPr>
      </w:pPr>
      <w:r w:rsidRPr="00C112CC">
        <w:rPr>
          <w:rFonts w:ascii="Times New Roman" w:hAnsi="Times New Roman" w:cs="Times New Roman"/>
        </w:rPr>
        <w:t>*Corresponding authors:</w:t>
      </w:r>
      <w:r w:rsidRPr="00C112CC">
        <w:rPr>
          <w:rFonts w:ascii="Times New Roman" w:hAnsi="Times New Roman" w:cs="Times New Roman"/>
          <w:szCs w:val="22"/>
        </w:rPr>
        <w:t xml:space="preserve"> </w:t>
      </w:r>
      <w:hyperlink r:id="rId7" w:history="1">
        <w:r w:rsidR="00EE5236" w:rsidRPr="00A3493D">
          <w:rPr>
            <w:rStyle w:val="Hyperlink"/>
            <w:rFonts w:ascii="Times New Roman" w:hAnsi="Times New Roman" w:cs="Times New Roman"/>
            <w:szCs w:val="22"/>
          </w:rPr>
          <w:t>chongmin.wang@pnnl.gov</w:t>
        </w:r>
      </w:hyperlink>
      <w:r w:rsidR="00EE5236">
        <w:rPr>
          <w:rFonts w:ascii="Times New Roman" w:hAnsi="Times New Roman" w:cs="Times New Roman"/>
          <w:szCs w:val="22"/>
        </w:rPr>
        <w:t xml:space="preserve"> </w:t>
      </w:r>
      <w:hyperlink r:id="rId8" w:history="1">
        <w:r w:rsidR="00EE5236" w:rsidRPr="00A3493D">
          <w:rPr>
            <w:rStyle w:val="Hyperlink"/>
            <w:rFonts w:ascii="Times New Roman" w:hAnsi="Times New Roman" w:cs="Times New Roman"/>
          </w:rPr>
          <w:t>Daniel.Schreiber@pnnl.gov</w:t>
        </w:r>
      </w:hyperlink>
    </w:p>
    <w:p w14:paraId="366F58ED" w14:textId="63F6FB60" w:rsidR="00C0229C" w:rsidRPr="00AA4A8F" w:rsidRDefault="00C0229C" w:rsidP="00BC4A4B">
      <w:pPr>
        <w:rPr>
          <w:rFonts w:ascii="Times New Roman" w:eastAsia="Calibri" w:hAnsi="Times New Roman" w:cs="Times New Roman"/>
        </w:rPr>
      </w:pPr>
    </w:p>
    <w:p w14:paraId="180EC26C" w14:textId="6C137C45" w:rsidR="00AA4A8F" w:rsidRDefault="00416E81" w:rsidP="00AA4A8F">
      <w:pPr>
        <w:spacing w:after="0" w:line="240" w:lineRule="auto"/>
        <w:rPr>
          <w:rFonts w:ascii="Times New Roman" w:hAnsi="Times New Roman" w:cs="Times New Roman"/>
          <w:b/>
          <w:bCs/>
          <w:iCs/>
          <w:color w:val="000000" w:themeColor="text1"/>
        </w:rPr>
      </w:pPr>
      <w:r>
        <w:rPr>
          <w:rFonts w:ascii="Times New Roman" w:hAnsi="Times New Roman" w:cs="Times New Roman"/>
          <w:b/>
          <w:bCs/>
          <w:iCs/>
          <w:color w:val="000000" w:themeColor="text1"/>
        </w:rPr>
        <w:t>Opposite</w:t>
      </w:r>
      <w:r w:rsidR="00866E1A">
        <w:rPr>
          <w:rFonts w:ascii="Times New Roman" w:hAnsi="Times New Roman" w:cs="Times New Roman"/>
          <w:b/>
          <w:bCs/>
          <w:iCs/>
          <w:color w:val="000000" w:themeColor="text1"/>
        </w:rPr>
        <w:t xml:space="preserve"> Grain</w:t>
      </w:r>
      <w:r>
        <w:rPr>
          <w:rFonts w:ascii="Times New Roman" w:hAnsi="Times New Roman" w:cs="Times New Roman"/>
          <w:b/>
          <w:bCs/>
          <w:iCs/>
          <w:color w:val="000000" w:themeColor="text1"/>
        </w:rPr>
        <w:t xml:space="preserve"> DIGM-zone Strain Maps</w:t>
      </w:r>
    </w:p>
    <w:p w14:paraId="7335A71A" w14:textId="6FC62A9C" w:rsidR="00A350F7" w:rsidRDefault="00445DEB" w:rsidP="00FB21AA">
      <w:pPr>
        <w:spacing w:after="0" w:line="240" w:lineRule="auto"/>
        <w:jc w:val="both"/>
        <w:rPr>
          <w:rFonts w:ascii="Times New Roman" w:hAnsi="Times New Roman" w:cs="Times New Roman"/>
          <w:b/>
          <w:bCs/>
          <w:iCs/>
          <w:color w:val="000000" w:themeColor="text1"/>
        </w:rPr>
      </w:pPr>
      <w:r w:rsidRPr="00445DEB">
        <w:rPr>
          <w:rFonts w:ascii="Times New Roman" w:hAnsi="Times New Roman" w:cs="Times New Roman"/>
          <w:iCs/>
          <w:color w:val="000000" w:themeColor="text1"/>
        </w:rPr>
        <w:t>To confirm that DIGM-induced strain is confined exclusively to the compositionally altered DIGM-zone, 4D-STEM strain maps were acquired from the adjacent grain on the opposite side of the grain boundary</w:t>
      </w:r>
      <w:r>
        <w:rPr>
          <w:rFonts w:ascii="Times New Roman" w:hAnsi="Times New Roman" w:cs="Times New Roman"/>
          <w:iCs/>
          <w:color w:val="000000" w:themeColor="text1"/>
        </w:rPr>
        <w:t xml:space="preserve"> (</w:t>
      </w:r>
      <w:r w:rsidRPr="00445DEB">
        <w:rPr>
          <w:rFonts w:ascii="Times New Roman" w:hAnsi="Times New Roman" w:cs="Times New Roman"/>
          <w:iCs/>
          <w:color w:val="000000" w:themeColor="text1"/>
        </w:rPr>
        <w:t>the grain not swept by boundary migration</w:t>
      </w:r>
      <w:r>
        <w:rPr>
          <w:rFonts w:ascii="Times New Roman" w:hAnsi="Times New Roman" w:cs="Times New Roman"/>
          <w:iCs/>
          <w:color w:val="000000" w:themeColor="text1"/>
        </w:rPr>
        <w:t>)</w:t>
      </w:r>
      <w:r w:rsidRPr="00445DEB">
        <w:rPr>
          <w:rFonts w:ascii="Times New Roman" w:hAnsi="Times New Roman" w:cs="Times New Roman"/>
          <w:iCs/>
          <w:color w:val="000000" w:themeColor="text1"/>
        </w:rPr>
        <w:t xml:space="preserve"> for all three samples. In each case, neither ε₁₁ (perpendicular to the grain boundary) nor ε₂₂ (parallel to the grain boundary) reveals measurable strain in the region immediately bordering the boundary. This holds regardless of initial alloy composition or exposure conditions</w:t>
      </w:r>
      <w:r w:rsidR="00F25D50">
        <w:rPr>
          <w:rFonts w:ascii="Times New Roman" w:hAnsi="Times New Roman" w:cs="Times New Roman"/>
          <w:iCs/>
          <w:color w:val="000000" w:themeColor="text1"/>
        </w:rPr>
        <w:t xml:space="preserve">. </w:t>
      </w:r>
      <w:r w:rsidR="00FB21AA" w:rsidRPr="00FB21AA">
        <w:rPr>
          <w:rFonts w:ascii="Times New Roman" w:hAnsi="Times New Roman" w:cs="Times New Roman"/>
          <w:iCs/>
          <w:color w:val="000000" w:themeColor="text1"/>
        </w:rPr>
        <w:t>In parts of the Ni5Cr-Water sample and the Ni30Cr-Air sample, apparent strain is visible immediately bordering the boundary; however, upon closer inspection of the respective diffraction patterns in those areas, these regions contain slight overlap from the neighboring grain. It is important to note that the TEM lamella is aligned to the zone axis of the grain being analyzed and not to be edge-on with the grain boundary, meaning that it is possible for a small section of the opposing grain to have partial overlap, obscuring the diffraction pattern and producing an erroneous strain measurement. This explains why no such artifact appears in the Ni30Cr-Water sample and only manifests in the</w:t>
      </w:r>
      <w:r w:rsidR="00E837F0">
        <w:rPr>
          <w:rFonts w:ascii="Times New Roman" w:hAnsi="Times New Roman" w:cs="Times New Roman"/>
          <w:iCs/>
          <w:color w:val="000000" w:themeColor="text1"/>
        </w:rPr>
        <w:t xml:space="preserve"> </w:t>
      </w:r>
      <w:r w:rsidR="00FB21AA">
        <w:rPr>
          <w:rFonts w:ascii="Times New Roman" w:hAnsi="Times New Roman" w:cs="Times New Roman"/>
          <w:iCs/>
          <w:color w:val="000000" w:themeColor="text1"/>
        </w:rPr>
        <w:t>Ni5Cr-Water</w:t>
      </w:r>
      <w:r w:rsidR="00E837F0">
        <w:rPr>
          <w:rFonts w:ascii="Times New Roman" w:hAnsi="Times New Roman" w:cs="Times New Roman"/>
          <w:iCs/>
          <w:color w:val="000000" w:themeColor="text1"/>
        </w:rPr>
        <w:t xml:space="preserve"> sample</w:t>
      </w:r>
      <w:r w:rsidR="00FB21AA">
        <w:rPr>
          <w:rFonts w:ascii="Times New Roman" w:hAnsi="Times New Roman" w:cs="Times New Roman"/>
          <w:iCs/>
          <w:color w:val="000000" w:themeColor="text1"/>
        </w:rPr>
        <w:t xml:space="preserve"> maps and the</w:t>
      </w:r>
      <w:r w:rsidR="00FB21AA" w:rsidRPr="00FB21AA">
        <w:rPr>
          <w:rFonts w:ascii="Times New Roman" w:hAnsi="Times New Roman" w:cs="Times New Roman"/>
          <w:iCs/>
          <w:color w:val="000000" w:themeColor="text1"/>
        </w:rPr>
        <w:t xml:space="preserve"> Ni30Cr-Air sample on the ε₂₂ map. In both (b) and (i), an example diffraction pattern is presented as an inset outlined in green, taken from the location marked by the green dot at the edge of the grain boundary where apparent strain is observed. The green arrows in those patterns point to reflections associated with the off-zone-axis grain on the other side of the boundary, confirming that these additional reflections obfuscate the main pattern and produce an incorrect strain measurement rather than reflecting true strain in the adjacent grain. A log-scale intensity image of the average diffraction pattern from each scan is shown as an inset in (a), (d), and (g)</w:t>
      </w:r>
    </w:p>
    <w:p w14:paraId="50A264F4" w14:textId="77777777" w:rsidR="00F32F5D" w:rsidRDefault="00F32F5D" w:rsidP="00AA4A8F">
      <w:pPr>
        <w:spacing w:after="0" w:line="240" w:lineRule="auto"/>
        <w:rPr>
          <w:rFonts w:ascii="Times New Roman" w:hAnsi="Times New Roman" w:cs="Times New Roman"/>
          <w:b/>
          <w:bCs/>
          <w:iCs/>
          <w:color w:val="000000" w:themeColor="text1"/>
        </w:rPr>
      </w:pPr>
    </w:p>
    <w:p w14:paraId="21A4A08A" w14:textId="0AA28CE9" w:rsidR="00F32F5D" w:rsidRDefault="00F32F5D" w:rsidP="00AA4A8F">
      <w:pPr>
        <w:spacing w:after="0" w:line="240" w:lineRule="auto"/>
        <w:rPr>
          <w:rFonts w:ascii="Times New Roman" w:hAnsi="Times New Roman" w:cs="Times New Roman"/>
          <w:b/>
          <w:bCs/>
          <w:iCs/>
          <w:color w:val="000000" w:themeColor="text1"/>
        </w:rPr>
      </w:pPr>
    </w:p>
    <w:p w14:paraId="3FEF30A1" w14:textId="1BAF8BE2" w:rsidR="00F32F5D" w:rsidRPr="00AA4A8F" w:rsidRDefault="00E837F0" w:rsidP="00AA4A8F">
      <w:pPr>
        <w:spacing w:after="0" w:line="240" w:lineRule="auto"/>
        <w:rPr>
          <w:rFonts w:ascii="Times New Roman" w:hAnsi="Times New Roman" w:cs="Times New Roman"/>
          <w:color w:val="000000" w:themeColor="text1"/>
          <w:lang w:eastAsia="ja-JP"/>
        </w:rPr>
      </w:pPr>
      <w:r>
        <w:rPr>
          <w:rFonts w:ascii="Times New Roman" w:hAnsi="Times New Roman" w:cs="Times New Roman"/>
          <w:b/>
          <w:bCs/>
          <w:iCs/>
          <w:noProof/>
          <w:color w:val="000000" w:themeColor="text1"/>
        </w:rPr>
        <w:lastRenderedPageBreak/>
        <mc:AlternateContent>
          <mc:Choice Requires="wps">
            <w:drawing>
              <wp:anchor distT="0" distB="0" distL="114300" distR="114300" simplePos="0" relativeHeight="251659264" behindDoc="0" locked="0" layoutInCell="1" allowOverlap="1" wp14:anchorId="38961A05" wp14:editId="785CE6CE">
                <wp:simplePos x="0" y="0"/>
                <wp:positionH relativeFrom="column">
                  <wp:posOffset>9525</wp:posOffset>
                </wp:positionH>
                <wp:positionV relativeFrom="paragraph">
                  <wp:posOffset>5372100</wp:posOffset>
                </wp:positionV>
                <wp:extent cx="5635255" cy="1771650"/>
                <wp:effectExtent l="0" t="0" r="3810" b="0"/>
                <wp:wrapNone/>
                <wp:docPr id="41274490" name="Text Box 2"/>
                <wp:cNvGraphicFramePr/>
                <a:graphic xmlns:a="http://schemas.openxmlformats.org/drawingml/2006/main">
                  <a:graphicData uri="http://schemas.microsoft.com/office/word/2010/wordprocessingShape">
                    <wps:wsp>
                      <wps:cNvSpPr txBox="1"/>
                      <wps:spPr>
                        <a:xfrm>
                          <a:off x="0" y="0"/>
                          <a:ext cx="5635255" cy="1771650"/>
                        </a:xfrm>
                        <a:prstGeom prst="rect">
                          <a:avLst/>
                        </a:prstGeom>
                        <a:solidFill>
                          <a:schemeClr val="lt1"/>
                        </a:solidFill>
                        <a:ln w="6350">
                          <a:noFill/>
                        </a:ln>
                      </wps:spPr>
                      <wps:txbx>
                        <w:txbxContent>
                          <w:p w14:paraId="16F8F34E" w14:textId="1098166B" w:rsidR="00E837F0" w:rsidRPr="007A2F83" w:rsidRDefault="00E837F0" w:rsidP="00934B8D">
                            <w:pPr>
                              <w:jc w:val="both"/>
                              <w:rPr>
                                <w:rFonts w:ascii="Times New Roman" w:hAnsi="Times New Roman" w:cs="Times New Roman"/>
                                <w:sz w:val="20"/>
                                <w:szCs w:val="20"/>
                              </w:rPr>
                            </w:pPr>
                            <w:r w:rsidRPr="007A2F83">
                              <w:rPr>
                                <w:rFonts w:ascii="Times New Roman" w:hAnsi="Times New Roman" w:cs="Times New Roman"/>
                                <w:b/>
                                <w:bCs/>
                                <w:sz w:val="20"/>
                                <w:szCs w:val="20"/>
                              </w:rPr>
                              <w:t>Supplementary Figure S1.</w:t>
                            </w:r>
                            <w:r w:rsidR="00934B8D" w:rsidRPr="007A2F83">
                              <w:rPr>
                                <w:rFonts w:ascii="Times New Roman" w:hAnsi="Times New Roman" w:cs="Times New Roman"/>
                                <w:b/>
                                <w:bCs/>
                                <w:sz w:val="20"/>
                                <w:szCs w:val="20"/>
                              </w:rPr>
                              <w:t xml:space="preserve"> </w:t>
                            </w:r>
                            <w:r w:rsidR="00934B8D" w:rsidRPr="007A2F83">
                              <w:rPr>
                                <w:rFonts w:ascii="Times New Roman" w:hAnsi="Times New Roman" w:cs="Times New Roman"/>
                                <w:sz w:val="20"/>
                                <w:szCs w:val="20"/>
                              </w:rPr>
                              <w:t xml:space="preserve">4D-STEM strain mapping of the grain adjacent to (opposite side of) the grain boundary for all three samples. (a, d, g) </w:t>
                            </w:r>
                            <w:r w:rsidR="007A2F83">
                              <w:rPr>
                                <w:rFonts w:ascii="Times New Roman" w:hAnsi="Times New Roman" w:cs="Times New Roman"/>
                                <w:sz w:val="20"/>
                                <w:szCs w:val="20"/>
                              </w:rPr>
                              <w:t xml:space="preserve">Virtual annular dark filed (VADF) </w:t>
                            </w:r>
                            <w:r w:rsidR="00934B8D" w:rsidRPr="007A2F83">
                              <w:rPr>
                                <w:rFonts w:ascii="Times New Roman" w:hAnsi="Times New Roman" w:cs="Times New Roman"/>
                                <w:sz w:val="20"/>
                                <w:szCs w:val="20"/>
                              </w:rPr>
                              <w:t>images showing the region analyzed on the opposite side of the grain boundary for the Ni5Cr-Water, Ni30Cr-Water, and Ni30Cr-Air samples, respectively; insets show log-scale intensity of the average diffraction pattern from each scan. (b, e, h) Corresponding ε₁₁ strain maps (perpendicular to the grain boundary). (c, f, i) Corresponding ε₂₂ strain maps (parallel to the grain boundary). Insets in (b) and (i) show diffraction patterns (outlined in green) acquired from the locations marked by green dots near the grain boundary edge where apparent strain is observed; green arrows indicate reflections from the off-zone-axis grain across the boundary, confirming that the apparent strain in these localized regions is an artifact of diffraction pattern overlap rather than true strain in the adjacent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1A05" id="_x0000_t202" coordsize="21600,21600" o:spt="202" path="m,l,21600r21600,l21600,xe">
                <v:stroke joinstyle="miter"/>
                <v:path gradientshapeok="t" o:connecttype="rect"/>
              </v:shapetype>
              <v:shape id="Text Box 2" o:spid="_x0000_s1026" type="#_x0000_t202" style="position:absolute;margin-left:.75pt;margin-top:423pt;width:443.7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" fillcolor="white [3201]" stroked="f" strokeweight=".5pt">
                <v:textbox>
                  <w:txbxContent>
                    <w:p w14:paraId="16F8F34E" w14:textId="1098166B" w:rsidR="00E837F0" w:rsidRPr="007A2F83" w:rsidRDefault="00E837F0" w:rsidP="00934B8D">
                      <w:pPr>
                        <w:jc w:val="both"/>
                        <w:rPr>
                          <w:rFonts w:ascii="Times New Roman" w:hAnsi="Times New Roman" w:cs="Times New Roman"/>
                          <w:sz w:val="20"/>
                          <w:szCs w:val="20"/>
                        </w:rPr>
                      </w:pPr>
                      <w:r w:rsidRPr="007A2F83">
                        <w:rPr>
                          <w:rFonts w:ascii="Times New Roman" w:hAnsi="Times New Roman" w:cs="Times New Roman"/>
                          <w:b/>
                          <w:bCs/>
                          <w:sz w:val="20"/>
                          <w:szCs w:val="20"/>
                        </w:rPr>
                        <w:t>Supplementary Figure S1.</w:t>
                      </w:r>
                      <w:r w:rsidR="00934B8D" w:rsidRPr="007A2F83">
                        <w:rPr>
                          <w:rFonts w:ascii="Times New Roman" w:hAnsi="Times New Roman" w:cs="Times New Roman"/>
                          <w:b/>
                          <w:bCs/>
                          <w:sz w:val="20"/>
                          <w:szCs w:val="20"/>
                        </w:rPr>
                        <w:t xml:space="preserve"> </w:t>
                      </w:r>
                      <w:r w:rsidR="00934B8D" w:rsidRPr="007A2F83">
                        <w:rPr>
                          <w:rFonts w:ascii="Times New Roman" w:hAnsi="Times New Roman" w:cs="Times New Roman"/>
                          <w:sz w:val="20"/>
                          <w:szCs w:val="20"/>
                        </w:rPr>
                        <w:t xml:space="preserve">4D-STEM strain mapping of the grain adjacent to (opposite side of) the grain boundary for all three samples. (a, d, g) </w:t>
                      </w:r>
                      <w:r w:rsidR="007A2F83">
                        <w:rPr>
                          <w:rFonts w:ascii="Times New Roman" w:hAnsi="Times New Roman" w:cs="Times New Roman"/>
                          <w:sz w:val="20"/>
                          <w:szCs w:val="20"/>
                        </w:rPr>
                        <w:t xml:space="preserve">Virtual annular dark filed (VADF) </w:t>
                      </w:r>
                      <w:r w:rsidR="00934B8D" w:rsidRPr="007A2F83">
                        <w:rPr>
                          <w:rFonts w:ascii="Times New Roman" w:hAnsi="Times New Roman" w:cs="Times New Roman"/>
                          <w:sz w:val="20"/>
                          <w:szCs w:val="20"/>
                        </w:rPr>
                        <w:t xml:space="preserve">images showing the region analyzed on the opposite side of the grain boundary for the Ni5Cr-Water, Ni30Cr-Water, and Ni30Cr-Air samples, respectively; insets show log-scale intensity of the average diffraction pattern from each scan. (b, e, h) Corresponding ε₁₁ strain maps (perpendicular to the grain boundary). (c, f, </w:t>
                      </w:r>
                      <w:proofErr w:type="spellStart"/>
                      <w:r w:rsidR="00934B8D" w:rsidRPr="007A2F83">
                        <w:rPr>
                          <w:rFonts w:ascii="Times New Roman" w:hAnsi="Times New Roman" w:cs="Times New Roman"/>
                          <w:sz w:val="20"/>
                          <w:szCs w:val="20"/>
                        </w:rPr>
                        <w:t>i</w:t>
                      </w:r>
                      <w:proofErr w:type="spellEnd"/>
                      <w:r w:rsidR="00934B8D" w:rsidRPr="007A2F83">
                        <w:rPr>
                          <w:rFonts w:ascii="Times New Roman" w:hAnsi="Times New Roman" w:cs="Times New Roman"/>
                          <w:sz w:val="20"/>
                          <w:szCs w:val="20"/>
                        </w:rPr>
                        <w:t>) Corresponding ε₂₂ strain maps (parallel to the grain boundary). Insets in (b) and (</w:t>
                      </w:r>
                      <w:proofErr w:type="spellStart"/>
                      <w:r w:rsidR="00934B8D" w:rsidRPr="007A2F83">
                        <w:rPr>
                          <w:rFonts w:ascii="Times New Roman" w:hAnsi="Times New Roman" w:cs="Times New Roman"/>
                          <w:sz w:val="20"/>
                          <w:szCs w:val="20"/>
                        </w:rPr>
                        <w:t>i</w:t>
                      </w:r>
                      <w:proofErr w:type="spellEnd"/>
                      <w:r w:rsidR="00934B8D" w:rsidRPr="007A2F83">
                        <w:rPr>
                          <w:rFonts w:ascii="Times New Roman" w:hAnsi="Times New Roman" w:cs="Times New Roman"/>
                          <w:sz w:val="20"/>
                          <w:szCs w:val="20"/>
                        </w:rPr>
                        <w:t>) show diffraction patterns (outlined in green) acquired from the locations marked by green dots near the grain boundary edge where apparent strain is observed; green arrows indicate reflections from the off-zone-axis grain across the boundary, confirming that the apparent strain in these localized regions is an artifact of diffraction pattern overlap rather than true strain in the adjacent grain.</w:t>
                      </w:r>
                    </w:p>
                  </w:txbxContent>
                </v:textbox>
              </v:shape>
            </w:pict>
          </mc:Fallback>
        </mc:AlternateContent>
      </w:r>
      <w:r w:rsidR="00371CEF">
        <w:rPr>
          <w:rFonts w:ascii="Times New Roman" w:hAnsi="Times New Roman" w:cs="Times New Roman"/>
          <w:b/>
          <w:bCs/>
          <w:iCs/>
          <w:noProof/>
          <w:color w:val="000000" w:themeColor="text1"/>
        </w:rPr>
        <w:drawing>
          <wp:anchor distT="0" distB="0" distL="114300" distR="114300" simplePos="0" relativeHeight="251658240" behindDoc="0" locked="0" layoutInCell="1" allowOverlap="1" wp14:anchorId="15C532BC" wp14:editId="4FB28DE6">
            <wp:simplePos x="0" y="0"/>
            <wp:positionH relativeFrom="margin">
              <wp:align>right</wp:align>
            </wp:positionH>
            <wp:positionV relativeFrom="paragraph">
              <wp:posOffset>0</wp:posOffset>
            </wp:positionV>
            <wp:extent cx="5934075" cy="5419725"/>
            <wp:effectExtent l="0" t="0" r="9525" b="9525"/>
            <wp:wrapTopAndBottom/>
            <wp:docPr id="151288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419725"/>
                    </a:xfrm>
                    <a:prstGeom prst="rect">
                      <a:avLst/>
                    </a:prstGeom>
                    <a:noFill/>
                    <a:ln>
                      <a:noFill/>
                    </a:ln>
                  </pic:spPr>
                </pic:pic>
              </a:graphicData>
            </a:graphic>
          </wp:anchor>
        </w:drawing>
      </w:r>
    </w:p>
    <w:sectPr w:rsidR="00F32F5D" w:rsidRPr="00AA4A8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55B95" w14:textId="77777777" w:rsidR="00E00FDC" w:rsidRDefault="00E00FDC" w:rsidP="00297F41">
      <w:pPr>
        <w:spacing w:after="0" w:line="240" w:lineRule="auto"/>
      </w:pPr>
      <w:r>
        <w:separator/>
      </w:r>
    </w:p>
  </w:endnote>
  <w:endnote w:type="continuationSeparator" w:id="0">
    <w:p w14:paraId="13E838C4" w14:textId="77777777" w:rsidR="00E00FDC" w:rsidRDefault="00E00FDC" w:rsidP="00297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73748493"/>
      <w:docPartObj>
        <w:docPartGallery w:val="Page Numbers (Bottom of Page)"/>
        <w:docPartUnique/>
      </w:docPartObj>
    </w:sdtPr>
    <w:sdtEndPr>
      <w:rPr>
        <w:noProof/>
      </w:rPr>
    </w:sdtEndPr>
    <w:sdtContent>
      <w:p w14:paraId="68626939" w14:textId="323D7914" w:rsidR="00297F41" w:rsidRPr="00297F41" w:rsidRDefault="00297F41">
        <w:pPr>
          <w:pStyle w:val="Footer"/>
          <w:jc w:val="center"/>
          <w:rPr>
            <w:rFonts w:ascii="Times New Roman" w:hAnsi="Times New Roman" w:cs="Times New Roman"/>
          </w:rPr>
        </w:pPr>
        <w:r w:rsidRPr="00297F41">
          <w:rPr>
            <w:rFonts w:ascii="Times New Roman" w:hAnsi="Times New Roman" w:cs="Times New Roman"/>
          </w:rPr>
          <w:t>S</w:t>
        </w:r>
        <w:r w:rsidRPr="00297F41">
          <w:rPr>
            <w:rFonts w:ascii="Times New Roman" w:hAnsi="Times New Roman" w:cs="Times New Roman"/>
          </w:rPr>
          <w:fldChar w:fldCharType="begin"/>
        </w:r>
        <w:r w:rsidRPr="00297F41">
          <w:rPr>
            <w:rFonts w:ascii="Times New Roman" w:hAnsi="Times New Roman" w:cs="Times New Roman"/>
          </w:rPr>
          <w:instrText xml:space="preserve"> PAGE   \* MERGEFORMAT </w:instrText>
        </w:r>
        <w:r w:rsidRPr="00297F41">
          <w:rPr>
            <w:rFonts w:ascii="Times New Roman" w:hAnsi="Times New Roman" w:cs="Times New Roman"/>
          </w:rPr>
          <w:fldChar w:fldCharType="separate"/>
        </w:r>
        <w:r w:rsidRPr="00297F41">
          <w:rPr>
            <w:rFonts w:ascii="Times New Roman" w:hAnsi="Times New Roman" w:cs="Times New Roman"/>
            <w:noProof/>
          </w:rPr>
          <w:t>2</w:t>
        </w:r>
        <w:r w:rsidRPr="00297F41">
          <w:rPr>
            <w:rFonts w:ascii="Times New Roman" w:hAnsi="Times New Roman" w:cs="Times New Roman"/>
            <w:noProof/>
          </w:rPr>
          <w:fldChar w:fldCharType="end"/>
        </w:r>
      </w:p>
    </w:sdtContent>
  </w:sdt>
  <w:p w14:paraId="57775ED7" w14:textId="77777777" w:rsidR="00297F41" w:rsidRDefault="00297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56C7E" w14:textId="77777777" w:rsidR="00E00FDC" w:rsidRDefault="00E00FDC" w:rsidP="00297F41">
      <w:pPr>
        <w:spacing w:after="0" w:line="240" w:lineRule="auto"/>
      </w:pPr>
      <w:r>
        <w:separator/>
      </w:r>
    </w:p>
  </w:footnote>
  <w:footnote w:type="continuationSeparator" w:id="0">
    <w:p w14:paraId="12F54FB8" w14:textId="77777777" w:rsidR="00E00FDC" w:rsidRDefault="00E00FDC" w:rsidP="00297F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aterials Science Eng A&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attpr5vf5xr6e592v5tzt4spvfe2w5eer5&quot;&gt;My EndNote Library&lt;record-ids&gt;&lt;item&gt;103&lt;/item&gt;&lt;item&gt;157&lt;/item&gt;&lt;item&gt;158&lt;/item&gt;&lt;item&gt;159&lt;/item&gt;&lt;/record-ids&gt;&lt;/item&gt;&lt;/Libraries&gt;"/>
  </w:docVars>
  <w:rsids>
    <w:rsidRoot w:val="002F4D66"/>
    <w:rsid w:val="00000F29"/>
    <w:rsid w:val="00007C0D"/>
    <w:rsid w:val="00015A27"/>
    <w:rsid w:val="0003455C"/>
    <w:rsid w:val="00042896"/>
    <w:rsid w:val="000447DE"/>
    <w:rsid w:val="00066471"/>
    <w:rsid w:val="00067F63"/>
    <w:rsid w:val="0007370D"/>
    <w:rsid w:val="000A1170"/>
    <w:rsid w:val="000B26B4"/>
    <w:rsid w:val="000D244B"/>
    <w:rsid w:val="001018E8"/>
    <w:rsid w:val="00134428"/>
    <w:rsid w:val="001407B3"/>
    <w:rsid w:val="00141406"/>
    <w:rsid w:val="00142C49"/>
    <w:rsid w:val="00167D47"/>
    <w:rsid w:val="00194634"/>
    <w:rsid w:val="00194E3A"/>
    <w:rsid w:val="001B5D3E"/>
    <w:rsid w:val="001B78BA"/>
    <w:rsid w:val="001C314D"/>
    <w:rsid w:val="001D2E9F"/>
    <w:rsid w:val="001E0BD0"/>
    <w:rsid w:val="001F244C"/>
    <w:rsid w:val="00221FA7"/>
    <w:rsid w:val="002319DC"/>
    <w:rsid w:val="002338FF"/>
    <w:rsid w:val="0025666A"/>
    <w:rsid w:val="00263181"/>
    <w:rsid w:val="00264F6A"/>
    <w:rsid w:val="00295B6F"/>
    <w:rsid w:val="00297F41"/>
    <w:rsid w:val="002A3B5B"/>
    <w:rsid w:val="002B1671"/>
    <w:rsid w:val="002B6EA6"/>
    <w:rsid w:val="002C4967"/>
    <w:rsid w:val="002C7124"/>
    <w:rsid w:val="002D271A"/>
    <w:rsid w:val="002E5BA4"/>
    <w:rsid w:val="002F3AF8"/>
    <w:rsid w:val="002F4D66"/>
    <w:rsid w:val="00315777"/>
    <w:rsid w:val="00356926"/>
    <w:rsid w:val="00371CEF"/>
    <w:rsid w:val="003722B2"/>
    <w:rsid w:val="00377EB9"/>
    <w:rsid w:val="00385613"/>
    <w:rsid w:val="00392E3A"/>
    <w:rsid w:val="0039339A"/>
    <w:rsid w:val="00395BC0"/>
    <w:rsid w:val="003A2DF9"/>
    <w:rsid w:val="003B6472"/>
    <w:rsid w:val="003C68BE"/>
    <w:rsid w:val="003F6D63"/>
    <w:rsid w:val="0040693B"/>
    <w:rsid w:val="004153FB"/>
    <w:rsid w:val="00416E81"/>
    <w:rsid w:val="00417866"/>
    <w:rsid w:val="00424107"/>
    <w:rsid w:val="004325E8"/>
    <w:rsid w:val="00437215"/>
    <w:rsid w:val="00437416"/>
    <w:rsid w:val="00445D89"/>
    <w:rsid w:val="00445DEB"/>
    <w:rsid w:val="004502D1"/>
    <w:rsid w:val="0045089B"/>
    <w:rsid w:val="00451D1C"/>
    <w:rsid w:val="00474EDE"/>
    <w:rsid w:val="00476D5C"/>
    <w:rsid w:val="00486CEE"/>
    <w:rsid w:val="00490065"/>
    <w:rsid w:val="00493DED"/>
    <w:rsid w:val="00495DD1"/>
    <w:rsid w:val="004A7D6E"/>
    <w:rsid w:val="004D73AB"/>
    <w:rsid w:val="004E3921"/>
    <w:rsid w:val="004E58DB"/>
    <w:rsid w:val="004F7A3E"/>
    <w:rsid w:val="0050105C"/>
    <w:rsid w:val="005042EA"/>
    <w:rsid w:val="00515E63"/>
    <w:rsid w:val="00520532"/>
    <w:rsid w:val="0052062A"/>
    <w:rsid w:val="005358C8"/>
    <w:rsid w:val="005461AB"/>
    <w:rsid w:val="0055495D"/>
    <w:rsid w:val="00556455"/>
    <w:rsid w:val="00564C42"/>
    <w:rsid w:val="0059536E"/>
    <w:rsid w:val="00596655"/>
    <w:rsid w:val="005A481D"/>
    <w:rsid w:val="005B1490"/>
    <w:rsid w:val="005B2FB7"/>
    <w:rsid w:val="005B798F"/>
    <w:rsid w:val="005F5C7E"/>
    <w:rsid w:val="00604DE3"/>
    <w:rsid w:val="00613FDD"/>
    <w:rsid w:val="006175DF"/>
    <w:rsid w:val="0062739F"/>
    <w:rsid w:val="006447FE"/>
    <w:rsid w:val="00677911"/>
    <w:rsid w:val="00685BE6"/>
    <w:rsid w:val="00697E7F"/>
    <w:rsid w:val="006A523C"/>
    <w:rsid w:val="006B02B4"/>
    <w:rsid w:val="006C221B"/>
    <w:rsid w:val="006C3E2B"/>
    <w:rsid w:val="006C795C"/>
    <w:rsid w:val="006E4C01"/>
    <w:rsid w:val="006F00D9"/>
    <w:rsid w:val="006F70B1"/>
    <w:rsid w:val="007154A8"/>
    <w:rsid w:val="00731FF2"/>
    <w:rsid w:val="00766B0C"/>
    <w:rsid w:val="00777A53"/>
    <w:rsid w:val="007815EC"/>
    <w:rsid w:val="00790FA2"/>
    <w:rsid w:val="00791A9B"/>
    <w:rsid w:val="007A02B1"/>
    <w:rsid w:val="007A2F83"/>
    <w:rsid w:val="007C4AA9"/>
    <w:rsid w:val="007C5F86"/>
    <w:rsid w:val="008349B9"/>
    <w:rsid w:val="00843C83"/>
    <w:rsid w:val="00845AA1"/>
    <w:rsid w:val="00847583"/>
    <w:rsid w:val="008531E2"/>
    <w:rsid w:val="00855E4B"/>
    <w:rsid w:val="00855FBC"/>
    <w:rsid w:val="00856232"/>
    <w:rsid w:val="00861A93"/>
    <w:rsid w:val="00866E1A"/>
    <w:rsid w:val="008736FB"/>
    <w:rsid w:val="008820D9"/>
    <w:rsid w:val="00882D82"/>
    <w:rsid w:val="008929FC"/>
    <w:rsid w:val="008A1B6F"/>
    <w:rsid w:val="008A3DE5"/>
    <w:rsid w:val="008B467E"/>
    <w:rsid w:val="008B52F6"/>
    <w:rsid w:val="008B7933"/>
    <w:rsid w:val="008C2E4F"/>
    <w:rsid w:val="008C5A00"/>
    <w:rsid w:val="008C609B"/>
    <w:rsid w:val="008D5286"/>
    <w:rsid w:val="008E452A"/>
    <w:rsid w:val="009213E2"/>
    <w:rsid w:val="00934B8D"/>
    <w:rsid w:val="00943F0D"/>
    <w:rsid w:val="00953415"/>
    <w:rsid w:val="00954608"/>
    <w:rsid w:val="00964587"/>
    <w:rsid w:val="00983225"/>
    <w:rsid w:val="00987FC7"/>
    <w:rsid w:val="009B0FBC"/>
    <w:rsid w:val="009B3AA2"/>
    <w:rsid w:val="009B6FF7"/>
    <w:rsid w:val="009C3909"/>
    <w:rsid w:val="009C47AF"/>
    <w:rsid w:val="009D2154"/>
    <w:rsid w:val="009E0C70"/>
    <w:rsid w:val="009E36BC"/>
    <w:rsid w:val="009F1446"/>
    <w:rsid w:val="00A12533"/>
    <w:rsid w:val="00A31375"/>
    <w:rsid w:val="00A350F7"/>
    <w:rsid w:val="00A358DA"/>
    <w:rsid w:val="00A843F8"/>
    <w:rsid w:val="00A85F80"/>
    <w:rsid w:val="00A942E3"/>
    <w:rsid w:val="00A97E3D"/>
    <w:rsid w:val="00AA4A8F"/>
    <w:rsid w:val="00AB56D6"/>
    <w:rsid w:val="00AC6DA4"/>
    <w:rsid w:val="00AF4563"/>
    <w:rsid w:val="00B02E17"/>
    <w:rsid w:val="00B26BDB"/>
    <w:rsid w:val="00B365B1"/>
    <w:rsid w:val="00B4545A"/>
    <w:rsid w:val="00B47D3D"/>
    <w:rsid w:val="00B566B1"/>
    <w:rsid w:val="00B768DD"/>
    <w:rsid w:val="00B9369F"/>
    <w:rsid w:val="00BA07DC"/>
    <w:rsid w:val="00BB1B31"/>
    <w:rsid w:val="00BC4A4B"/>
    <w:rsid w:val="00BE4429"/>
    <w:rsid w:val="00C0229C"/>
    <w:rsid w:val="00C053D4"/>
    <w:rsid w:val="00C0675B"/>
    <w:rsid w:val="00C112CC"/>
    <w:rsid w:val="00C372A0"/>
    <w:rsid w:val="00C37B64"/>
    <w:rsid w:val="00C440D5"/>
    <w:rsid w:val="00C536EA"/>
    <w:rsid w:val="00C55B76"/>
    <w:rsid w:val="00C56C30"/>
    <w:rsid w:val="00C67BF6"/>
    <w:rsid w:val="00C73AC6"/>
    <w:rsid w:val="00C8196A"/>
    <w:rsid w:val="00C81D58"/>
    <w:rsid w:val="00C87C6F"/>
    <w:rsid w:val="00CA0698"/>
    <w:rsid w:val="00CA7832"/>
    <w:rsid w:val="00CC6E57"/>
    <w:rsid w:val="00CD7024"/>
    <w:rsid w:val="00CD7657"/>
    <w:rsid w:val="00CD7C87"/>
    <w:rsid w:val="00CE66D1"/>
    <w:rsid w:val="00D01692"/>
    <w:rsid w:val="00D2107A"/>
    <w:rsid w:val="00D421B9"/>
    <w:rsid w:val="00D52C7B"/>
    <w:rsid w:val="00D70163"/>
    <w:rsid w:val="00D84588"/>
    <w:rsid w:val="00D964CE"/>
    <w:rsid w:val="00DA7062"/>
    <w:rsid w:val="00DB0DF0"/>
    <w:rsid w:val="00DB7432"/>
    <w:rsid w:val="00DC0517"/>
    <w:rsid w:val="00DC1535"/>
    <w:rsid w:val="00E00FDC"/>
    <w:rsid w:val="00E01FE3"/>
    <w:rsid w:val="00E12D89"/>
    <w:rsid w:val="00E138C5"/>
    <w:rsid w:val="00E209CD"/>
    <w:rsid w:val="00E20F7F"/>
    <w:rsid w:val="00E33522"/>
    <w:rsid w:val="00E427B0"/>
    <w:rsid w:val="00E57AF8"/>
    <w:rsid w:val="00E66B5C"/>
    <w:rsid w:val="00E73D6F"/>
    <w:rsid w:val="00E75563"/>
    <w:rsid w:val="00E837F0"/>
    <w:rsid w:val="00E95953"/>
    <w:rsid w:val="00EA3A66"/>
    <w:rsid w:val="00EA58A8"/>
    <w:rsid w:val="00EB4386"/>
    <w:rsid w:val="00ED1039"/>
    <w:rsid w:val="00ED526D"/>
    <w:rsid w:val="00EE5236"/>
    <w:rsid w:val="00EE5815"/>
    <w:rsid w:val="00F25D50"/>
    <w:rsid w:val="00F32F5D"/>
    <w:rsid w:val="00F33D92"/>
    <w:rsid w:val="00F90461"/>
    <w:rsid w:val="00FA4518"/>
    <w:rsid w:val="00FB21AA"/>
    <w:rsid w:val="00FE1702"/>
    <w:rsid w:val="00FF1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912B6"/>
  <w15:chartTrackingRefBased/>
  <w15:docId w15:val="{538C1E89-C812-48EC-B0F0-A5EF7DB12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4D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D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D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D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D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D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D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D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D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D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4D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D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D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D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D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D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D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D66"/>
    <w:rPr>
      <w:rFonts w:eastAsiaTheme="majorEastAsia" w:cstheme="majorBidi"/>
      <w:color w:val="272727" w:themeColor="text1" w:themeTint="D8"/>
    </w:rPr>
  </w:style>
  <w:style w:type="paragraph" w:styleId="Title">
    <w:name w:val="Title"/>
    <w:basedOn w:val="Normal"/>
    <w:next w:val="Normal"/>
    <w:link w:val="TitleChar"/>
    <w:uiPriority w:val="10"/>
    <w:qFormat/>
    <w:rsid w:val="002F4D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D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D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D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D66"/>
    <w:pPr>
      <w:spacing w:before="160"/>
      <w:jc w:val="center"/>
    </w:pPr>
    <w:rPr>
      <w:i/>
      <w:iCs/>
      <w:color w:val="404040" w:themeColor="text1" w:themeTint="BF"/>
    </w:rPr>
  </w:style>
  <w:style w:type="character" w:customStyle="1" w:styleId="QuoteChar">
    <w:name w:val="Quote Char"/>
    <w:basedOn w:val="DefaultParagraphFont"/>
    <w:link w:val="Quote"/>
    <w:uiPriority w:val="29"/>
    <w:rsid w:val="002F4D66"/>
    <w:rPr>
      <w:i/>
      <w:iCs/>
      <w:color w:val="404040" w:themeColor="text1" w:themeTint="BF"/>
    </w:rPr>
  </w:style>
  <w:style w:type="paragraph" w:styleId="ListParagraph">
    <w:name w:val="List Paragraph"/>
    <w:basedOn w:val="Normal"/>
    <w:uiPriority w:val="34"/>
    <w:qFormat/>
    <w:rsid w:val="002F4D66"/>
    <w:pPr>
      <w:ind w:left="720"/>
      <w:contextualSpacing/>
    </w:pPr>
  </w:style>
  <w:style w:type="character" w:styleId="IntenseEmphasis">
    <w:name w:val="Intense Emphasis"/>
    <w:basedOn w:val="DefaultParagraphFont"/>
    <w:uiPriority w:val="21"/>
    <w:qFormat/>
    <w:rsid w:val="002F4D66"/>
    <w:rPr>
      <w:i/>
      <w:iCs/>
      <w:color w:val="0F4761" w:themeColor="accent1" w:themeShade="BF"/>
    </w:rPr>
  </w:style>
  <w:style w:type="paragraph" w:styleId="IntenseQuote">
    <w:name w:val="Intense Quote"/>
    <w:basedOn w:val="Normal"/>
    <w:next w:val="Normal"/>
    <w:link w:val="IntenseQuoteChar"/>
    <w:uiPriority w:val="30"/>
    <w:qFormat/>
    <w:rsid w:val="002F4D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D66"/>
    <w:rPr>
      <w:i/>
      <w:iCs/>
      <w:color w:val="0F4761" w:themeColor="accent1" w:themeShade="BF"/>
    </w:rPr>
  </w:style>
  <w:style w:type="character" w:styleId="IntenseReference">
    <w:name w:val="Intense Reference"/>
    <w:basedOn w:val="DefaultParagraphFont"/>
    <w:uiPriority w:val="32"/>
    <w:qFormat/>
    <w:rsid w:val="002F4D66"/>
    <w:rPr>
      <w:b/>
      <w:bCs/>
      <w:smallCaps/>
      <w:color w:val="0F4761" w:themeColor="accent1" w:themeShade="BF"/>
      <w:spacing w:val="5"/>
    </w:rPr>
  </w:style>
  <w:style w:type="character" w:styleId="CommentReference">
    <w:name w:val="annotation reference"/>
    <w:basedOn w:val="DefaultParagraphFont"/>
    <w:uiPriority w:val="99"/>
    <w:semiHidden/>
    <w:unhideWhenUsed/>
    <w:rsid w:val="002A3B5B"/>
    <w:rPr>
      <w:sz w:val="16"/>
      <w:szCs w:val="16"/>
    </w:rPr>
  </w:style>
  <w:style w:type="paragraph" w:styleId="CommentText">
    <w:name w:val="annotation text"/>
    <w:basedOn w:val="Normal"/>
    <w:link w:val="CommentTextChar"/>
    <w:uiPriority w:val="99"/>
    <w:unhideWhenUsed/>
    <w:rsid w:val="002A3B5B"/>
    <w:pPr>
      <w:spacing w:line="240" w:lineRule="auto"/>
    </w:pPr>
    <w:rPr>
      <w:sz w:val="20"/>
      <w:szCs w:val="20"/>
    </w:rPr>
  </w:style>
  <w:style w:type="character" w:customStyle="1" w:styleId="CommentTextChar">
    <w:name w:val="Comment Text Char"/>
    <w:basedOn w:val="DefaultParagraphFont"/>
    <w:link w:val="CommentText"/>
    <w:uiPriority w:val="99"/>
    <w:rsid w:val="002A3B5B"/>
    <w:rPr>
      <w:sz w:val="20"/>
      <w:szCs w:val="20"/>
    </w:rPr>
  </w:style>
  <w:style w:type="table" w:styleId="TableGrid">
    <w:name w:val="Table Grid"/>
    <w:basedOn w:val="TableNormal"/>
    <w:uiPriority w:val="39"/>
    <w:rsid w:val="0004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2739F"/>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62739F"/>
    <w:rPr>
      <w:rFonts w:ascii="Aptos" w:hAnsi="Aptos"/>
      <w:noProof/>
    </w:rPr>
  </w:style>
  <w:style w:type="paragraph" w:customStyle="1" w:styleId="EndNoteBibliography">
    <w:name w:val="EndNote Bibliography"/>
    <w:basedOn w:val="Normal"/>
    <w:link w:val="EndNoteBibliographyChar"/>
    <w:rsid w:val="0062739F"/>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62739F"/>
    <w:rPr>
      <w:rFonts w:ascii="Aptos" w:hAnsi="Aptos"/>
      <w:noProof/>
    </w:rPr>
  </w:style>
  <w:style w:type="character" w:styleId="Hyperlink">
    <w:name w:val="Hyperlink"/>
    <w:basedOn w:val="DefaultParagraphFont"/>
    <w:uiPriority w:val="99"/>
    <w:unhideWhenUsed/>
    <w:rsid w:val="00847583"/>
    <w:rPr>
      <w:color w:val="467886" w:themeColor="hyperlink"/>
      <w:u w:val="single"/>
    </w:rPr>
  </w:style>
  <w:style w:type="character" w:styleId="UnresolvedMention">
    <w:name w:val="Unresolved Mention"/>
    <w:basedOn w:val="DefaultParagraphFont"/>
    <w:uiPriority w:val="99"/>
    <w:semiHidden/>
    <w:unhideWhenUsed/>
    <w:rsid w:val="00847583"/>
    <w:rPr>
      <w:color w:val="605E5C"/>
      <w:shd w:val="clear" w:color="auto" w:fill="E1DFDD"/>
    </w:rPr>
  </w:style>
  <w:style w:type="paragraph" w:styleId="Bibliography">
    <w:name w:val="Bibliography"/>
    <w:basedOn w:val="Normal"/>
    <w:next w:val="Normal"/>
    <w:uiPriority w:val="37"/>
    <w:unhideWhenUsed/>
    <w:rsid w:val="00295B6F"/>
    <w:pPr>
      <w:tabs>
        <w:tab w:val="left" w:pos="384"/>
      </w:tabs>
      <w:spacing w:after="0" w:line="240" w:lineRule="auto"/>
      <w:ind w:left="384" w:hanging="384"/>
    </w:pPr>
  </w:style>
  <w:style w:type="paragraph" w:styleId="Header">
    <w:name w:val="header"/>
    <w:basedOn w:val="Normal"/>
    <w:link w:val="HeaderChar"/>
    <w:uiPriority w:val="99"/>
    <w:unhideWhenUsed/>
    <w:rsid w:val="00297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F41"/>
  </w:style>
  <w:style w:type="paragraph" w:styleId="Footer">
    <w:name w:val="footer"/>
    <w:basedOn w:val="Normal"/>
    <w:link w:val="FooterChar"/>
    <w:uiPriority w:val="99"/>
    <w:unhideWhenUsed/>
    <w:rsid w:val="00297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Schreiber@pnnl.gov" TargetMode="External"/><Relationship Id="rId3" Type="http://schemas.openxmlformats.org/officeDocument/2006/relationships/settings" Target="settings.xml"/><Relationship Id="rId7" Type="http://schemas.openxmlformats.org/officeDocument/2006/relationships/hyperlink" Target="mailto:chongmin.wang@pnnl.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6853D-E0FF-43B8-B1A0-17BEF2BC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391</Words>
  <Characters>2285</Characters>
  <Application>Microsoft Office Word</Application>
  <DocSecurity>0</DocSecurity>
  <Lines>37</Lines>
  <Paragraphs>10</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Malakar, Aniruddha</dc:creator>
  <cp:keywords/>
  <dc:description/>
  <cp:lastModifiedBy>Hershkovitz, Eitan</cp:lastModifiedBy>
  <cp:revision>25</cp:revision>
  <dcterms:created xsi:type="dcterms:W3CDTF">2026-05-20T23:19:00Z</dcterms:created>
  <dcterms:modified xsi:type="dcterms:W3CDTF">2026-06-16T23:09:00Z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id="xODDLwM5"/&gt;&lt;style id="http://www.zotero.org/styles/acs-applied-energy-materials" hasBibliography="1" bibliographyStyleHasBeenSet="1"/&gt;&lt;prefs&gt;&lt;pref name="fieldType" value="Field"/&gt;&lt;/prefs&gt;&lt;/data&gt;</vt:lpwstr>
  </property>
</Properties>
</file>