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E57C9" w14:textId="07383985" w:rsidR="00754653" w:rsidRPr="00F87D91" w:rsidRDefault="00754653" w:rsidP="00AB2C91">
      <w:pPr>
        <w:spacing w:line="480" w:lineRule="auto"/>
        <w:jc w:val="both"/>
        <w:rPr>
          <w:rFonts w:ascii="Times New Roman" w:hAnsi="Times New Roman" w:cs="Times New Roman"/>
          <w:b/>
          <w:bCs/>
          <w:color w:val="000000" w:themeColor="text1"/>
          <w:sz w:val="24"/>
          <w:szCs w:val="24"/>
          <w:lang w:val="en-US"/>
        </w:rPr>
      </w:pPr>
      <w:r w:rsidRPr="00F87D91">
        <w:rPr>
          <w:rFonts w:ascii="Times New Roman" w:hAnsi="Times New Roman" w:cs="Times New Roman"/>
          <w:b/>
          <w:bCs/>
          <w:color w:val="000000" w:themeColor="text1"/>
          <w:sz w:val="24"/>
          <w:szCs w:val="24"/>
          <w:lang w:val="en-US"/>
        </w:rPr>
        <w:t>Supplement</w:t>
      </w:r>
      <w:r w:rsidR="004C7EDC" w:rsidRPr="00F87D91">
        <w:rPr>
          <w:rFonts w:ascii="Times New Roman" w:hAnsi="Times New Roman" w:cs="Times New Roman"/>
          <w:b/>
          <w:bCs/>
          <w:color w:val="000000" w:themeColor="text1"/>
          <w:sz w:val="24"/>
          <w:szCs w:val="24"/>
          <w:lang w:val="en-US"/>
        </w:rPr>
        <w:t>ary information</w:t>
      </w:r>
    </w:p>
    <w:tbl>
      <w:tblPr>
        <w:tblStyle w:val="Tabellenraster"/>
        <w:tblW w:w="0" w:type="auto"/>
        <w:tblLook w:val="04A0" w:firstRow="1" w:lastRow="0" w:firstColumn="1" w:lastColumn="0" w:noHBand="0" w:noVBand="1"/>
      </w:tblPr>
      <w:tblGrid>
        <w:gridCol w:w="4531"/>
        <w:gridCol w:w="4531"/>
      </w:tblGrid>
      <w:tr w:rsidR="003353B7" w:rsidRPr="00F87D91" w14:paraId="69CC53C7" w14:textId="77777777" w:rsidTr="00A6236C">
        <w:tc>
          <w:tcPr>
            <w:tcW w:w="4531" w:type="dxa"/>
            <w:vAlign w:val="center"/>
          </w:tcPr>
          <w:p w14:paraId="1E8AA612" w14:textId="77777777" w:rsidR="00AC52ED" w:rsidRPr="00F87D91" w:rsidRDefault="00453B35" w:rsidP="00AB2C91">
            <w:pPr>
              <w:spacing w:line="480" w:lineRule="auto"/>
              <w:jc w:val="both"/>
              <w:rPr>
                <w:rFonts w:ascii="Times New Roman" w:hAnsi="Times New Roman" w:cs="Times New Roman"/>
                <w:b/>
                <w:bCs/>
                <w:color w:val="000000" w:themeColor="text1"/>
                <w:sz w:val="24"/>
                <w:szCs w:val="24"/>
                <w:lang w:val="en-US"/>
              </w:rPr>
            </w:pPr>
            <w:r w:rsidRPr="00F87D91">
              <w:rPr>
                <w:rFonts w:ascii="Times New Roman" w:hAnsi="Times New Roman" w:cs="Times New Roman"/>
                <w:b/>
                <w:bCs/>
                <w:color w:val="000000" w:themeColor="text1"/>
                <w:sz w:val="24"/>
                <w:szCs w:val="24"/>
                <w:lang w:val="en-US"/>
              </w:rPr>
              <w:t>Content</w:t>
            </w:r>
          </w:p>
        </w:tc>
        <w:tc>
          <w:tcPr>
            <w:tcW w:w="4531" w:type="dxa"/>
            <w:vAlign w:val="center"/>
          </w:tcPr>
          <w:p w14:paraId="4811B151" w14:textId="77777777" w:rsidR="00AC52ED" w:rsidRPr="00F87D91" w:rsidRDefault="00453B35" w:rsidP="00AB2C91">
            <w:pPr>
              <w:spacing w:line="480" w:lineRule="auto"/>
              <w:jc w:val="both"/>
              <w:rPr>
                <w:rFonts w:ascii="Times New Roman" w:hAnsi="Times New Roman" w:cs="Times New Roman"/>
                <w:b/>
                <w:bCs/>
                <w:color w:val="000000" w:themeColor="text1"/>
                <w:sz w:val="24"/>
                <w:szCs w:val="24"/>
                <w:lang w:val="en-US"/>
              </w:rPr>
            </w:pPr>
            <w:r w:rsidRPr="00F87D91">
              <w:rPr>
                <w:rFonts w:ascii="Times New Roman" w:hAnsi="Times New Roman" w:cs="Times New Roman"/>
                <w:b/>
                <w:bCs/>
                <w:color w:val="000000" w:themeColor="text1"/>
                <w:sz w:val="24"/>
                <w:szCs w:val="24"/>
                <w:lang w:val="en-US"/>
              </w:rPr>
              <w:t>Page</w:t>
            </w:r>
          </w:p>
        </w:tc>
      </w:tr>
      <w:tr w:rsidR="003353B7" w:rsidRPr="00F87D91" w14:paraId="0A1798AF" w14:textId="77777777" w:rsidTr="00A6236C">
        <w:tc>
          <w:tcPr>
            <w:tcW w:w="4531" w:type="dxa"/>
            <w:vAlign w:val="center"/>
          </w:tcPr>
          <w:p w14:paraId="5EB6F3F3" w14:textId="4E10EFC4" w:rsidR="00AC52ED" w:rsidRPr="00F87D91" w:rsidRDefault="00DF6964" w:rsidP="00AB2C91">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t>Medical history of index patient</w:t>
            </w:r>
          </w:p>
        </w:tc>
        <w:tc>
          <w:tcPr>
            <w:tcW w:w="4531" w:type="dxa"/>
            <w:vAlign w:val="center"/>
          </w:tcPr>
          <w:p w14:paraId="2BB99861" w14:textId="5A5E869D" w:rsidR="00AC52ED" w:rsidRPr="00F87D91" w:rsidRDefault="00027D42" w:rsidP="00AB2C91">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t>1</w:t>
            </w:r>
          </w:p>
        </w:tc>
      </w:tr>
      <w:tr w:rsidR="003353B7" w:rsidRPr="00F87D91" w14:paraId="51BCDC80" w14:textId="77777777" w:rsidTr="00A6236C">
        <w:tc>
          <w:tcPr>
            <w:tcW w:w="4531" w:type="dxa"/>
            <w:vAlign w:val="center"/>
          </w:tcPr>
          <w:p w14:paraId="46492413" w14:textId="152AA432" w:rsidR="00142065" w:rsidRPr="00F87D91" w:rsidRDefault="00837A0E" w:rsidP="00AB2C91">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t>Supplementa</w:t>
            </w:r>
            <w:r w:rsidR="0090725A" w:rsidRPr="00F87D91">
              <w:rPr>
                <w:rFonts w:ascii="Times New Roman" w:hAnsi="Times New Roman" w:cs="Times New Roman"/>
                <w:color w:val="000000" w:themeColor="text1"/>
                <w:sz w:val="24"/>
                <w:szCs w:val="24"/>
                <w:lang w:val="en-US"/>
              </w:rPr>
              <w:t>l</w:t>
            </w:r>
            <w:r w:rsidRPr="00F87D91">
              <w:rPr>
                <w:rFonts w:ascii="Times New Roman" w:hAnsi="Times New Roman" w:cs="Times New Roman"/>
                <w:color w:val="000000" w:themeColor="text1"/>
                <w:sz w:val="24"/>
                <w:szCs w:val="24"/>
                <w:lang w:val="en-US"/>
              </w:rPr>
              <w:t xml:space="preserve"> table</w:t>
            </w:r>
            <w:r w:rsidR="0070378C">
              <w:rPr>
                <w:rFonts w:ascii="Times New Roman" w:hAnsi="Times New Roman" w:cs="Times New Roman"/>
                <w:color w:val="000000" w:themeColor="text1"/>
                <w:sz w:val="24"/>
                <w:szCs w:val="24"/>
                <w:lang w:val="en-US"/>
              </w:rPr>
              <w:t>s</w:t>
            </w:r>
          </w:p>
        </w:tc>
        <w:tc>
          <w:tcPr>
            <w:tcW w:w="4531" w:type="dxa"/>
            <w:vAlign w:val="center"/>
          </w:tcPr>
          <w:p w14:paraId="7EF9D712" w14:textId="7BCF172D" w:rsidR="00142065" w:rsidRPr="00F87D91" w:rsidRDefault="00D72A02" w:rsidP="00AB2C91">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t>2</w:t>
            </w:r>
          </w:p>
        </w:tc>
      </w:tr>
      <w:tr w:rsidR="008A4F2F" w:rsidRPr="00F87D91" w14:paraId="60A3EC67" w14:textId="77777777" w:rsidTr="00A6236C">
        <w:trPr>
          <w:trHeight w:val="571"/>
        </w:trPr>
        <w:tc>
          <w:tcPr>
            <w:tcW w:w="4531" w:type="dxa"/>
            <w:vAlign w:val="center"/>
          </w:tcPr>
          <w:p w14:paraId="6357CC9C" w14:textId="4121F4F4" w:rsidR="008A4F2F" w:rsidRPr="00F87D91" w:rsidRDefault="008A4F2F" w:rsidP="00AB2C91">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t>Supplemental references</w:t>
            </w:r>
          </w:p>
        </w:tc>
        <w:tc>
          <w:tcPr>
            <w:tcW w:w="4531" w:type="dxa"/>
            <w:vAlign w:val="center"/>
          </w:tcPr>
          <w:p w14:paraId="3A516BDE" w14:textId="56409990" w:rsidR="008A4F2F" w:rsidRPr="00F87D91" w:rsidRDefault="00D72A02" w:rsidP="00AB2C91">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t>4</w:t>
            </w:r>
          </w:p>
        </w:tc>
      </w:tr>
      <w:tr w:rsidR="00321131" w:rsidRPr="00F87D91" w14:paraId="0015FDBE" w14:textId="77777777" w:rsidTr="00A6236C">
        <w:trPr>
          <w:trHeight w:val="571"/>
        </w:trPr>
        <w:tc>
          <w:tcPr>
            <w:tcW w:w="4531" w:type="dxa"/>
            <w:vAlign w:val="center"/>
          </w:tcPr>
          <w:p w14:paraId="5DA4F988" w14:textId="238FAF37" w:rsidR="00321131" w:rsidRPr="00F87D91" w:rsidRDefault="00321131" w:rsidP="00AB2C91">
            <w:pPr>
              <w:spacing w:line="48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Supplemental Figure</w:t>
            </w:r>
          </w:p>
        </w:tc>
        <w:tc>
          <w:tcPr>
            <w:tcW w:w="4531" w:type="dxa"/>
            <w:vAlign w:val="center"/>
          </w:tcPr>
          <w:p w14:paraId="1D05BC50" w14:textId="25A75C17" w:rsidR="00321131" w:rsidRPr="00F87D91" w:rsidRDefault="00321131" w:rsidP="00AB2C91">
            <w:pPr>
              <w:spacing w:line="48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Extra pdf document</w:t>
            </w:r>
          </w:p>
        </w:tc>
      </w:tr>
    </w:tbl>
    <w:p w14:paraId="68CCC4D5" w14:textId="77777777" w:rsidR="00AC52ED" w:rsidRPr="00F87D91" w:rsidRDefault="00AC52ED" w:rsidP="00AB2C91">
      <w:pPr>
        <w:spacing w:line="480" w:lineRule="auto"/>
        <w:jc w:val="both"/>
        <w:rPr>
          <w:rFonts w:ascii="Times New Roman" w:hAnsi="Times New Roman" w:cs="Times New Roman"/>
          <w:b/>
          <w:bCs/>
          <w:color w:val="000000" w:themeColor="text1"/>
          <w:sz w:val="24"/>
          <w:szCs w:val="24"/>
          <w:lang w:val="en-US"/>
        </w:rPr>
      </w:pPr>
    </w:p>
    <w:p w14:paraId="0C177172" w14:textId="2C94C536" w:rsidR="00E52545" w:rsidRPr="00F87D91" w:rsidRDefault="00E52545" w:rsidP="00027D42">
      <w:pPr>
        <w:spacing w:line="480" w:lineRule="auto"/>
        <w:jc w:val="both"/>
        <w:rPr>
          <w:rFonts w:ascii="Times New Roman" w:hAnsi="Times New Roman" w:cs="Times New Roman"/>
          <w:b/>
          <w:bCs/>
          <w:color w:val="000000" w:themeColor="text1"/>
          <w:sz w:val="24"/>
          <w:szCs w:val="24"/>
          <w:u w:val="single"/>
          <w:lang w:val="en-US"/>
        </w:rPr>
      </w:pPr>
      <w:r w:rsidRPr="00F87D91">
        <w:rPr>
          <w:rFonts w:ascii="Times New Roman" w:hAnsi="Times New Roman" w:cs="Times New Roman"/>
          <w:b/>
          <w:bCs/>
          <w:color w:val="000000" w:themeColor="text1"/>
          <w:sz w:val="24"/>
          <w:szCs w:val="24"/>
          <w:lang w:val="en-US"/>
        </w:rPr>
        <w:t>Medical history of index patient</w:t>
      </w:r>
    </w:p>
    <w:p w14:paraId="0584CCFD" w14:textId="1D4EA611" w:rsidR="00C144EA" w:rsidRPr="00F87D91" w:rsidRDefault="00E52545" w:rsidP="00D72A02">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t xml:space="preserve">The boy, the first of two children of non-consanguineous healthy parents from Kongo and Angola (Fig. 1A), presented with moderate delay in speech development, autistic behavior and macrocephaly. He was born after an uneventfully pregnancy at term with birth weight of 3790g (+0.80 z) and occipitofrontal head circumference (OFC) of 35 cm (+0.04 z); birth length was not available. Neonatal period and infancy were unremarkable; all milestones of motor development have been reached in time. However, language development was delayed. The index patient started speaking </w:t>
      </w:r>
      <w:r w:rsidR="002F448D" w:rsidRPr="00F87D91">
        <w:rPr>
          <w:rFonts w:ascii="Times New Roman" w:hAnsi="Times New Roman" w:cs="Times New Roman"/>
          <w:color w:val="000000" w:themeColor="text1"/>
          <w:sz w:val="24"/>
          <w:szCs w:val="24"/>
          <w:lang w:val="en-US"/>
        </w:rPr>
        <w:t>at</w:t>
      </w:r>
      <w:r w:rsidRPr="00F87D91">
        <w:rPr>
          <w:rFonts w:ascii="Times New Roman" w:hAnsi="Times New Roman" w:cs="Times New Roman"/>
          <w:color w:val="000000" w:themeColor="text1"/>
          <w:sz w:val="24"/>
          <w:szCs w:val="24"/>
          <w:lang w:val="en-US"/>
        </w:rPr>
        <w:t xml:space="preserve"> 2 years of age and spoke only one</w:t>
      </w:r>
      <w:r w:rsidR="00A754E1">
        <w:rPr>
          <w:rFonts w:ascii="Times New Roman" w:hAnsi="Times New Roman" w:cs="Times New Roman"/>
          <w:color w:val="000000" w:themeColor="text1"/>
          <w:sz w:val="24"/>
          <w:szCs w:val="24"/>
          <w:lang w:val="en-US"/>
        </w:rPr>
        <w:t>-</w:t>
      </w:r>
      <w:r w:rsidRPr="00F87D91">
        <w:rPr>
          <w:rFonts w:ascii="Times New Roman" w:hAnsi="Times New Roman" w:cs="Times New Roman"/>
          <w:color w:val="000000" w:themeColor="text1"/>
          <w:sz w:val="24"/>
          <w:szCs w:val="24"/>
          <w:lang w:val="en-US"/>
        </w:rPr>
        <w:t xml:space="preserve"> to </w:t>
      </w:r>
      <w:r w:rsidR="00EC42CA" w:rsidRPr="00F87D91">
        <w:rPr>
          <w:rFonts w:ascii="Times New Roman" w:hAnsi="Times New Roman" w:cs="Times New Roman"/>
          <w:color w:val="000000" w:themeColor="text1"/>
          <w:sz w:val="24"/>
          <w:szCs w:val="24"/>
          <w:lang w:val="en-US"/>
        </w:rPr>
        <w:t>two-word</w:t>
      </w:r>
      <w:r w:rsidRPr="00F87D91">
        <w:rPr>
          <w:rFonts w:ascii="Times New Roman" w:hAnsi="Times New Roman" w:cs="Times New Roman"/>
          <w:color w:val="000000" w:themeColor="text1"/>
          <w:sz w:val="24"/>
          <w:szCs w:val="24"/>
          <w:lang w:val="en-US"/>
        </w:rPr>
        <w:t xml:space="preserve"> sentences at the age of 5 years, whereas </w:t>
      </w:r>
      <w:r w:rsidR="00CB62BF" w:rsidRPr="00F87D91">
        <w:rPr>
          <w:rFonts w:ascii="Times New Roman" w:hAnsi="Times New Roman" w:cs="Times New Roman"/>
          <w:color w:val="000000" w:themeColor="text1"/>
          <w:sz w:val="24"/>
          <w:szCs w:val="24"/>
          <w:lang w:val="en-US"/>
        </w:rPr>
        <w:t>his</w:t>
      </w:r>
      <w:r w:rsidRPr="00F87D91">
        <w:rPr>
          <w:rFonts w:ascii="Times New Roman" w:hAnsi="Times New Roman" w:cs="Times New Roman"/>
          <w:color w:val="000000" w:themeColor="text1"/>
          <w:sz w:val="24"/>
          <w:szCs w:val="24"/>
          <w:lang w:val="en-US"/>
        </w:rPr>
        <w:t xml:space="preserve"> receptive language was </w:t>
      </w:r>
      <w:r w:rsidR="00EC42CA" w:rsidRPr="00F87D91">
        <w:rPr>
          <w:rFonts w:ascii="Times New Roman" w:hAnsi="Times New Roman" w:cs="Times New Roman"/>
          <w:color w:val="000000" w:themeColor="text1"/>
          <w:sz w:val="24"/>
          <w:szCs w:val="24"/>
          <w:lang w:val="en-US"/>
        </w:rPr>
        <w:t>substantially</w:t>
      </w:r>
      <w:r w:rsidRPr="00F87D91">
        <w:rPr>
          <w:rFonts w:ascii="Times New Roman" w:hAnsi="Times New Roman" w:cs="Times New Roman"/>
          <w:color w:val="000000" w:themeColor="text1"/>
          <w:sz w:val="24"/>
          <w:szCs w:val="24"/>
          <w:lang w:val="en-US"/>
        </w:rPr>
        <w:t xml:space="preserve"> better. His behavior was described as reclusive and autistic</w:t>
      </w:r>
      <w:r w:rsidR="00C142F4" w:rsidRPr="00F87D91">
        <w:rPr>
          <w:rFonts w:ascii="Times New Roman" w:hAnsi="Times New Roman" w:cs="Times New Roman"/>
          <w:color w:val="000000" w:themeColor="text1"/>
          <w:sz w:val="24"/>
          <w:szCs w:val="24"/>
          <w:lang w:val="en-US"/>
        </w:rPr>
        <w:t>-</w:t>
      </w:r>
      <w:r w:rsidRPr="00F87D91">
        <w:rPr>
          <w:rFonts w:ascii="Times New Roman" w:hAnsi="Times New Roman" w:cs="Times New Roman"/>
          <w:color w:val="000000" w:themeColor="text1"/>
          <w:sz w:val="24"/>
          <w:szCs w:val="24"/>
          <w:lang w:val="en-US"/>
        </w:rPr>
        <w:t>like. At the last examination at 5 years and 10 months of age</w:t>
      </w:r>
      <w:r w:rsidR="00C142F4" w:rsidRPr="00F87D91">
        <w:rPr>
          <w:rFonts w:ascii="Times New Roman" w:hAnsi="Times New Roman" w:cs="Times New Roman"/>
          <w:color w:val="000000" w:themeColor="text1"/>
          <w:sz w:val="24"/>
          <w:szCs w:val="24"/>
          <w:lang w:val="en-US"/>
        </w:rPr>
        <w:t>,</w:t>
      </w:r>
      <w:r w:rsidRPr="00F87D91">
        <w:rPr>
          <w:rFonts w:ascii="Times New Roman" w:hAnsi="Times New Roman" w:cs="Times New Roman"/>
          <w:color w:val="000000" w:themeColor="text1"/>
          <w:sz w:val="24"/>
          <w:szCs w:val="24"/>
          <w:lang w:val="en-US"/>
        </w:rPr>
        <w:t xml:space="preserve"> we saw a friendly tall and mildly obese boy with a length of 127 cm (+1.94 z), a weight of 34</w:t>
      </w:r>
      <w:r w:rsidR="00722A38">
        <w:rPr>
          <w:rFonts w:ascii="Times New Roman" w:hAnsi="Times New Roman" w:cs="Times New Roman"/>
          <w:color w:val="000000" w:themeColor="text1"/>
          <w:sz w:val="24"/>
          <w:szCs w:val="24"/>
          <w:lang w:val="en-US"/>
        </w:rPr>
        <w:t>.</w:t>
      </w:r>
      <w:r w:rsidRPr="00F87D91">
        <w:rPr>
          <w:rFonts w:ascii="Times New Roman" w:hAnsi="Times New Roman" w:cs="Times New Roman"/>
          <w:color w:val="000000" w:themeColor="text1"/>
          <w:sz w:val="24"/>
          <w:szCs w:val="24"/>
          <w:lang w:val="en-US"/>
        </w:rPr>
        <w:t>6 kg (+2.77 z), a BMI of 21.5 (+1.94 z) and a</w:t>
      </w:r>
      <w:r w:rsidR="00722A38">
        <w:rPr>
          <w:rFonts w:ascii="Times New Roman" w:hAnsi="Times New Roman" w:cs="Times New Roman"/>
          <w:color w:val="000000" w:themeColor="text1"/>
          <w:sz w:val="24"/>
          <w:szCs w:val="24"/>
          <w:lang w:val="en-US"/>
        </w:rPr>
        <w:t>n</w:t>
      </w:r>
      <w:r w:rsidRPr="00F87D91">
        <w:rPr>
          <w:rFonts w:ascii="Times New Roman" w:hAnsi="Times New Roman" w:cs="Times New Roman"/>
          <w:color w:val="000000" w:themeColor="text1"/>
          <w:sz w:val="24"/>
          <w:szCs w:val="24"/>
          <w:lang w:val="en-US"/>
        </w:rPr>
        <w:t xml:space="preserve"> OFC of 56 cm (+2.52 z). Blood analysis revealed normal thyroid and liver parameters</w:t>
      </w:r>
      <w:r w:rsidR="00C142F4" w:rsidRPr="00F87D91">
        <w:rPr>
          <w:rFonts w:ascii="Times New Roman" w:hAnsi="Times New Roman" w:cs="Times New Roman"/>
          <w:color w:val="000000" w:themeColor="text1"/>
          <w:sz w:val="24"/>
          <w:szCs w:val="24"/>
          <w:lang w:val="en-US"/>
        </w:rPr>
        <w:t>,</w:t>
      </w:r>
      <w:r w:rsidRPr="00F87D91">
        <w:rPr>
          <w:rFonts w:ascii="Times New Roman" w:hAnsi="Times New Roman" w:cs="Times New Roman"/>
          <w:color w:val="000000" w:themeColor="text1"/>
          <w:sz w:val="24"/>
          <w:szCs w:val="24"/>
          <w:lang w:val="en-US"/>
        </w:rPr>
        <w:t xml:space="preserve"> but slightly increased creatine kinase (207 U/l, n &lt; 148 U/l). Extensive metabolic work up gave </w:t>
      </w:r>
      <w:r w:rsidR="00CB62BF" w:rsidRPr="00F87D91">
        <w:rPr>
          <w:rFonts w:ascii="Times New Roman" w:hAnsi="Times New Roman" w:cs="Times New Roman"/>
          <w:color w:val="000000" w:themeColor="text1"/>
          <w:sz w:val="24"/>
          <w:szCs w:val="24"/>
          <w:lang w:val="en-US"/>
        </w:rPr>
        <w:t>normal</w:t>
      </w:r>
      <w:r w:rsidRPr="00F87D91">
        <w:rPr>
          <w:rFonts w:ascii="Times New Roman" w:hAnsi="Times New Roman" w:cs="Times New Roman"/>
          <w:color w:val="000000" w:themeColor="text1"/>
          <w:sz w:val="24"/>
          <w:szCs w:val="24"/>
          <w:lang w:val="en-US"/>
        </w:rPr>
        <w:t xml:space="preserve"> results. Ultrasound of abdominal organs was normal except </w:t>
      </w:r>
      <w:r w:rsidR="00CB62BF" w:rsidRPr="00F87D91">
        <w:rPr>
          <w:rFonts w:ascii="Times New Roman" w:hAnsi="Times New Roman" w:cs="Times New Roman"/>
          <w:color w:val="000000" w:themeColor="text1"/>
          <w:sz w:val="24"/>
          <w:szCs w:val="24"/>
          <w:lang w:val="en-US"/>
        </w:rPr>
        <w:t xml:space="preserve">for </w:t>
      </w:r>
      <w:r w:rsidRPr="00F87D91">
        <w:rPr>
          <w:rFonts w:ascii="Times New Roman" w:hAnsi="Times New Roman" w:cs="Times New Roman"/>
          <w:color w:val="000000" w:themeColor="text1"/>
          <w:sz w:val="24"/>
          <w:szCs w:val="24"/>
          <w:lang w:val="en-US"/>
        </w:rPr>
        <w:t xml:space="preserve">a hyperechogenic signal of liver tissue </w:t>
      </w:r>
      <w:r w:rsidR="00CB62BF" w:rsidRPr="00F87D91">
        <w:rPr>
          <w:rFonts w:ascii="Times New Roman" w:hAnsi="Times New Roman" w:cs="Times New Roman"/>
          <w:color w:val="000000" w:themeColor="text1"/>
          <w:sz w:val="24"/>
          <w:szCs w:val="24"/>
          <w:lang w:val="en-US"/>
        </w:rPr>
        <w:t>suggestin</w:t>
      </w:r>
      <w:r w:rsidR="00FA2F7D" w:rsidRPr="00F87D91">
        <w:rPr>
          <w:rFonts w:ascii="Times New Roman" w:hAnsi="Times New Roman" w:cs="Times New Roman"/>
          <w:color w:val="000000" w:themeColor="text1"/>
          <w:sz w:val="24"/>
          <w:szCs w:val="24"/>
          <w:lang w:val="en-US"/>
        </w:rPr>
        <w:t xml:space="preserve">g </w:t>
      </w:r>
      <w:r w:rsidR="006743DB" w:rsidRPr="00F87D91">
        <w:rPr>
          <w:rFonts w:ascii="Times New Roman" w:hAnsi="Times New Roman" w:cs="Times New Roman"/>
          <w:color w:val="000000" w:themeColor="text1"/>
          <w:sz w:val="24"/>
          <w:szCs w:val="24"/>
          <w:lang w:val="en-US"/>
        </w:rPr>
        <w:t xml:space="preserve">mild </w:t>
      </w:r>
      <w:r w:rsidR="00CB62BF" w:rsidRPr="00F87D91">
        <w:rPr>
          <w:rFonts w:ascii="Times New Roman" w:hAnsi="Times New Roman" w:cs="Times New Roman"/>
          <w:color w:val="000000" w:themeColor="text1"/>
          <w:sz w:val="24"/>
          <w:szCs w:val="24"/>
          <w:lang w:val="en-US"/>
        </w:rPr>
        <w:t xml:space="preserve">hepatic </w:t>
      </w:r>
      <w:r w:rsidRPr="00F87D91">
        <w:rPr>
          <w:rFonts w:ascii="Times New Roman" w:hAnsi="Times New Roman" w:cs="Times New Roman"/>
          <w:color w:val="000000" w:themeColor="text1"/>
          <w:sz w:val="24"/>
          <w:szCs w:val="24"/>
          <w:lang w:val="en-US"/>
        </w:rPr>
        <w:t xml:space="preserve">steatosis. Brain MRI was inconspicuous. X-ray of the knee revealed genu varum and a hyperostosis of the medial tibia </w:t>
      </w:r>
      <w:proofErr w:type="spellStart"/>
      <w:r w:rsidRPr="00F87D91">
        <w:rPr>
          <w:rFonts w:ascii="Times New Roman" w:hAnsi="Times New Roman" w:cs="Times New Roman"/>
          <w:color w:val="000000" w:themeColor="text1"/>
          <w:sz w:val="24"/>
          <w:szCs w:val="24"/>
          <w:lang w:val="en-US"/>
        </w:rPr>
        <w:t>corticalis</w:t>
      </w:r>
      <w:proofErr w:type="spellEnd"/>
      <w:r w:rsidRPr="00F87D91">
        <w:rPr>
          <w:rFonts w:ascii="Times New Roman" w:hAnsi="Times New Roman" w:cs="Times New Roman"/>
          <w:color w:val="000000" w:themeColor="text1"/>
          <w:sz w:val="24"/>
          <w:szCs w:val="24"/>
          <w:lang w:val="en-US"/>
        </w:rPr>
        <w:t xml:space="preserve">. Chromosome analysis </w:t>
      </w:r>
      <w:r w:rsidRPr="00F87D91">
        <w:rPr>
          <w:rFonts w:ascii="Times New Roman" w:hAnsi="Times New Roman" w:cs="Times New Roman"/>
          <w:color w:val="000000" w:themeColor="text1"/>
          <w:sz w:val="24"/>
          <w:szCs w:val="24"/>
          <w:lang w:val="en-US"/>
        </w:rPr>
        <w:lastRenderedPageBreak/>
        <w:t>showed normal male karyotype, CGH</w:t>
      </w:r>
      <w:r w:rsidR="006743DB" w:rsidRPr="00F87D91">
        <w:rPr>
          <w:rFonts w:ascii="Times New Roman" w:hAnsi="Times New Roman" w:cs="Times New Roman"/>
          <w:color w:val="000000" w:themeColor="text1"/>
          <w:sz w:val="24"/>
          <w:szCs w:val="24"/>
          <w:lang w:val="en-US"/>
        </w:rPr>
        <w:t>-</w:t>
      </w:r>
      <w:r w:rsidRPr="00F87D91">
        <w:rPr>
          <w:rFonts w:ascii="Times New Roman" w:hAnsi="Times New Roman" w:cs="Times New Roman"/>
          <w:color w:val="000000" w:themeColor="text1"/>
          <w:sz w:val="24"/>
          <w:szCs w:val="24"/>
          <w:lang w:val="en-US"/>
        </w:rPr>
        <w:t xml:space="preserve">array and </w:t>
      </w:r>
      <w:proofErr w:type="spellStart"/>
      <w:r w:rsidRPr="00F87D91">
        <w:rPr>
          <w:rFonts w:ascii="Times New Roman" w:hAnsi="Times New Roman" w:cs="Times New Roman"/>
          <w:color w:val="000000" w:themeColor="text1"/>
          <w:sz w:val="24"/>
          <w:szCs w:val="24"/>
          <w:lang w:val="en-US"/>
        </w:rPr>
        <w:t>fraX</w:t>
      </w:r>
      <w:proofErr w:type="spellEnd"/>
      <w:r w:rsidRPr="00F87D91">
        <w:rPr>
          <w:rFonts w:ascii="Times New Roman" w:hAnsi="Times New Roman" w:cs="Times New Roman"/>
          <w:color w:val="000000" w:themeColor="text1"/>
          <w:sz w:val="24"/>
          <w:szCs w:val="24"/>
          <w:lang w:val="en-US"/>
        </w:rPr>
        <w:t xml:space="preserve">-testing were </w:t>
      </w:r>
      <w:r w:rsidR="006743DB" w:rsidRPr="00F87D91">
        <w:rPr>
          <w:rFonts w:ascii="Times New Roman" w:hAnsi="Times New Roman" w:cs="Times New Roman"/>
          <w:color w:val="000000" w:themeColor="text1"/>
          <w:sz w:val="24"/>
          <w:szCs w:val="24"/>
          <w:lang w:val="en-US"/>
        </w:rPr>
        <w:t>inconspicuous</w:t>
      </w:r>
      <w:r w:rsidRPr="00F87D91">
        <w:rPr>
          <w:rFonts w:ascii="Times New Roman" w:hAnsi="Times New Roman" w:cs="Times New Roman"/>
          <w:color w:val="000000" w:themeColor="text1"/>
          <w:sz w:val="24"/>
          <w:szCs w:val="24"/>
          <w:lang w:val="en-US"/>
        </w:rPr>
        <w:t xml:space="preserve">. To elucidate the cause of developmental delay and behavior problems a trio whole-exome analysis was performed </w:t>
      </w:r>
      <w:r w:rsidR="00C144EA" w:rsidRPr="00F87D91">
        <w:rPr>
          <w:rFonts w:ascii="Times New Roman" w:hAnsi="Times New Roman" w:cs="Times New Roman"/>
          <w:color w:val="000000" w:themeColor="text1"/>
          <w:sz w:val="24"/>
          <w:szCs w:val="24"/>
          <w:lang w:val="en-US"/>
        </w:rPr>
        <w:t>without</w:t>
      </w:r>
      <w:r w:rsidRPr="00F87D91">
        <w:rPr>
          <w:rFonts w:ascii="Times New Roman" w:hAnsi="Times New Roman" w:cs="Times New Roman"/>
          <w:color w:val="000000" w:themeColor="text1"/>
          <w:sz w:val="24"/>
          <w:szCs w:val="24"/>
          <w:lang w:val="en-US"/>
        </w:rPr>
        <w:t xml:space="preserve"> ident</w:t>
      </w:r>
      <w:r w:rsidR="00C144EA" w:rsidRPr="00F87D91">
        <w:rPr>
          <w:rFonts w:ascii="Times New Roman" w:hAnsi="Times New Roman" w:cs="Times New Roman"/>
          <w:color w:val="000000" w:themeColor="text1"/>
          <w:sz w:val="24"/>
          <w:szCs w:val="24"/>
          <w:lang w:val="en-US"/>
        </w:rPr>
        <w:t>ification of</w:t>
      </w:r>
      <w:r w:rsidRPr="00F87D91">
        <w:rPr>
          <w:rFonts w:ascii="Times New Roman" w:hAnsi="Times New Roman" w:cs="Times New Roman"/>
          <w:color w:val="000000" w:themeColor="text1"/>
          <w:sz w:val="24"/>
          <w:szCs w:val="24"/>
          <w:lang w:val="en-US"/>
        </w:rPr>
        <w:t xml:space="preserve"> </w:t>
      </w:r>
      <w:r w:rsidR="00347543" w:rsidRPr="00F87D91">
        <w:rPr>
          <w:rFonts w:ascii="Times New Roman" w:hAnsi="Times New Roman" w:cs="Times New Roman"/>
          <w:color w:val="000000" w:themeColor="text1"/>
          <w:sz w:val="24"/>
          <w:szCs w:val="24"/>
          <w:lang w:val="en-US"/>
        </w:rPr>
        <w:t xml:space="preserve">applicable </w:t>
      </w:r>
      <w:r w:rsidRPr="00F87D91">
        <w:rPr>
          <w:rFonts w:ascii="Times New Roman" w:hAnsi="Times New Roman" w:cs="Times New Roman"/>
          <w:color w:val="000000" w:themeColor="text1"/>
          <w:sz w:val="24"/>
          <w:szCs w:val="24"/>
          <w:lang w:val="en-US"/>
        </w:rPr>
        <w:t>pathogenic variant</w:t>
      </w:r>
      <w:r w:rsidR="00C144EA" w:rsidRPr="00F87D91">
        <w:rPr>
          <w:rFonts w:ascii="Times New Roman" w:hAnsi="Times New Roman" w:cs="Times New Roman"/>
          <w:color w:val="000000" w:themeColor="text1"/>
          <w:sz w:val="24"/>
          <w:szCs w:val="24"/>
          <w:lang w:val="en-US"/>
        </w:rPr>
        <w:t>s</w:t>
      </w:r>
      <w:r w:rsidRPr="00F87D91">
        <w:rPr>
          <w:rFonts w:ascii="Times New Roman" w:hAnsi="Times New Roman" w:cs="Times New Roman"/>
          <w:color w:val="000000" w:themeColor="text1"/>
          <w:sz w:val="24"/>
          <w:szCs w:val="24"/>
          <w:lang w:val="en-US"/>
        </w:rPr>
        <w:t xml:space="preserve"> in known disease genes. However</w:t>
      </w:r>
      <w:r w:rsidR="006743DB" w:rsidRPr="00F87D91">
        <w:rPr>
          <w:rFonts w:ascii="Times New Roman" w:hAnsi="Times New Roman" w:cs="Times New Roman"/>
          <w:color w:val="000000" w:themeColor="text1"/>
          <w:sz w:val="24"/>
          <w:szCs w:val="24"/>
          <w:lang w:val="en-US"/>
        </w:rPr>
        <w:t>,</w:t>
      </w:r>
      <w:r w:rsidRPr="00F87D91">
        <w:rPr>
          <w:rFonts w:ascii="Times New Roman" w:hAnsi="Times New Roman" w:cs="Times New Roman"/>
          <w:color w:val="000000" w:themeColor="text1"/>
          <w:sz w:val="24"/>
          <w:szCs w:val="24"/>
          <w:lang w:val="en-US"/>
        </w:rPr>
        <w:t xml:space="preserve"> a </w:t>
      </w:r>
      <w:r w:rsidRPr="00F87D91">
        <w:rPr>
          <w:rFonts w:ascii="Times New Roman" w:hAnsi="Times New Roman" w:cs="Times New Roman"/>
          <w:i/>
          <w:color w:val="000000" w:themeColor="text1"/>
          <w:sz w:val="24"/>
          <w:szCs w:val="24"/>
          <w:lang w:val="en-US"/>
        </w:rPr>
        <w:t>de novo</w:t>
      </w:r>
      <w:r w:rsidRPr="00F87D91">
        <w:rPr>
          <w:rFonts w:ascii="Times New Roman" w:hAnsi="Times New Roman" w:cs="Times New Roman"/>
          <w:color w:val="000000" w:themeColor="text1"/>
          <w:sz w:val="24"/>
          <w:szCs w:val="24"/>
          <w:lang w:val="en-US"/>
        </w:rPr>
        <w:t xml:space="preserve"> missense variant in </w:t>
      </w:r>
      <w:r w:rsidRPr="00F87D91">
        <w:rPr>
          <w:rFonts w:ascii="Times New Roman" w:hAnsi="Times New Roman" w:cs="Times New Roman"/>
          <w:i/>
          <w:iCs/>
          <w:color w:val="000000" w:themeColor="text1"/>
          <w:sz w:val="24"/>
          <w:szCs w:val="24"/>
          <w:lang w:val="en-US"/>
        </w:rPr>
        <w:t>FASN</w:t>
      </w:r>
      <w:r w:rsidRPr="00F87D91">
        <w:rPr>
          <w:rFonts w:ascii="Times New Roman" w:hAnsi="Times New Roman" w:cs="Times New Roman"/>
          <w:color w:val="000000" w:themeColor="text1"/>
          <w:sz w:val="24"/>
          <w:szCs w:val="24"/>
          <w:lang w:val="en-US"/>
        </w:rPr>
        <w:t xml:space="preserve"> (c.6529C&gt;T, p.Arg2177Cys) was discovered (see also Table S1). </w:t>
      </w:r>
    </w:p>
    <w:p w14:paraId="274AAF81" w14:textId="3C33A9F8" w:rsidR="00142065" w:rsidRPr="00F87D91" w:rsidRDefault="00142065">
      <w:pPr>
        <w:rPr>
          <w:rFonts w:ascii="Times New Roman" w:hAnsi="Times New Roman" w:cs="Times New Roman"/>
          <w:b/>
          <w:bCs/>
          <w:color w:val="000000" w:themeColor="text1"/>
          <w:lang w:val="en-US"/>
        </w:rPr>
      </w:pPr>
      <w:r w:rsidRPr="00F87D91">
        <w:rPr>
          <w:rFonts w:ascii="Times New Roman" w:hAnsi="Times New Roman" w:cs="Times New Roman"/>
          <w:b/>
          <w:bCs/>
          <w:color w:val="000000" w:themeColor="text1"/>
          <w:sz w:val="24"/>
          <w:szCs w:val="24"/>
          <w:lang w:val="en-US"/>
        </w:rPr>
        <w:t>Supplementa</w:t>
      </w:r>
      <w:r w:rsidR="0090725A" w:rsidRPr="00F87D91">
        <w:rPr>
          <w:rFonts w:ascii="Times New Roman" w:hAnsi="Times New Roman" w:cs="Times New Roman"/>
          <w:b/>
          <w:bCs/>
          <w:color w:val="000000" w:themeColor="text1"/>
          <w:sz w:val="24"/>
          <w:szCs w:val="24"/>
          <w:lang w:val="en-US"/>
        </w:rPr>
        <w:t>l</w:t>
      </w:r>
      <w:r w:rsidRPr="00F87D91">
        <w:rPr>
          <w:rFonts w:ascii="Times New Roman" w:hAnsi="Times New Roman" w:cs="Times New Roman"/>
          <w:b/>
          <w:bCs/>
          <w:color w:val="000000" w:themeColor="text1"/>
          <w:sz w:val="24"/>
          <w:szCs w:val="24"/>
          <w:lang w:val="en-US"/>
        </w:rPr>
        <w:t xml:space="preserve"> Table</w:t>
      </w:r>
      <w:r w:rsidR="00F664BD" w:rsidRPr="00F87D91">
        <w:rPr>
          <w:rFonts w:ascii="Times New Roman" w:hAnsi="Times New Roman" w:cs="Times New Roman"/>
          <w:b/>
          <w:bCs/>
          <w:color w:val="000000" w:themeColor="text1"/>
          <w:sz w:val="24"/>
          <w:szCs w:val="24"/>
          <w:lang w:val="en-US"/>
        </w:rPr>
        <w:t>s</w:t>
      </w:r>
    </w:p>
    <w:tbl>
      <w:tblPr>
        <w:tblStyle w:val="EinfacheTabelle11"/>
        <w:tblpPr w:leftFromText="141" w:rightFromText="141" w:vertAnchor="page" w:horzAnchor="margin" w:tblpY="4366"/>
        <w:tblW w:w="89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64"/>
        <w:gridCol w:w="993"/>
        <w:gridCol w:w="850"/>
        <w:gridCol w:w="762"/>
        <w:gridCol w:w="844"/>
        <w:gridCol w:w="1031"/>
        <w:gridCol w:w="907"/>
        <w:gridCol w:w="567"/>
        <w:gridCol w:w="709"/>
        <w:gridCol w:w="708"/>
        <w:gridCol w:w="1025"/>
      </w:tblGrid>
      <w:tr w:rsidR="00D72A02" w:rsidRPr="00896668" w14:paraId="16A61F8C" w14:textId="77777777" w:rsidTr="00D72A02">
        <w:trPr>
          <w:cnfStyle w:val="100000000000" w:firstRow="1" w:lastRow="0" w:firstColumn="0" w:lastColumn="0" w:oddVBand="0" w:evenVBand="0" w:oddHBand="0" w:evenHBand="0" w:firstRowFirstColumn="0" w:firstRowLastColumn="0" w:lastRowFirstColumn="0" w:lastRowLastColumn="0"/>
          <w:trHeight w:val="993"/>
        </w:trPr>
        <w:tc>
          <w:tcPr>
            <w:cnfStyle w:val="001000000000" w:firstRow="0" w:lastRow="0" w:firstColumn="1" w:lastColumn="0" w:oddVBand="0" w:evenVBand="0" w:oddHBand="0" w:evenHBand="0" w:firstRowFirstColumn="0" w:firstRowLastColumn="0" w:lastRowFirstColumn="0" w:lastRowLastColumn="0"/>
            <w:tcW w:w="564" w:type="dxa"/>
            <w:vAlign w:val="center"/>
          </w:tcPr>
          <w:p w14:paraId="4F62C4D2" w14:textId="77777777" w:rsidR="00D72A02" w:rsidRPr="00F87D91" w:rsidRDefault="00D72A02" w:rsidP="00D72A02">
            <w:pPr>
              <w:jc w:val="center"/>
              <w:rPr>
                <w:rFonts w:ascii="Times New Roman" w:eastAsia="Calibri" w:hAnsi="Times New Roman" w:cs="Times New Roman"/>
                <w:b w:val="0"/>
                <w:color w:val="000000" w:themeColor="text1"/>
                <w:sz w:val="18"/>
                <w:szCs w:val="18"/>
                <w:lang w:val="en-US"/>
              </w:rPr>
            </w:pPr>
            <w:r w:rsidRPr="00F87D91">
              <w:rPr>
                <w:rFonts w:ascii="Times New Roman" w:eastAsia="Calibri" w:hAnsi="Times New Roman" w:cs="Times New Roman"/>
                <w:color w:val="000000" w:themeColor="text1"/>
                <w:sz w:val="18"/>
                <w:szCs w:val="18"/>
                <w:lang w:val="en-US"/>
              </w:rPr>
              <w:t>Chr.</w:t>
            </w:r>
          </w:p>
        </w:tc>
        <w:tc>
          <w:tcPr>
            <w:tcW w:w="993" w:type="dxa"/>
            <w:vAlign w:val="center"/>
          </w:tcPr>
          <w:p w14:paraId="1B257F63"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8"/>
                <w:szCs w:val="18"/>
                <w:lang w:val="en-US"/>
              </w:rPr>
            </w:pPr>
            <w:r w:rsidRPr="00F87D91">
              <w:rPr>
                <w:rFonts w:ascii="Times New Roman" w:eastAsia="Calibri" w:hAnsi="Times New Roman" w:cs="Times New Roman"/>
                <w:color w:val="000000" w:themeColor="text1"/>
                <w:sz w:val="18"/>
                <w:szCs w:val="18"/>
                <w:lang w:val="en-US"/>
              </w:rPr>
              <w:t>Genomic position</w:t>
            </w:r>
          </w:p>
        </w:tc>
        <w:tc>
          <w:tcPr>
            <w:tcW w:w="850" w:type="dxa"/>
            <w:vAlign w:val="center"/>
          </w:tcPr>
          <w:p w14:paraId="0894BD4E"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8"/>
                <w:szCs w:val="18"/>
                <w:lang w:val="en-US"/>
              </w:rPr>
            </w:pPr>
            <w:r w:rsidRPr="00F87D91">
              <w:rPr>
                <w:rFonts w:ascii="Times New Roman" w:eastAsia="Calibri" w:hAnsi="Times New Roman" w:cs="Times New Roman"/>
                <w:color w:val="000000" w:themeColor="text1"/>
                <w:sz w:val="18"/>
                <w:szCs w:val="18"/>
                <w:lang w:val="en-US"/>
              </w:rPr>
              <w:t>Gene</w:t>
            </w:r>
          </w:p>
        </w:tc>
        <w:tc>
          <w:tcPr>
            <w:tcW w:w="762" w:type="dxa"/>
            <w:vAlign w:val="center"/>
          </w:tcPr>
          <w:p w14:paraId="4D2EFFA0"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8"/>
                <w:szCs w:val="18"/>
                <w:lang w:val="en-US"/>
              </w:rPr>
            </w:pPr>
            <w:r w:rsidRPr="00F87D91">
              <w:rPr>
                <w:rFonts w:ascii="Times New Roman" w:eastAsia="Calibri" w:hAnsi="Times New Roman" w:cs="Times New Roman"/>
                <w:color w:val="000000" w:themeColor="text1"/>
                <w:sz w:val="18"/>
                <w:szCs w:val="18"/>
                <w:lang w:val="en-US"/>
              </w:rPr>
              <w:t>mRNA reference number</w:t>
            </w:r>
          </w:p>
        </w:tc>
        <w:tc>
          <w:tcPr>
            <w:tcW w:w="844" w:type="dxa"/>
            <w:vAlign w:val="center"/>
          </w:tcPr>
          <w:p w14:paraId="1F116FFF"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8"/>
                <w:szCs w:val="18"/>
                <w:lang w:val="en-US"/>
              </w:rPr>
            </w:pPr>
            <w:r w:rsidRPr="00F87D91">
              <w:rPr>
                <w:rFonts w:ascii="Times New Roman" w:eastAsia="Calibri" w:hAnsi="Times New Roman" w:cs="Times New Roman"/>
                <w:color w:val="000000" w:themeColor="text1"/>
                <w:sz w:val="18"/>
                <w:szCs w:val="18"/>
                <w:lang w:val="en-US"/>
              </w:rPr>
              <w:t>Nucleotide change</w:t>
            </w:r>
          </w:p>
        </w:tc>
        <w:tc>
          <w:tcPr>
            <w:tcW w:w="1031" w:type="dxa"/>
            <w:vAlign w:val="center"/>
          </w:tcPr>
          <w:p w14:paraId="7B025F6D"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8"/>
                <w:szCs w:val="18"/>
                <w:lang w:val="en-US"/>
              </w:rPr>
            </w:pPr>
            <w:r w:rsidRPr="00F87D91">
              <w:rPr>
                <w:rFonts w:ascii="Times New Roman" w:eastAsia="Calibri" w:hAnsi="Times New Roman" w:cs="Times New Roman"/>
                <w:color w:val="000000" w:themeColor="text1"/>
                <w:sz w:val="18"/>
                <w:szCs w:val="18"/>
                <w:lang w:val="en-US"/>
              </w:rPr>
              <w:t>Amino acid alteration</w:t>
            </w:r>
          </w:p>
        </w:tc>
        <w:tc>
          <w:tcPr>
            <w:tcW w:w="907" w:type="dxa"/>
            <w:vAlign w:val="center"/>
          </w:tcPr>
          <w:p w14:paraId="2513D7FA"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8"/>
                <w:szCs w:val="18"/>
                <w:lang w:val="en-US"/>
              </w:rPr>
            </w:pPr>
            <w:proofErr w:type="spellStart"/>
            <w:r w:rsidRPr="00F87D91">
              <w:rPr>
                <w:rFonts w:ascii="Times New Roman" w:eastAsia="Calibri" w:hAnsi="Times New Roman" w:cs="Times New Roman"/>
                <w:color w:val="000000" w:themeColor="text1"/>
                <w:sz w:val="18"/>
                <w:szCs w:val="18"/>
                <w:lang w:val="en-US"/>
              </w:rPr>
              <w:t>gnomAD</w:t>
            </w:r>
            <w:proofErr w:type="spellEnd"/>
            <w:r w:rsidRPr="00F87D91">
              <w:rPr>
                <w:rFonts w:ascii="Times New Roman" w:eastAsia="Calibri" w:hAnsi="Times New Roman" w:cs="Times New Roman"/>
                <w:color w:val="000000" w:themeColor="text1"/>
                <w:sz w:val="18"/>
                <w:szCs w:val="18"/>
                <w:lang w:val="en-US"/>
              </w:rPr>
              <w:t xml:space="preserve"> browser: MAF [%]</w:t>
            </w:r>
          </w:p>
        </w:tc>
        <w:tc>
          <w:tcPr>
            <w:tcW w:w="567" w:type="dxa"/>
            <w:vAlign w:val="center"/>
          </w:tcPr>
          <w:p w14:paraId="05516392"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CADD</w:t>
            </w:r>
          </w:p>
          <w:p w14:paraId="1E659209"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(&gt;20)</w:t>
            </w:r>
          </w:p>
        </w:tc>
        <w:tc>
          <w:tcPr>
            <w:tcW w:w="709" w:type="dxa"/>
            <w:vAlign w:val="center"/>
          </w:tcPr>
          <w:p w14:paraId="39A02D60"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M-CAP</w:t>
            </w:r>
          </w:p>
          <w:p w14:paraId="50F98800"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(&gt;0.025)</w:t>
            </w:r>
          </w:p>
        </w:tc>
        <w:tc>
          <w:tcPr>
            <w:tcW w:w="708" w:type="dxa"/>
            <w:tcBorders>
              <w:bottom w:val="single" w:sz="2" w:space="0" w:color="auto"/>
            </w:tcBorders>
            <w:vAlign w:val="center"/>
          </w:tcPr>
          <w:p w14:paraId="0FE356D2" w14:textId="77777777" w:rsidR="00D72A02" w:rsidRPr="00F87D91" w:rsidRDefault="00D72A02" w:rsidP="00D72A02">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color w:val="000000" w:themeColor="text1"/>
                <w:sz w:val="18"/>
                <w:szCs w:val="18"/>
                <w:lang w:val="en-US"/>
              </w:rPr>
            </w:pPr>
            <w:proofErr w:type="spellStart"/>
            <w:r w:rsidRPr="00F87D91">
              <w:rPr>
                <w:rFonts w:ascii="Times New Roman" w:eastAsia="Calibri" w:hAnsi="Times New Roman" w:cs="Times New Roman"/>
                <w:color w:val="000000" w:themeColor="text1"/>
                <w:sz w:val="18"/>
                <w:szCs w:val="18"/>
                <w:lang w:val="en-US"/>
              </w:rPr>
              <w:t>ClinPred</w:t>
            </w:r>
            <w:proofErr w:type="spellEnd"/>
          </w:p>
          <w:p w14:paraId="1F868292"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(&gt;0.5)</w:t>
            </w:r>
          </w:p>
        </w:tc>
        <w:tc>
          <w:tcPr>
            <w:tcW w:w="1025" w:type="dxa"/>
            <w:vAlign w:val="center"/>
          </w:tcPr>
          <w:p w14:paraId="064BCB12"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OMIM</w:t>
            </w:r>
          </w:p>
          <w:p w14:paraId="24BA3593" w14:textId="77777777" w:rsidR="00D72A02" w:rsidRPr="00F87D91" w:rsidRDefault="00D72A02" w:rsidP="00D72A02">
            <w:pPr>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8"/>
                <w:szCs w:val="18"/>
                <w:lang w:val="en-US"/>
              </w:rPr>
            </w:pPr>
            <w:r w:rsidRPr="00F87D91">
              <w:rPr>
                <w:rFonts w:ascii="Times New Roman" w:eastAsia="Calibri" w:hAnsi="Times New Roman" w:cs="Times New Roman"/>
                <w:color w:val="000000" w:themeColor="text1"/>
                <w:sz w:val="18"/>
                <w:szCs w:val="18"/>
                <w:lang w:val="en-US"/>
              </w:rPr>
              <w:t>phenotype and MIM number</w:t>
            </w:r>
          </w:p>
        </w:tc>
      </w:tr>
      <w:tr w:rsidR="00D72A02" w:rsidRPr="00F87D91" w14:paraId="3EE89A8D" w14:textId="77777777" w:rsidTr="00D72A02">
        <w:trPr>
          <w:cnfStyle w:val="000000100000" w:firstRow="0" w:lastRow="0" w:firstColumn="0" w:lastColumn="0" w:oddVBand="0" w:evenVBand="0" w:oddHBand="1" w:evenHBand="0" w:firstRowFirstColumn="0" w:firstRowLastColumn="0" w:lastRowFirstColumn="0" w:lastRowLastColumn="0"/>
          <w:trHeight w:val="92"/>
        </w:trPr>
        <w:tc>
          <w:tcPr>
            <w:cnfStyle w:val="001000000000" w:firstRow="0" w:lastRow="0" w:firstColumn="1" w:lastColumn="0" w:oddVBand="0" w:evenVBand="0" w:oddHBand="0" w:evenHBand="0" w:firstRowFirstColumn="0" w:firstRowLastColumn="0" w:lastRowFirstColumn="0" w:lastRowLastColumn="0"/>
            <w:tcW w:w="564" w:type="dxa"/>
            <w:shd w:val="clear" w:color="auto" w:fill="auto"/>
            <w:vAlign w:val="center"/>
          </w:tcPr>
          <w:p w14:paraId="7E14FAD9" w14:textId="77777777" w:rsidR="00D72A02" w:rsidRPr="00F87D91" w:rsidRDefault="00D72A02" w:rsidP="00D72A02">
            <w:pPr>
              <w:jc w:val="center"/>
              <w:rPr>
                <w:rFonts w:ascii="Times New Roman" w:hAnsi="Times New Roman" w:cs="Times New Roman"/>
                <w:color w:val="000000" w:themeColor="text1"/>
                <w:sz w:val="18"/>
                <w:szCs w:val="18"/>
                <w:lang w:val="en-US"/>
              </w:rPr>
            </w:pPr>
            <w:r w:rsidRPr="00F87D91">
              <w:rPr>
                <w:rFonts w:ascii="Times New Roman" w:hAnsi="Times New Roman" w:cs="Times New Roman"/>
                <w:color w:val="000000" w:themeColor="text1"/>
                <w:kern w:val="24"/>
                <w:sz w:val="18"/>
                <w:szCs w:val="18"/>
              </w:rPr>
              <w:t>17</w:t>
            </w:r>
          </w:p>
        </w:tc>
        <w:tc>
          <w:tcPr>
            <w:tcW w:w="993" w:type="dxa"/>
            <w:shd w:val="clear" w:color="auto" w:fill="auto"/>
            <w:vAlign w:val="center"/>
          </w:tcPr>
          <w:p w14:paraId="05E8517E"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lang w:val="en-US"/>
              </w:rPr>
            </w:pPr>
            <w:r w:rsidRPr="00F87D91">
              <w:rPr>
                <w:rFonts w:ascii="Times New Roman" w:hAnsi="Times New Roman" w:cs="Times New Roman"/>
                <w:color w:val="000000" w:themeColor="text1"/>
                <w:kern w:val="24"/>
                <w:sz w:val="18"/>
                <w:szCs w:val="18"/>
              </w:rPr>
              <w:t>80039106</w:t>
            </w:r>
          </w:p>
        </w:tc>
        <w:tc>
          <w:tcPr>
            <w:tcW w:w="850" w:type="dxa"/>
            <w:shd w:val="clear" w:color="auto" w:fill="auto"/>
            <w:vAlign w:val="center"/>
          </w:tcPr>
          <w:p w14:paraId="3C8B0F96"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color w:val="000000" w:themeColor="text1"/>
                <w:sz w:val="18"/>
                <w:szCs w:val="18"/>
                <w:lang w:val="en-US"/>
              </w:rPr>
            </w:pPr>
            <w:r w:rsidRPr="00F87D91">
              <w:rPr>
                <w:rFonts w:ascii="Times New Roman" w:hAnsi="Times New Roman" w:cs="Times New Roman"/>
                <w:i/>
                <w:iCs/>
                <w:color w:val="000000" w:themeColor="text1"/>
                <w:kern w:val="24"/>
                <w:sz w:val="18"/>
                <w:szCs w:val="18"/>
              </w:rPr>
              <w:t>FASN</w:t>
            </w:r>
          </w:p>
        </w:tc>
        <w:tc>
          <w:tcPr>
            <w:tcW w:w="762" w:type="dxa"/>
            <w:shd w:val="clear" w:color="auto" w:fill="auto"/>
            <w:vAlign w:val="center"/>
          </w:tcPr>
          <w:p w14:paraId="3DE1CBE7"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NM_004104.4</w:t>
            </w:r>
          </w:p>
        </w:tc>
        <w:tc>
          <w:tcPr>
            <w:tcW w:w="844" w:type="dxa"/>
            <w:shd w:val="clear" w:color="auto" w:fill="auto"/>
            <w:vAlign w:val="center"/>
          </w:tcPr>
          <w:p w14:paraId="1A5831AA"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hAnsi="Times New Roman" w:cs="Times New Roman"/>
                <w:color w:val="000000" w:themeColor="text1"/>
                <w:kern w:val="24"/>
                <w:sz w:val="18"/>
                <w:szCs w:val="18"/>
              </w:rPr>
              <w:t>c.6529C&gt;T</w:t>
            </w:r>
          </w:p>
        </w:tc>
        <w:tc>
          <w:tcPr>
            <w:tcW w:w="1031" w:type="dxa"/>
            <w:shd w:val="clear" w:color="auto" w:fill="auto"/>
            <w:vAlign w:val="center"/>
          </w:tcPr>
          <w:p w14:paraId="44760AF1"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hAnsi="Times New Roman" w:cs="Times New Roman"/>
                <w:color w:val="000000" w:themeColor="text1"/>
                <w:kern w:val="24"/>
                <w:sz w:val="18"/>
                <w:szCs w:val="18"/>
              </w:rPr>
              <w:t>p.(Arg2177Cys)</w:t>
            </w:r>
          </w:p>
        </w:tc>
        <w:tc>
          <w:tcPr>
            <w:tcW w:w="907" w:type="dxa"/>
            <w:shd w:val="clear" w:color="auto" w:fill="auto"/>
            <w:vAlign w:val="center"/>
          </w:tcPr>
          <w:p w14:paraId="7F8EA4A0"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lang w:val="en-US"/>
              </w:rPr>
            </w:pPr>
            <w:r w:rsidRPr="00F87D91">
              <w:rPr>
                <w:rFonts w:ascii="Times New Roman" w:eastAsia="Times New Roman" w:hAnsi="Times New Roman" w:cs="Times New Roman"/>
                <w:color w:val="000000" w:themeColor="text1"/>
                <w:sz w:val="18"/>
                <w:szCs w:val="18"/>
                <w:lang w:val="en-US"/>
              </w:rPr>
              <w:t>0</w:t>
            </w:r>
          </w:p>
        </w:tc>
        <w:tc>
          <w:tcPr>
            <w:tcW w:w="567" w:type="dxa"/>
            <w:shd w:val="clear" w:color="auto" w:fill="auto"/>
            <w:vAlign w:val="center"/>
          </w:tcPr>
          <w:p w14:paraId="1E4E8F9A"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kern w:val="24"/>
                <w:sz w:val="18"/>
                <w:szCs w:val="18"/>
              </w:rPr>
              <w:t>24.7</w:t>
            </w:r>
          </w:p>
        </w:tc>
        <w:tc>
          <w:tcPr>
            <w:tcW w:w="709" w:type="dxa"/>
            <w:shd w:val="clear" w:color="auto" w:fill="auto"/>
            <w:vAlign w:val="center"/>
          </w:tcPr>
          <w:p w14:paraId="46E7DBFD" w14:textId="77777777" w:rsidR="00D72A02" w:rsidRPr="00F87D91" w:rsidRDefault="00D72A02" w:rsidP="00D72A02">
            <w:pPr>
              <w:pStyle w:val="Standard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F87D91">
              <w:rPr>
                <w:color w:val="000000" w:themeColor="text1"/>
                <w:kern w:val="24"/>
                <w:sz w:val="18"/>
                <w:szCs w:val="18"/>
                <w:lang w:val="de-DE"/>
              </w:rPr>
              <w:t>0.041</w:t>
            </w:r>
          </w:p>
        </w:tc>
        <w:tc>
          <w:tcPr>
            <w:tcW w:w="708" w:type="dxa"/>
            <w:shd w:val="clear" w:color="auto" w:fill="auto"/>
            <w:vAlign w:val="center"/>
          </w:tcPr>
          <w:p w14:paraId="47EF58F8"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lang w:val="en-US"/>
              </w:rPr>
            </w:pPr>
            <w:r w:rsidRPr="00F87D91">
              <w:rPr>
                <w:rFonts w:ascii="Times New Roman" w:eastAsia="Times New Roman" w:hAnsi="Times New Roman" w:cs="Times New Roman"/>
                <w:color w:val="000000" w:themeColor="text1"/>
                <w:sz w:val="18"/>
                <w:szCs w:val="18"/>
                <w:lang w:val="en-US"/>
              </w:rPr>
              <w:t>0.993</w:t>
            </w:r>
          </w:p>
        </w:tc>
        <w:tc>
          <w:tcPr>
            <w:tcW w:w="1025" w:type="dxa"/>
            <w:shd w:val="clear" w:color="auto" w:fill="auto"/>
            <w:vAlign w:val="center"/>
          </w:tcPr>
          <w:p w14:paraId="4434F6B0"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lang w:val="en-US"/>
              </w:rPr>
            </w:pPr>
            <w:r w:rsidRPr="00F87D91">
              <w:rPr>
                <w:rFonts w:ascii="Times New Roman" w:eastAsia="Times New Roman" w:hAnsi="Times New Roman" w:cs="Times New Roman"/>
                <w:color w:val="000000" w:themeColor="text1"/>
                <w:sz w:val="18"/>
                <w:szCs w:val="18"/>
                <w:highlight w:val="yellow"/>
                <w:lang w:val="en-US"/>
              </w:rPr>
              <w:t>̶</w:t>
            </w:r>
          </w:p>
        </w:tc>
      </w:tr>
      <w:tr w:rsidR="00D72A02" w:rsidRPr="00F87D91" w14:paraId="670E3E0C" w14:textId="77777777" w:rsidTr="00D72A02">
        <w:trPr>
          <w:trHeight w:val="341"/>
        </w:trPr>
        <w:tc>
          <w:tcPr>
            <w:cnfStyle w:val="001000000000" w:firstRow="0" w:lastRow="0" w:firstColumn="1" w:lastColumn="0" w:oddVBand="0" w:evenVBand="0" w:oddHBand="0" w:evenHBand="0" w:firstRowFirstColumn="0" w:firstRowLastColumn="0" w:lastRowFirstColumn="0" w:lastRowLastColumn="0"/>
            <w:tcW w:w="564" w:type="dxa"/>
            <w:shd w:val="clear" w:color="auto" w:fill="auto"/>
            <w:vAlign w:val="center"/>
          </w:tcPr>
          <w:p w14:paraId="7C7DDA2D" w14:textId="77777777" w:rsidR="00D72A02" w:rsidRPr="00F87D91" w:rsidRDefault="00D72A02" w:rsidP="00D72A02">
            <w:pPr>
              <w:jc w:val="center"/>
              <w:rPr>
                <w:rFonts w:ascii="Times New Roman" w:hAnsi="Times New Roman" w:cs="Times New Roman"/>
                <w:color w:val="000000" w:themeColor="text1"/>
                <w:sz w:val="18"/>
                <w:szCs w:val="18"/>
                <w:lang w:val="en-US"/>
              </w:rPr>
            </w:pPr>
            <w:r w:rsidRPr="00F87D91">
              <w:rPr>
                <w:rFonts w:ascii="Times New Roman" w:hAnsi="Times New Roman" w:cs="Times New Roman"/>
                <w:color w:val="000000" w:themeColor="text1"/>
                <w:sz w:val="18"/>
                <w:szCs w:val="18"/>
                <w:lang w:val="en-US"/>
              </w:rPr>
              <w:t>1</w:t>
            </w:r>
          </w:p>
        </w:tc>
        <w:tc>
          <w:tcPr>
            <w:tcW w:w="993" w:type="dxa"/>
            <w:shd w:val="clear" w:color="auto" w:fill="auto"/>
            <w:vAlign w:val="center"/>
          </w:tcPr>
          <w:p w14:paraId="0327F114"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sz w:val="18"/>
                <w:szCs w:val="18"/>
                <w:lang w:val="en-US"/>
              </w:rPr>
              <w:t>22157724, mat.</w:t>
            </w:r>
          </w:p>
        </w:tc>
        <w:tc>
          <w:tcPr>
            <w:tcW w:w="850" w:type="dxa"/>
            <w:shd w:val="clear" w:color="auto" w:fill="auto"/>
            <w:vAlign w:val="center"/>
          </w:tcPr>
          <w:p w14:paraId="2E584224"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000000" w:themeColor="text1"/>
                <w:sz w:val="18"/>
                <w:szCs w:val="18"/>
                <w:highlight w:val="yellow"/>
                <w:lang w:val="en-US"/>
              </w:rPr>
            </w:pPr>
            <w:r w:rsidRPr="00F87D91">
              <w:rPr>
                <w:rFonts w:ascii="Times New Roman" w:hAnsi="Times New Roman" w:cs="Times New Roman"/>
                <w:i/>
                <w:color w:val="000000" w:themeColor="text1"/>
                <w:sz w:val="18"/>
                <w:szCs w:val="18"/>
                <w:lang w:val="en-US"/>
              </w:rPr>
              <w:t>HSPG2</w:t>
            </w:r>
          </w:p>
        </w:tc>
        <w:tc>
          <w:tcPr>
            <w:tcW w:w="762" w:type="dxa"/>
            <w:shd w:val="clear" w:color="auto" w:fill="auto"/>
            <w:vAlign w:val="center"/>
          </w:tcPr>
          <w:p w14:paraId="0AEE2990"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Calibri" w:hAnsi="Times New Roman" w:cs="Times New Roman"/>
                <w:color w:val="000000" w:themeColor="text1"/>
                <w:sz w:val="18"/>
                <w:szCs w:val="18"/>
                <w:lang w:val="en-US"/>
              </w:rPr>
              <w:t>NM_005529.5</w:t>
            </w:r>
          </w:p>
        </w:tc>
        <w:tc>
          <w:tcPr>
            <w:tcW w:w="844" w:type="dxa"/>
            <w:shd w:val="clear" w:color="auto" w:fill="auto"/>
            <w:vAlign w:val="center"/>
          </w:tcPr>
          <w:p w14:paraId="6DBD328E"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Calibri" w:hAnsi="Times New Roman" w:cs="Times New Roman"/>
                <w:color w:val="000000" w:themeColor="text1"/>
                <w:sz w:val="18"/>
                <w:szCs w:val="18"/>
                <w:lang w:val="en-US"/>
              </w:rPr>
              <w:t>c.11546G&gt;C</w:t>
            </w:r>
          </w:p>
        </w:tc>
        <w:tc>
          <w:tcPr>
            <w:tcW w:w="1031" w:type="dxa"/>
            <w:shd w:val="clear" w:color="auto" w:fill="auto"/>
            <w:vAlign w:val="center"/>
          </w:tcPr>
          <w:p w14:paraId="0E49691A"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Calibri" w:hAnsi="Times New Roman" w:cs="Times New Roman"/>
                <w:color w:val="000000" w:themeColor="text1"/>
                <w:sz w:val="18"/>
                <w:szCs w:val="18"/>
                <w:lang w:val="en-US"/>
              </w:rPr>
              <w:t>p.(Arg3849Pro)</w:t>
            </w:r>
          </w:p>
        </w:tc>
        <w:tc>
          <w:tcPr>
            <w:tcW w:w="907" w:type="dxa"/>
            <w:shd w:val="clear" w:color="auto" w:fill="auto"/>
            <w:vAlign w:val="center"/>
          </w:tcPr>
          <w:p w14:paraId="3151B322"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0.004604</w:t>
            </w:r>
          </w:p>
        </w:tc>
        <w:tc>
          <w:tcPr>
            <w:tcW w:w="567" w:type="dxa"/>
            <w:shd w:val="clear" w:color="auto" w:fill="auto"/>
            <w:vAlign w:val="center"/>
          </w:tcPr>
          <w:p w14:paraId="2651EB08"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sz w:val="18"/>
                <w:szCs w:val="18"/>
                <w:lang w:val="en-US"/>
              </w:rPr>
              <w:t>24.0</w:t>
            </w:r>
          </w:p>
        </w:tc>
        <w:tc>
          <w:tcPr>
            <w:tcW w:w="709" w:type="dxa"/>
            <w:shd w:val="clear" w:color="auto" w:fill="auto"/>
            <w:vAlign w:val="center"/>
          </w:tcPr>
          <w:p w14:paraId="2FB256EB"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F87D91">
              <w:rPr>
                <w:rFonts w:ascii="Times New Roman" w:hAnsi="Times New Roman" w:cs="Times New Roman"/>
                <w:color w:val="000000" w:themeColor="text1"/>
                <w:sz w:val="18"/>
                <w:szCs w:val="18"/>
              </w:rPr>
              <w:t>0.117</w:t>
            </w:r>
          </w:p>
        </w:tc>
        <w:tc>
          <w:tcPr>
            <w:tcW w:w="708" w:type="dxa"/>
            <w:tcBorders>
              <w:bottom w:val="single" w:sz="2" w:space="0" w:color="auto"/>
            </w:tcBorders>
            <w:vAlign w:val="center"/>
          </w:tcPr>
          <w:p w14:paraId="67BD3402"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Calibri" w:hAnsi="Times New Roman" w:cs="Times New Roman"/>
                <w:color w:val="000000" w:themeColor="text1"/>
                <w:sz w:val="18"/>
                <w:szCs w:val="18"/>
                <w:lang w:val="en-US"/>
              </w:rPr>
              <w:t>0.064</w:t>
            </w:r>
          </w:p>
        </w:tc>
        <w:tc>
          <w:tcPr>
            <w:tcW w:w="1025" w:type="dxa"/>
            <w:shd w:val="clear" w:color="auto" w:fill="auto"/>
            <w:vAlign w:val="center"/>
          </w:tcPr>
          <w:p w14:paraId="60812B3C"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shd w:val="clear" w:color="auto" w:fill="FFFFFF"/>
              </w:rPr>
            </w:pPr>
            <w:r w:rsidRPr="00F87D91">
              <w:rPr>
                <w:rFonts w:ascii="Times New Roman" w:hAnsi="Times New Roman" w:cs="Times New Roman"/>
                <w:color w:val="000000" w:themeColor="text1"/>
                <w:sz w:val="18"/>
                <w:szCs w:val="18"/>
                <w:shd w:val="clear" w:color="auto" w:fill="FFFFFF"/>
              </w:rPr>
              <w:t>DDSH, #224410;</w:t>
            </w:r>
          </w:p>
          <w:p w14:paraId="566475F6"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sz w:val="18"/>
                <w:szCs w:val="18"/>
                <w:shd w:val="clear" w:color="auto" w:fill="FFFFFF"/>
              </w:rPr>
              <w:t>SJS1, #255800</w:t>
            </w:r>
          </w:p>
        </w:tc>
      </w:tr>
      <w:tr w:rsidR="00D72A02" w:rsidRPr="00F87D91" w14:paraId="3235CA07" w14:textId="77777777" w:rsidTr="00D72A02">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564" w:type="dxa"/>
            <w:shd w:val="clear" w:color="auto" w:fill="auto"/>
            <w:vAlign w:val="center"/>
          </w:tcPr>
          <w:p w14:paraId="286F50D7" w14:textId="77777777" w:rsidR="00D72A02" w:rsidRPr="00F87D91" w:rsidRDefault="00D72A02" w:rsidP="00D72A02">
            <w:pPr>
              <w:jc w:val="center"/>
              <w:rPr>
                <w:rFonts w:ascii="Times New Roman" w:hAnsi="Times New Roman" w:cs="Times New Roman"/>
                <w:color w:val="000000" w:themeColor="text1"/>
                <w:kern w:val="24"/>
                <w:sz w:val="18"/>
                <w:szCs w:val="18"/>
              </w:rPr>
            </w:pPr>
            <w:r w:rsidRPr="00F87D91">
              <w:rPr>
                <w:rFonts w:ascii="Times New Roman" w:hAnsi="Times New Roman" w:cs="Times New Roman"/>
                <w:color w:val="000000" w:themeColor="text1"/>
                <w:kern w:val="24"/>
                <w:sz w:val="18"/>
                <w:szCs w:val="18"/>
              </w:rPr>
              <w:t>1</w:t>
            </w:r>
          </w:p>
        </w:tc>
        <w:tc>
          <w:tcPr>
            <w:tcW w:w="993" w:type="dxa"/>
            <w:shd w:val="clear" w:color="auto" w:fill="auto"/>
            <w:vAlign w:val="center"/>
          </w:tcPr>
          <w:p w14:paraId="517D12F5"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rPr>
            </w:pPr>
            <w:r w:rsidRPr="00F87D91">
              <w:rPr>
                <w:rFonts w:ascii="Times New Roman" w:hAnsi="Times New Roman" w:cs="Times New Roman"/>
                <w:color w:val="000000" w:themeColor="text1"/>
                <w:kern w:val="24"/>
                <w:sz w:val="18"/>
                <w:szCs w:val="18"/>
              </w:rPr>
              <w:t xml:space="preserve">22192236, </w:t>
            </w:r>
            <w:proofErr w:type="spellStart"/>
            <w:r w:rsidRPr="00F87D91">
              <w:rPr>
                <w:rFonts w:ascii="Times New Roman" w:hAnsi="Times New Roman" w:cs="Times New Roman"/>
                <w:color w:val="000000" w:themeColor="text1"/>
                <w:kern w:val="24"/>
                <w:sz w:val="18"/>
                <w:szCs w:val="18"/>
              </w:rPr>
              <w:t>pat</w:t>
            </w:r>
            <w:proofErr w:type="spellEnd"/>
            <w:r w:rsidRPr="00F87D91">
              <w:rPr>
                <w:rFonts w:ascii="Times New Roman" w:hAnsi="Times New Roman" w:cs="Times New Roman"/>
                <w:color w:val="000000" w:themeColor="text1"/>
                <w:kern w:val="24"/>
                <w:sz w:val="18"/>
                <w:szCs w:val="18"/>
              </w:rPr>
              <w:t>.</w:t>
            </w:r>
          </w:p>
        </w:tc>
        <w:tc>
          <w:tcPr>
            <w:tcW w:w="850" w:type="dxa"/>
            <w:shd w:val="clear" w:color="auto" w:fill="auto"/>
            <w:vAlign w:val="center"/>
          </w:tcPr>
          <w:p w14:paraId="464D2C73"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color w:val="000000" w:themeColor="text1"/>
                <w:kern w:val="24"/>
                <w:sz w:val="18"/>
                <w:szCs w:val="18"/>
                <w:highlight w:val="yellow"/>
              </w:rPr>
            </w:pPr>
            <w:r w:rsidRPr="00F87D91">
              <w:rPr>
                <w:rFonts w:ascii="Times New Roman" w:hAnsi="Times New Roman" w:cs="Times New Roman"/>
                <w:i/>
                <w:iCs/>
                <w:color w:val="000000" w:themeColor="text1"/>
                <w:kern w:val="24"/>
                <w:sz w:val="18"/>
                <w:szCs w:val="18"/>
              </w:rPr>
              <w:t>HSPG2</w:t>
            </w:r>
          </w:p>
        </w:tc>
        <w:tc>
          <w:tcPr>
            <w:tcW w:w="762" w:type="dxa"/>
            <w:shd w:val="clear" w:color="auto" w:fill="auto"/>
            <w:vAlign w:val="center"/>
          </w:tcPr>
          <w:p w14:paraId="19AF23C0"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Calibri" w:hAnsi="Times New Roman" w:cs="Times New Roman"/>
                <w:color w:val="000000" w:themeColor="text1"/>
                <w:sz w:val="18"/>
                <w:szCs w:val="18"/>
                <w:lang w:val="en-US"/>
              </w:rPr>
              <w:t>NM_005529.5</w:t>
            </w:r>
          </w:p>
        </w:tc>
        <w:tc>
          <w:tcPr>
            <w:tcW w:w="844" w:type="dxa"/>
            <w:shd w:val="clear" w:color="auto" w:fill="auto"/>
            <w:vAlign w:val="center"/>
          </w:tcPr>
          <w:p w14:paraId="6EFB4CC5"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rPr>
            </w:pPr>
            <w:r w:rsidRPr="00F87D91">
              <w:rPr>
                <w:rFonts w:ascii="Times New Roman" w:hAnsi="Times New Roman" w:cs="Times New Roman"/>
                <w:color w:val="000000" w:themeColor="text1"/>
                <w:kern w:val="24"/>
                <w:sz w:val="18"/>
                <w:szCs w:val="18"/>
              </w:rPr>
              <w:t>c.4288C&gt;T</w:t>
            </w:r>
          </w:p>
        </w:tc>
        <w:tc>
          <w:tcPr>
            <w:tcW w:w="1031" w:type="dxa"/>
            <w:shd w:val="clear" w:color="auto" w:fill="auto"/>
            <w:vAlign w:val="center"/>
          </w:tcPr>
          <w:p w14:paraId="39BD2178"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rPr>
            </w:pPr>
            <w:r w:rsidRPr="00F87D91">
              <w:rPr>
                <w:rFonts w:ascii="Times New Roman" w:hAnsi="Times New Roman" w:cs="Times New Roman"/>
                <w:color w:val="000000" w:themeColor="text1"/>
                <w:kern w:val="24"/>
                <w:sz w:val="18"/>
                <w:szCs w:val="18"/>
              </w:rPr>
              <w:t>p.(Leu1430Phe)</w:t>
            </w:r>
          </w:p>
        </w:tc>
        <w:tc>
          <w:tcPr>
            <w:tcW w:w="907" w:type="dxa"/>
            <w:tcBorders>
              <w:bottom w:val="single" w:sz="2" w:space="0" w:color="auto"/>
            </w:tcBorders>
            <w:shd w:val="clear" w:color="auto" w:fill="auto"/>
            <w:vAlign w:val="center"/>
          </w:tcPr>
          <w:p w14:paraId="27B9D4D5"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lang w:val="en-US"/>
              </w:rPr>
            </w:pPr>
            <w:r w:rsidRPr="00F87D91">
              <w:rPr>
                <w:rFonts w:ascii="Times New Roman" w:eastAsia="Calibri" w:hAnsi="Times New Roman" w:cs="Times New Roman"/>
                <w:color w:val="000000" w:themeColor="text1"/>
                <w:sz w:val="18"/>
                <w:szCs w:val="18"/>
                <w:lang w:val="en-US"/>
              </w:rPr>
              <w:t>0.003186</w:t>
            </w:r>
          </w:p>
        </w:tc>
        <w:tc>
          <w:tcPr>
            <w:tcW w:w="567" w:type="dxa"/>
            <w:shd w:val="clear" w:color="auto" w:fill="auto"/>
            <w:vAlign w:val="center"/>
          </w:tcPr>
          <w:p w14:paraId="1F26B9DC"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rPr>
            </w:pPr>
            <w:r w:rsidRPr="00F87D91">
              <w:rPr>
                <w:rFonts w:ascii="Times New Roman" w:hAnsi="Times New Roman" w:cs="Times New Roman"/>
                <w:color w:val="000000" w:themeColor="text1"/>
                <w:kern w:val="24"/>
                <w:sz w:val="18"/>
                <w:szCs w:val="18"/>
              </w:rPr>
              <w:t>23.5</w:t>
            </w:r>
          </w:p>
        </w:tc>
        <w:tc>
          <w:tcPr>
            <w:tcW w:w="709" w:type="dxa"/>
            <w:shd w:val="clear" w:color="auto" w:fill="auto"/>
            <w:vAlign w:val="center"/>
          </w:tcPr>
          <w:p w14:paraId="2BB4F587" w14:textId="77777777" w:rsidR="00D72A02" w:rsidRPr="00F87D91" w:rsidRDefault="00D72A02" w:rsidP="00D72A02">
            <w:pPr>
              <w:pStyle w:val="Standard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kern w:val="24"/>
                <w:sz w:val="18"/>
                <w:szCs w:val="18"/>
                <w:highlight w:val="yellow"/>
                <w:lang w:val="de-DE"/>
              </w:rPr>
            </w:pPr>
            <w:r w:rsidRPr="00F87D91">
              <w:rPr>
                <w:color w:val="000000" w:themeColor="text1"/>
                <w:kern w:val="24"/>
                <w:sz w:val="18"/>
                <w:szCs w:val="18"/>
                <w:lang w:val="de-DE"/>
              </w:rPr>
              <w:t>0.030</w:t>
            </w:r>
          </w:p>
        </w:tc>
        <w:tc>
          <w:tcPr>
            <w:tcW w:w="708" w:type="dxa"/>
            <w:shd w:val="clear" w:color="auto" w:fill="auto"/>
            <w:vAlign w:val="center"/>
          </w:tcPr>
          <w:p w14:paraId="583C1641"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highlight w:val="yellow"/>
                <w:lang w:val="en-US"/>
              </w:rPr>
            </w:pPr>
            <w:r w:rsidRPr="00F87D91">
              <w:rPr>
                <w:rFonts w:ascii="Times New Roman" w:eastAsia="Times New Roman" w:hAnsi="Times New Roman" w:cs="Times New Roman"/>
                <w:color w:val="000000" w:themeColor="text1"/>
                <w:sz w:val="18"/>
                <w:szCs w:val="18"/>
                <w:lang w:val="en-US"/>
              </w:rPr>
              <w:t>0.845</w:t>
            </w:r>
          </w:p>
        </w:tc>
        <w:tc>
          <w:tcPr>
            <w:tcW w:w="1025" w:type="dxa"/>
            <w:shd w:val="clear" w:color="auto" w:fill="auto"/>
            <w:vAlign w:val="center"/>
          </w:tcPr>
          <w:p w14:paraId="142EB021"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shd w:val="clear" w:color="auto" w:fill="FFFFFF"/>
              </w:rPr>
            </w:pPr>
            <w:r w:rsidRPr="00F87D91">
              <w:rPr>
                <w:rFonts w:ascii="Times New Roman" w:hAnsi="Times New Roman" w:cs="Times New Roman"/>
                <w:color w:val="000000" w:themeColor="text1"/>
                <w:sz w:val="18"/>
                <w:szCs w:val="18"/>
                <w:shd w:val="clear" w:color="auto" w:fill="FFFFFF"/>
              </w:rPr>
              <w:t>DDSH, #224410;</w:t>
            </w:r>
          </w:p>
          <w:p w14:paraId="5E27A6C5"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sz w:val="18"/>
                <w:szCs w:val="18"/>
                <w:shd w:val="clear" w:color="auto" w:fill="FFFFFF"/>
              </w:rPr>
              <w:t>SJS1, #255800</w:t>
            </w:r>
          </w:p>
        </w:tc>
      </w:tr>
      <w:tr w:rsidR="00D72A02" w:rsidRPr="00F87D91" w14:paraId="69FDA1BF" w14:textId="77777777" w:rsidTr="00D72A02">
        <w:trPr>
          <w:trHeight w:val="341"/>
        </w:trPr>
        <w:tc>
          <w:tcPr>
            <w:cnfStyle w:val="001000000000" w:firstRow="0" w:lastRow="0" w:firstColumn="1" w:lastColumn="0" w:oddVBand="0" w:evenVBand="0" w:oddHBand="0" w:evenHBand="0" w:firstRowFirstColumn="0" w:firstRowLastColumn="0" w:lastRowFirstColumn="0" w:lastRowLastColumn="0"/>
            <w:tcW w:w="564" w:type="dxa"/>
            <w:shd w:val="clear" w:color="auto" w:fill="auto"/>
            <w:vAlign w:val="center"/>
          </w:tcPr>
          <w:p w14:paraId="54944F0D" w14:textId="77777777" w:rsidR="00D72A02" w:rsidRPr="00F87D91" w:rsidRDefault="00D72A02" w:rsidP="00D72A02">
            <w:pPr>
              <w:jc w:val="center"/>
              <w:rPr>
                <w:rFonts w:ascii="Times New Roman"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kern w:val="24"/>
                <w:sz w:val="18"/>
                <w:szCs w:val="18"/>
              </w:rPr>
              <w:t>1</w:t>
            </w:r>
          </w:p>
        </w:tc>
        <w:tc>
          <w:tcPr>
            <w:tcW w:w="993" w:type="dxa"/>
            <w:shd w:val="clear" w:color="auto" w:fill="auto"/>
            <w:vAlign w:val="center"/>
          </w:tcPr>
          <w:p w14:paraId="58A97DC3"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kern w:val="24"/>
                <w:sz w:val="18"/>
                <w:szCs w:val="18"/>
              </w:rPr>
              <w:t xml:space="preserve">86818601, </w:t>
            </w:r>
            <w:proofErr w:type="spellStart"/>
            <w:r w:rsidRPr="00F87D91">
              <w:rPr>
                <w:rFonts w:ascii="Times New Roman" w:hAnsi="Times New Roman" w:cs="Times New Roman"/>
                <w:color w:val="000000" w:themeColor="text1"/>
                <w:kern w:val="24"/>
                <w:sz w:val="18"/>
                <w:szCs w:val="18"/>
              </w:rPr>
              <w:t>pat</w:t>
            </w:r>
            <w:proofErr w:type="spellEnd"/>
            <w:r w:rsidRPr="00F87D91">
              <w:rPr>
                <w:rFonts w:ascii="Times New Roman" w:hAnsi="Times New Roman" w:cs="Times New Roman"/>
                <w:color w:val="000000" w:themeColor="text1"/>
                <w:kern w:val="24"/>
                <w:sz w:val="18"/>
                <w:szCs w:val="18"/>
              </w:rPr>
              <w:t>.</w:t>
            </w:r>
          </w:p>
        </w:tc>
        <w:tc>
          <w:tcPr>
            <w:tcW w:w="850" w:type="dxa"/>
            <w:shd w:val="clear" w:color="auto" w:fill="auto"/>
            <w:vAlign w:val="center"/>
          </w:tcPr>
          <w:p w14:paraId="794A8C16"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000000" w:themeColor="text1"/>
                <w:sz w:val="18"/>
                <w:szCs w:val="18"/>
                <w:highlight w:val="yellow"/>
                <w:lang w:val="en-US"/>
              </w:rPr>
            </w:pPr>
            <w:r w:rsidRPr="00F87D91">
              <w:rPr>
                <w:rFonts w:ascii="Times New Roman" w:hAnsi="Times New Roman" w:cs="Times New Roman"/>
                <w:i/>
                <w:iCs/>
                <w:color w:val="000000" w:themeColor="text1"/>
                <w:kern w:val="24"/>
                <w:sz w:val="18"/>
                <w:szCs w:val="18"/>
              </w:rPr>
              <w:t>ODF2L</w:t>
            </w:r>
          </w:p>
        </w:tc>
        <w:tc>
          <w:tcPr>
            <w:tcW w:w="762" w:type="dxa"/>
            <w:shd w:val="clear" w:color="auto" w:fill="auto"/>
            <w:vAlign w:val="center"/>
          </w:tcPr>
          <w:p w14:paraId="3BED1790"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Calibri" w:hAnsi="Times New Roman" w:cs="Times New Roman"/>
                <w:color w:val="000000" w:themeColor="text1"/>
                <w:sz w:val="18"/>
                <w:szCs w:val="18"/>
                <w:lang w:val="en-US"/>
              </w:rPr>
              <w:t>NM_001007022.2</w:t>
            </w:r>
          </w:p>
        </w:tc>
        <w:tc>
          <w:tcPr>
            <w:tcW w:w="844" w:type="dxa"/>
            <w:shd w:val="clear" w:color="auto" w:fill="auto"/>
            <w:vAlign w:val="center"/>
          </w:tcPr>
          <w:p w14:paraId="11ADB4A0"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kern w:val="24"/>
                <w:sz w:val="18"/>
                <w:szCs w:val="18"/>
              </w:rPr>
              <w:t>c.1834G&gt;C</w:t>
            </w:r>
          </w:p>
        </w:tc>
        <w:tc>
          <w:tcPr>
            <w:tcW w:w="1031" w:type="dxa"/>
            <w:shd w:val="clear" w:color="auto" w:fill="auto"/>
            <w:vAlign w:val="center"/>
          </w:tcPr>
          <w:p w14:paraId="4FF71246"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kern w:val="24"/>
                <w:sz w:val="18"/>
                <w:szCs w:val="18"/>
              </w:rPr>
              <w:t>p.(Glu612Gln)</w:t>
            </w:r>
          </w:p>
        </w:tc>
        <w:tc>
          <w:tcPr>
            <w:tcW w:w="907" w:type="dxa"/>
            <w:shd w:val="clear" w:color="auto" w:fill="auto"/>
            <w:vAlign w:val="center"/>
          </w:tcPr>
          <w:p w14:paraId="5484F174"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shd w:val="clear" w:color="auto" w:fill="FAFAFA"/>
              </w:rPr>
            </w:pPr>
            <w:r w:rsidRPr="00F87D91">
              <w:rPr>
                <w:rFonts w:ascii="Times New Roman" w:hAnsi="Times New Roman" w:cs="Times New Roman"/>
                <w:color w:val="000000" w:themeColor="text1"/>
                <w:sz w:val="18"/>
                <w:szCs w:val="18"/>
                <w:shd w:val="clear" w:color="auto" w:fill="FAFAFA"/>
              </w:rPr>
              <w:t>0.004730</w:t>
            </w:r>
          </w:p>
        </w:tc>
        <w:tc>
          <w:tcPr>
            <w:tcW w:w="567" w:type="dxa"/>
            <w:shd w:val="clear" w:color="auto" w:fill="auto"/>
            <w:vAlign w:val="center"/>
          </w:tcPr>
          <w:p w14:paraId="0B2FC9CF"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kern w:val="24"/>
                <w:sz w:val="18"/>
                <w:szCs w:val="18"/>
              </w:rPr>
              <w:t>27.5</w:t>
            </w:r>
          </w:p>
        </w:tc>
        <w:tc>
          <w:tcPr>
            <w:tcW w:w="709" w:type="dxa"/>
            <w:shd w:val="clear" w:color="auto" w:fill="auto"/>
            <w:vAlign w:val="center"/>
          </w:tcPr>
          <w:p w14:paraId="435DB56F" w14:textId="77777777" w:rsidR="00D72A02" w:rsidRPr="00F87D91" w:rsidRDefault="00D72A02" w:rsidP="00D72A02">
            <w:pPr>
              <w:pStyle w:val="Standard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highlight w:val="yellow"/>
              </w:rPr>
            </w:pPr>
            <w:r w:rsidRPr="00F87D91">
              <w:rPr>
                <w:rFonts w:eastAsia="Calibri"/>
                <w:color w:val="000000" w:themeColor="text1"/>
                <w:sz w:val="18"/>
                <w:szCs w:val="18"/>
              </w:rPr>
              <w:t>0.014</w:t>
            </w:r>
          </w:p>
        </w:tc>
        <w:tc>
          <w:tcPr>
            <w:tcW w:w="708" w:type="dxa"/>
            <w:tcBorders>
              <w:bottom w:val="single" w:sz="2" w:space="0" w:color="auto"/>
            </w:tcBorders>
            <w:vAlign w:val="center"/>
          </w:tcPr>
          <w:p w14:paraId="7D0635BE"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highlight w:val="yellow"/>
                <w:lang w:val="en-US"/>
              </w:rPr>
            </w:pPr>
            <w:r w:rsidRPr="00F87D91">
              <w:rPr>
                <w:rFonts w:ascii="Times New Roman" w:eastAsia="Times New Roman" w:hAnsi="Times New Roman" w:cs="Times New Roman"/>
                <w:color w:val="000000" w:themeColor="text1"/>
                <w:sz w:val="18"/>
                <w:szCs w:val="18"/>
                <w:lang w:val="en-US"/>
              </w:rPr>
              <w:t>0.508</w:t>
            </w:r>
          </w:p>
        </w:tc>
        <w:tc>
          <w:tcPr>
            <w:tcW w:w="1025" w:type="dxa"/>
            <w:shd w:val="clear" w:color="auto" w:fill="auto"/>
            <w:vAlign w:val="center"/>
          </w:tcPr>
          <w:p w14:paraId="7248B2BB" w14:textId="77777777" w:rsidR="00D72A02" w:rsidRPr="00F87D91" w:rsidRDefault="00D72A02" w:rsidP="00D72A02">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Times New Roman" w:hAnsi="Times New Roman" w:cs="Times New Roman"/>
                <w:color w:val="000000" w:themeColor="text1"/>
                <w:sz w:val="18"/>
                <w:szCs w:val="18"/>
                <w:highlight w:val="yellow"/>
                <w:lang w:val="en-US"/>
              </w:rPr>
              <w:t>̶</w:t>
            </w:r>
          </w:p>
        </w:tc>
      </w:tr>
      <w:tr w:rsidR="00D72A02" w:rsidRPr="00F87D91" w14:paraId="3F1CC04A" w14:textId="77777777" w:rsidTr="00D72A02">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564" w:type="dxa"/>
            <w:shd w:val="clear" w:color="auto" w:fill="auto"/>
            <w:vAlign w:val="center"/>
          </w:tcPr>
          <w:p w14:paraId="4233194B" w14:textId="77777777" w:rsidR="00D72A02" w:rsidRPr="00F87D91" w:rsidRDefault="00D72A02" w:rsidP="00D72A02">
            <w:pPr>
              <w:jc w:val="center"/>
              <w:rPr>
                <w:rFonts w:ascii="Times New Roman" w:hAnsi="Times New Roman" w:cs="Times New Roman"/>
                <w:color w:val="000000" w:themeColor="text1"/>
                <w:kern w:val="24"/>
                <w:sz w:val="18"/>
                <w:szCs w:val="18"/>
                <w:highlight w:val="yellow"/>
              </w:rPr>
            </w:pPr>
            <w:r w:rsidRPr="00F87D91">
              <w:rPr>
                <w:rFonts w:ascii="Times New Roman" w:hAnsi="Times New Roman" w:cs="Times New Roman"/>
                <w:color w:val="000000" w:themeColor="text1"/>
                <w:kern w:val="24"/>
                <w:sz w:val="18"/>
                <w:szCs w:val="18"/>
              </w:rPr>
              <w:t>1</w:t>
            </w:r>
          </w:p>
        </w:tc>
        <w:tc>
          <w:tcPr>
            <w:tcW w:w="993" w:type="dxa"/>
            <w:shd w:val="clear" w:color="auto" w:fill="auto"/>
            <w:vAlign w:val="center"/>
          </w:tcPr>
          <w:p w14:paraId="3D5E2438"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rPr>
            </w:pPr>
            <w:r w:rsidRPr="00F87D91">
              <w:rPr>
                <w:rFonts w:ascii="Times New Roman" w:hAnsi="Times New Roman" w:cs="Times New Roman"/>
                <w:color w:val="000000" w:themeColor="text1"/>
                <w:kern w:val="24"/>
                <w:sz w:val="18"/>
                <w:szCs w:val="18"/>
              </w:rPr>
              <w:t xml:space="preserve">86838152, </w:t>
            </w:r>
            <w:proofErr w:type="spellStart"/>
            <w:r w:rsidRPr="00F87D91">
              <w:rPr>
                <w:rFonts w:ascii="Times New Roman" w:hAnsi="Times New Roman" w:cs="Times New Roman"/>
                <w:color w:val="000000" w:themeColor="text1"/>
                <w:kern w:val="24"/>
                <w:sz w:val="18"/>
                <w:szCs w:val="18"/>
              </w:rPr>
              <w:t>mat</w:t>
            </w:r>
            <w:proofErr w:type="spellEnd"/>
            <w:r w:rsidRPr="00F87D91">
              <w:rPr>
                <w:rFonts w:ascii="Times New Roman" w:hAnsi="Times New Roman" w:cs="Times New Roman"/>
                <w:color w:val="000000" w:themeColor="text1"/>
                <w:kern w:val="24"/>
                <w:sz w:val="18"/>
                <w:szCs w:val="18"/>
              </w:rPr>
              <w:t>.</w:t>
            </w:r>
          </w:p>
        </w:tc>
        <w:tc>
          <w:tcPr>
            <w:tcW w:w="850" w:type="dxa"/>
            <w:shd w:val="clear" w:color="auto" w:fill="auto"/>
            <w:vAlign w:val="center"/>
          </w:tcPr>
          <w:p w14:paraId="5FA0473E"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color w:val="000000" w:themeColor="text1"/>
                <w:kern w:val="24"/>
                <w:sz w:val="18"/>
                <w:szCs w:val="18"/>
                <w:highlight w:val="yellow"/>
              </w:rPr>
            </w:pPr>
            <w:r w:rsidRPr="00F87D91">
              <w:rPr>
                <w:rFonts w:ascii="Times New Roman" w:hAnsi="Times New Roman" w:cs="Times New Roman"/>
                <w:i/>
                <w:iCs/>
                <w:color w:val="000000" w:themeColor="text1"/>
                <w:kern w:val="24"/>
                <w:sz w:val="18"/>
                <w:szCs w:val="18"/>
              </w:rPr>
              <w:t>ODF2L</w:t>
            </w:r>
          </w:p>
        </w:tc>
        <w:tc>
          <w:tcPr>
            <w:tcW w:w="762" w:type="dxa"/>
            <w:shd w:val="clear" w:color="auto" w:fill="auto"/>
            <w:vAlign w:val="center"/>
          </w:tcPr>
          <w:p w14:paraId="22D9F9A1"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Calibri" w:hAnsi="Times New Roman" w:cs="Times New Roman"/>
                <w:color w:val="000000" w:themeColor="text1"/>
                <w:sz w:val="18"/>
                <w:szCs w:val="18"/>
                <w:lang w:val="en-US"/>
              </w:rPr>
              <w:t>NM_001007022.2</w:t>
            </w:r>
          </w:p>
        </w:tc>
        <w:tc>
          <w:tcPr>
            <w:tcW w:w="844" w:type="dxa"/>
            <w:shd w:val="clear" w:color="auto" w:fill="auto"/>
            <w:vAlign w:val="center"/>
          </w:tcPr>
          <w:p w14:paraId="1F4A62BE"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rPr>
            </w:pPr>
            <w:r w:rsidRPr="00F87D91">
              <w:rPr>
                <w:rFonts w:ascii="Times New Roman" w:hAnsi="Times New Roman" w:cs="Times New Roman"/>
                <w:color w:val="000000" w:themeColor="text1"/>
                <w:kern w:val="24"/>
                <w:sz w:val="18"/>
                <w:szCs w:val="18"/>
              </w:rPr>
              <w:t>c.882A&gt;T</w:t>
            </w:r>
          </w:p>
        </w:tc>
        <w:tc>
          <w:tcPr>
            <w:tcW w:w="1031" w:type="dxa"/>
            <w:shd w:val="clear" w:color="auto" w:fill="auto"/>
            <w:vAlign w:val="center"/>
          </w:tcPr>
          <w:p w14:paraId="03BAD0EB"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lang w:val="en-US"/>
              </w:rPr>
            </w:pPr>
            <w:r w:rsidRPr="00F87D91">
              <w:rPr>
                <w:rFonts w:ascii="Times New Roman" w:hAnsi="Times New Roman" w:cs="Times New Roman"/>
                <w:color w:val="000000" w:themeColor="text1"/>
                <w:kern w:val="24"/>
                <w:sz w:val="18"/>
                <w:szCs w:val="18"/>
              </w:rPr>
              <w:t>p.(Glu294Asp)</w:t>
            </w:r>
          </w:p>
        </w:tc>
        <w:tc>
          <w:tcPr>
            <w:tcW w:w="907" w:type="dxa"/>
            <w:shd w:val="clear" w:color="auto" w:fill="auto"/>
            <w:vAlign w:val="center"/>
          </w:tcPr>
          <w:p w14:paraId="30ED7C32"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hAnsi="Times New Roman" w:cs="Times New Roman"/>
                <w:color w:val="000000" w:themeColor="text1"/>
                <w:sz w:val="18"/>
                <w:szCs w:val="18"/>
                <w:shd w:val="clear" w:color="auto" w:fill="FAFAFA"/>
              </w:rPr>
              <w:t>0.01651</w:t>
            </w:r>
          </w:p>
        </w:tc>
        <w:tc>
          <w:tcPr>
            <w:tcW w:w="567" w:type="dxa"/>
            <w:shd w:val="clear" w:color="auto" w:fill="auto"/>
            <w:vAlign w:val="center"/>
          </w:tcPr>
          <w:p w14:paraId="21C2662E"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kern w:val="24"/>
                <w:sz w:val="18"/>
                <w:szCs w:val="18"/>
                <w:highlight w:val="yellow"/>
                <w:lang w:val="en-US"/>
              </w:rPr>
            </w:pPr>
            <w:r w:rsidRPr="00F87D91">
              <w:rPr>
                <w:rFonts w:ascii="Times New Roman" w:hAnsi="Times New Roman" w:cs="Times New Roman"/>
                <w:color w:val="000000" w:themeColor="text1"/>
                <w:sz w:val="18"/>
                <w:szCs w:val="18"/>
              </w:rPr>
              <w:t>24.6</w:t>
            </w:r>
          </w:p>
        </w:tc>
        <w:tc>
          <w:tcPr>
            <w:tcW w:w="709" w:type="dxa"/>
            <w:shd w:val="clear" w:color="auto" w:fill="auto"/>
            <w:vAlign w:val="center"/>
          </w:tcPr>
          <w:p w14:paraId="39D6A849" w14:textId="77777777" w:rsidR="00D72A02" w:rsidRPr="00F87D91" w:rsidRDefault="00D72A02" w:rsidP="00D72A02">
            <w:pPr>
              <w:pStyle w:val="Standard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kern w:val="24"/>
                <w:sz w:val="18"/>
                <w:szCs w:val="18"/>
                <w:highlight w:val="yellow"/>
              </w:rPr>
            </w:pPr>
            <w:r w:rsidRPr="00F87D91">
              <w:rPr>
                <w:color w:val="000000" w:themeColor="text1"/>
                <w:kern w:val="24"/>
                <w:sz w:val="18"/>
                <w:szCs w:val="18"/>
                <w:lang w:val="de-DE"/>
              </w:rPr>
              <w:t>0.024</w:t>
            </w:r>
          </w:p>
        </w:tc>
        <w:tc>
          <w:tcPr>
            <w:tcW w:w="708" w:type="dxa"/>
            <w:shd w:val="clear" w:color="auto" w:fill="auto"/>
            <w:vAlign w:val="center"/>
          </w:tcPr>
          <w:p w14:paraId="7B02CD7C"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F87D91">
              <w:rPr>
                <w:rFonts w:ascii="Times New Roman" w:hAnsi="Times New Roman" w:cs="Times New Roman"/>
                <w:color w:val="000000" w:themeColor="text1"/>
                <w:sz w:val="18"/>
                <w:szCs w:val="18"/>
              </w:rPr>
              <w:t>0.256</w:t>
            </w:r>
          </w:p>
        </w:tc>
        <w:tc>
          <w:tcPr>
            <w:tcW w:w="1025" w:type="dxa"/>
            <w:shd w:val="clear" w:color="auto" w:fill="auto"/>
            <w:vAlign w:val="center"/>
          </w:tcPr>
          <w:p w14:paraId="35920D80" w14:textId="77777777" w:rsidR="00D72A02" w:rsidRPr="00F87D91" w:rsidRDefault="00D72A02" w:rsidP="00D72A02">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8"/>
                <w:szCs w:val="18"/>
                <w:highlight w:val="yellow"/>
                <w:lang w:val="en-US"/>
              </w:rPr>
            </w:pPr>
            <w:r w:rsidRPr="00F87D91">
              <w:rPr>
                <w:rFonts w:ascii="Times New Roman" w:eastAsia="Times New Roman" w:hAnsi="Times New Roman" w:cs="Times New Roman"/>
                <w:color w:val="000000" w:themeColor="text1"/>
                <w:sz w:val="18"/>
                <w:szCs w:val="18"/>
                <w:highlight w:val="yellow"/>
                <w:lang w:val="en-US"/>
              </w:rPr>
              <w:t>̶</w:t>
            </w:r>
          </w:p>
        </w:tc>
      </w:tr>
    </w:tbl>
    <w:p w14:paraId="2E4CE384" w14:textId="71EA8248" w:rsidR="00D96E4B" w:rsidRPr="00F87D91" w:rsidRDefault="00027D42" w:rsidP="0056028B">
      <w:pPr>
        <w:pStyle w:val="KeinLeerraum"/>
        <w:spacing w:line="480" w:lineRule="auto"/>
        <w:ind w:right="123"/>
        <w:jc w:val="both"/>
        <w:rPr>
          <w:rFonts w:ascii="Times New Roman" w:hAnsi="Times New Roman" w:cs="Times New Roman"/>
          <w:b/>
          <w:color w:val="000000" w:themeColor="text1"/>
          <w:sz w:val="24"/>
          <w:szCs w:val="24"/>
          <w:lang w:val="en-US" w:eastAsia="de-DE"/>
        </w:rPr>
      </w:pPr>
      <w:r w:rsidRPr="00F87D91">
        <w:rPr>
          <w:rFonts w:ascii="Times New Roman" w:hAnsi="Times New Roman" w:cs="Times New Roman"/>
          <w:b/>
          <w:color w:val="000000" w:themeColor="text1"/>
          <w:sz w:val="24"/>
          <w:szCs w:val="24"/>
          <w:lang w:val="en-US"/>
        </w:rPr>
        <w:br/>
      </w:r>
      <w:r w:rsidR="00D96E4B" w:rsidRPr="00F87D91">
        <w:rPr>
          <w:rFonts w:ascii="Times New Roman" w:hAnsi="Times New Roman" w:cs="Times New Roman"/>
          <w:b/>
          <w:color w:val="000000" w:themeColor="text1"/>
          <w:sz w:val="24"/>
          <w:szCs w:val="24"/>
          <w:lang w:val="en-US"/>
        </w:rPr>
        <w:t xml:space="preserve">Table S1. </w:t>
      </w:r>
      <w:r w:rsidR="00D96E4B" w:rsidRPr="00F87D91">
        <w:rPr>
          <w:rFonts w:ascii="Times New Roman" w:hAnsi="Times New Roman" w:cs="Times New Roman"/>
          <w:b/>
          <w:i/>
          <w:color w:val="000000" w:themeColor="text1"/>
          <w:sz w:val="24"/>
          <w:szCs w:val="24"/>
          <w:lang w:val="en-US"/>
        </w:rPr>
        <w:t xml:space="preserve">In silico </w:t>
      </w:r>
      <w:r w:rsidR="00D96E4B" w:rsidRPr="00F87D91">
        <w:rPr>
          <w:rFonts w:ascii="Times New Roman" w:hAnsi="Times New Roman" w:cs="Times New Roman"/>
          <w:b/>
          <w:color w:val="000000" w:themeColor="text1"/>
          <w:sz w:val="24"/>
          <w:szCs w:val="24"/>
          <w:lang w:val="en-US"/>
        </w:rPr>
        <w:t xml:space="preserve">pathogenicity prediction, minor allele frequency, and associated OMIM phenotypes of </w:t>
      </w:r>
      <w:r w:rsidR="00D96E4B" w:rsidRPr="00F87D91">
        <w:rPr>
          <w:rFonts w:ascii="Times New Roman" w:hAnsi="Times New Roman" w:cs="Times New Roman"/>
          <w:b/>
          <w:i/>
          <w:iCs/>
          <w:color w:val="000000" w:themeColor="text1"/>
          <w:sz w:val="24"/>
          <w:szCs w:val="24"/>
          <w:lang w:val="en-US"/>
        </w:rPr>
        <w:t>de novo</w:t>
      </w:r>
      <w:r w:rsidR="00D96E4B" w:rsidRPr="00F87D91">
        <w:rPr>
          <w:rFonts w:ascii="Times New Roman" w:hAnsi="Times New Roman" w:cs="Times New Roman"/>
          <w:b/>
          <w:color w:val="000000" w:themeColor="text1"/>
          <w:sz w:val="24"/>
          <w:szCs w:val="24"/>
          <w:lang w:val="en-US"/>
        </w:rPr>
        <w:t xml:space="preserve"> and biallelic variants in the patient</w:t>
      </w:r>
    </w:p>
    <w:p w14:paraId="73A2865E" w14:textId="3DF758F1" w:rsidR="00AF7BD8" w:rsidRPr="00F87D91" w:rsidRDefault="00D96E4B" w:rsidP="00551310">
      <w:pPr>
        <w:pStyle w:val="KeinLeerraum"/>
        <w:spacing w:line="480" w:lineRule="auto"/>
        <w:ind w:right="123"/>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eastAsia="de-DE"/>
        </w:rPr>
        <w:t xml:space="preserve">Trio-exome data were filtered for potentially pathogenic </w:t>
      </w:r>
      <w:r w:rsidRPr="00F87D91">
        <w:rPr>
          <w:rFonts w:ascii="Times New Roman" w:hAnsi="Times New Roman" w:cs="Times New Roman"/>
          <w:i/>
          <w:color w:val="000000" w:themeColor="text1"/>
          <w:sz w:val="24"/>
          <w:szCs w:val="24"/>
          <w:lang w:val="en-US" w:eastAsia="de-DE"/>
        </w:rPr>
        <w:t>de novo</w:t>
      </w:r>
      <w:r w:rsidRPr="00F87D91">
        <w:rPr>
          <w:rFonts w:ascii="Times New Roman" w:hAnsi="Times New Roman" w:cs="Times New Roman"/>
          <w:color w:val="000000" w:themeColor="text1"/>
          <w:sz w:val="24"/>
          <w:szCs w:val="24"/>
          <w:lang w:val="en-US" w:eastAsia="de-DE"/>
        </w:rPr>
        <w:t xml:space="preserve"> variants absent in the general population (dbSNP138, 100 Genomes Project, Exome Variant Server, </w:t>
      </w:r>
      <w:proofErr w:type="spellStart"/>
      <w:r w:rsidRPr="00F87D91">
        <w:rPr>
          <w:rFonts w:ascii="Times New Roman" w:hAnsi="Times New Roman" w:cs="Times New Roman"/>
          <w:color w:val="000000" w:themeColor="text1"/>
          <w:sz w:val="24"/>
          <w:szCs w:val="24"/>
          <w:lang w:val="en-US" w:eastAsia="de-DE"/>
        </w:rPr>
        <w:t>ExAC</w:t>
      </w:r>
      <w:proofErr w:type="spellEnd"/>
      <w:r w:rsidRPr="00F87D91">
        <w:rPr>
          <w:rFonts w:ascii="Times New Roman" w:hAnsi="Times New Roman" w:cs="Times New Roman"/>
          <w:color w:val="000000" w:themeColor="text1"/>
          <w:sz w:val="24"/>
          <w:szCs w:val="24"/>
          <w:lang w:val="en-US" w:eastAsia="de-DE"/>
        </w:rPr>
        <w:t xml:space="preserve"> Browser, and </w:t>
      </w:r>
      <w:proofErr w:type="spellStart"/>
      <w:r w:rsidRPr="00F87D91">
        <w:rPr>
          <w:rFonts w:ascii="Times New Roman" w:hAnsi="Times New Roman" w:cs="Times New Roman"/>
          <w:color w:val="000000" w:themeColor="text1"/>
          <w:sz w:val="24"/>
          <w:szCs w:val="24"/>
          <w:lang w:val="en-US" w:eastAsia="de-DE"/>
        </w:rPr>
        <w:t>gnomAD</w:t>
      </w:r>
      <w:proofErr w:type="spellEnd"/>
      <w:r w:rsidRPr="00F87D91">
        <w:rPr>
          <w:rFonts w:ascii="Times New Roman" w:hAnsi="Times New Roman" w:cs="Times New Roman"/>
          <w:color w:val="000000" w:themeColor="text1"/>
          <w:sz w:val="24"/>
          <w:szCs w:val="24"/>
          <w:lang w:val="en-US" w:eastAsia="de-DE"/>
        </w:rPr>
        <w:t xml:space="preserve"> Browser) and rare biallelic and hemizygous variants with minor allele frequency (MAF) &lt;0.1% and no homozygous or hemizygous carriers </w:t>
      </w:r>
      <w:r w:rsidR="0050064E" w:rsidRPr="00F87D91">
        <w:rPr>
          <w:rFonts w:ascii="Times New Roman" w:hAnsi="Times New Roman" w:cs="Times New Roman"/>
          <w:color w:val="000000" w:themeColor="text1"/>
          <w:sz w:val="24"/>
          <w:szCs w:val="24"/>
          <w:lang w:val="en-US" w:eastAsia="de-DE"/>
        </w:rPr>
        <w:t xml:space="preserve">were found </w:t>
      </w:r>
      <w:r w:rsidRPr="00F87D91">
        <w:rPr>
          <w:rFonts w:ascii="Times New Roman" w:hAnsi="Times New Roman" w:cs="Times New Roman"/>
          <w:color w:val="000000" w:themeColor="text1"/>
          <w:sz w:val="24"/>
          <w:szCs w:val="24"/>
          <w:lang w:val="en-US" w:eastAsia="de-DE"/>
        </w:rPr>
        <w:t xml:space="preserve">in the aforementioned databases. The functional impact of the identified variants </w:t>
      </w:r>
      <w:r w:rsidR="00E564B6">
        <w:rPr>
          <w:rFonts w:ascii="Times New Roman" w:hAnsi="Times New Roman" w:cs="Times New Roman"/>
          <w:color w:val="000000" w:themeColor="text1"/>
          <w:sz w:val="24"/>
          <w:szCs w:val="24"/>
          <w:lang w:val="en-US" w:eastAsia="de-DE"/>
        </w:rPr>
        <w:t xml:space="preserve">from the trio exome </w:t>
      </w:r>
      <w:r w:rsidRPr="00F87D91">
        <w:rPr>
          <w:rFonts w:ascii="Times New Roman" w:hAnsi="Times New Roman" w:cs="Times New Roman"/>
          <w:color w:val="000000" w:themeColor="text1"/>
          <w:sz w:val="24"/>
          <w:szCs w:val="24"/>
          <w:lang w:val="en-US" w:eastAsia="de-DE"/>
        </w:rPr>
        <w:t>was predicted by the Combined Annotation Dependent Depletion (CADD) tool, the Rare Exome Variant Ensemble Learner (REVEL) scoring system,</w:t>
      </w:r>
      <w:r w:rsidRPr="00F87D91">
        <w:rPr>
          <w:rFonts w:ascii="Times New Roman" w:hAnsi="Times New Roman" w:cs="Times New Roman"/>
          <w:b/>
          <w:color w:val="000000" w:themeColor="text1"/>
          <w:sz w:val="24"/>
          <w:szCs w:val="24"/>
          <w:lang w:val="en-US"/>
        </w:rPr>
        <w:t xml:space="preserve"> </w:t>
      </w:r>
      <w:r w:rsidRPr="00F87D91">
        <w:rPr>
          <w:rFonts w:ascii="Times New Roman" w:hAnsi="Times New Roman" w:cs="Times New Roman"/>
          <w:color w:val="000000" w:themeColor="text1"/>
          <w:sz w:val="24"/>
          <w:szCs w:val="24"/>
          <w:lang w:val="en-US" w:eastAsia="de-DE"/>
        </w:rPr>
        <w:t xml:space="preserve">the </w:t>
      </w:r>
      <w:r w:rsidRPr="00F87D91">
        <w:rPr>
          <w:rFonts w:ascii="Times New Roman" w:hAnsi="Times New Roman" w:cs="Times New Roman"/>
          <w:color w:val="000000" w:themeColor="text1"/>
          <w:sz w:val="24"/>
          <w:szCs w:val="24"/>
          <w:lang w:val="en-US"/>
        </w:rPr>
        <w:t xml:space="preserve">Mendelian Clinically Applicable Pathogenicity (M-CAP) </w:t>
      </w:r>
      <w:r w:rsidRPr="00F87D91">
        <w:rPr>
          <w:rFonts w:ascii="Times New Roman" w:hAnsi="Times New Roman" w:cs="Times New Roman"/>
          <w:color w:val="000000" w:themeColor="text1"/>
          <w:sz w:val="24"/>
          <w:szCs w:val="24"/>
          <w:lang w:val="en-US"/>
        </w:rPr>
        <w:lastRenderedPageBreak/>
        <w:t xml:space="preserve">Score, and the </w:t>
      </w:r>
      <w:proofErr w:type="spellStart"/>
      <w:r w:rsidRPr="00F87D91">
        <w:rPr>
          <w:rFonts w:ascii="Times New Roman" w:hAnsi="Times New Roman" w:cs="Times New Roman"/>
          <w:color w:val="000000" w:themeColor="text1"/>
          <w:sz w:val="24"/>
          <w:szCs w:val="24"/>
          <w:lang w:val="en-US"/>
        </w:rPr>
        <w:t>ClinPred</w:t>
      </w:r>
      <w:proofErr w:type="spellEnd"/>
      <w:r w:rsidRPr="00F87D91">
        <w:rPr>
          <w:rFonts w:ascii="Times New Roman" w:hAnsi="Times New Roman" w:cs="Times New Roman"/>
          <w:color w:val="000000" w:themeColor="text1"/>
          <w:sz w:val="24"/>
          <w:szCs w:val="24"/>
          <w:lang w:val="en-US"/>
        </w:rPr>
        <w:t xml:space="preserve"> tool</w:t>
      </w:r>
      <w:r w:rsidRPr="00F87D91">
        <w:rPr>
          <w:rFonts w:ascii="Times New Roman" w:hAnsi="Times New Roman" w:cs="Times New Roman"/>
          <w:color w:val="000000" w:themeColor="text1"/>
          <w:sz w:val="24"/>
          <w:szCs w:val="24"/>
          <w:lang w:val="en-US" w:eastAsia="de-DE"/>
        </w:rPr>
        <w:t>. CADD</w:t>
      </w:r>
      <w:r w:rsidRPr="00F87D91">
        <w:rPr>
          <w:rFonts w:ascii="Times New Roman" w:hAnsi="Times New Roman" w:cs="Times New Roman"/>
          <w:color w:val="000000" w:themeColor="text1"/>
          <w:sz w:val="24"/>
          <w:szCs w:val="24"/>
          <w:lang w:val="en-US"/>
        </w:rPr>
        <w:t xml:space="preserve"> </w:t>
      </w:r>
      <w:r w:rsidRPr="00F87D91">
        <w:rPr>
          <w:rFonts w:ascii="Times New Roman" w:hAnsi="Times New Roman" w:cs="Times New Roman"/>
          <w:color w:val="000000" w:themeColor="text1"/>
          <w:sz w:val="24"/>
          <w:szCs w:val="24"/>
          <w:lang w:val="en-US" w:eastAsia="de-DE"/>
        </w:rPr>
        <w:t>is a framework that integrates multiple annotations in one metric by contrasting variants that survived natural selection with simulated mutations. Reported CADD score</w:t>
      </w:r>
      <w:r w:rsidRPr="00F87D91">
        <w:rPr>
          <w:rFonts w:ascii="Times New Roman" w:hAnsi="Times New Roman" w:cs="Times New Roman"/>
          <w:color w:val="000000" w:themeColor="text1"/>
          <w:sz w:val="24"/>
          <w:szCs w:val="24"/>
          <w:lang w:val="en-US"/>
        </w:rPr>
        <w:t>s</w:t>
      </w:r>
      <w:r w:rsidRPr="00F87D91">
        <w:rPr>
          <w:rFonts w:ascii="Times New Roman" w:hAnsi="Times New Roman" w:cs="Times New Roman"/>
          <w:color w:val="000000" w:themeColor="text1"/>
          <w:sz w:val="24"/>
          <w:szCs w:val="24"/>
          <w:lang w:val="en-US" w:eastAsia="de-DE"/>
        </w:rPr>
        <w:t xml:space="preserve"> </w:t>
      </w:r>
      <w:r w:rsidRPr="00F87D91">
        <w:rPr>
          <w:rFonts w:ascii="Times New Roman" w:hAnsi="Times New Roman" w:cs="Times New Roman"/>
          <w:color w:val="000000" w:themeColor="text1"/>
          <w:sz w:val="24"/>
          <w:szCs w:val="24"/>
          <w:lang w:val="en-US"/>
        </w:rPr>
        <w:t>are</w:t>
      </w:r>
      <w:r w:rsidRPr="00F87D91">
        <w:rPr>
          <w:rFonts w:ascii="Times New Roman" w:hAnsi="Times New Roman" w:cs="Times New Roman"/>
          <w:color w:val="000000" w:themeColor="text1"/>
          <w:sz w:val="24"/>
          <w:szCs w:val="24"/>
          <w:lang w:val="en-US" w:eastAsia="de-DE"/>
        </w:rPr>
        <w:t xml:space="preserve"> </w:t>
      </w:r>
      <w:proofErr w:type="spellStart"/>
      <w:r w:rsidRPr="00F87D91">
        <w:rPr>
          <w:rFonts w:ascii="Times New Roman" w:hAnsi="Times New Roman" w:cs="Times New Roman"/>
          <w:color w:val="000000" w:themeColor="text1"/>
          <w:sz w:val="24"/>
          <w:szCs w:val="24"/>
          <w:lang w:val="en-US" w:eastAsia="de-DE"/>
        </w:rPr>
        <w:t>phred</w:t>
      </w:r>
      <w:proofErr w:type="spellEnd"/>
      <w:r w:rsidRPr="00F87D91">
        <w:rPr>
          <w:rFonts w:ascii="Times New Roman" w:hAnsi="Times New Roman" w:cs="Times New Roman"/>
          <w:color w:val="000000" w:themeColor="text1"/>
          <w:sz w:val="24"/>
          <w:szCs w:val="24"/>
          <w:lang w:val="en-US" w:eastAsia="de-DE"/>
        </w:rPr>
        <w:t>-like rank score</w:t>
      </w:r>
      <w:r w:rsidRPr="00F87D91">
        <w:rPr>
          <w:rFonts w:ascii="Times New Roman" w:hAnsi="Times New Roman" w:cs="Times New Roman"/>
          <w:color w:val="000000" w:themeColor="text1"/>
          <w:sz w:val="24"/>
          <w:szCs w:val="24"/>
          <w:lang w:val="en-US"/>
        </w:rPr>
        <w:t>s</w:t>
      </w:r>
      <w:r w:rsidRPr="00F87D91">
        <w:rPr>
          <w:rFonts w:ascii="Times New Roman" w:hAnsi="Times New Roman" w:cs="Times New Roman"/>
          <w:color w:val="000000" w:themeColor="text1"/>
          <w:sz w:val="24"/>
          <w:szCs w:val="24"/>
          <w:lang w:val="en-US" w:eastAsia="de-DE"/>
        </w:rPr>
        <w:t xml:space="preserve"> based </w:t>
      </w:r>
      <w:r w:rsidRPr="00F87D91">
        <w:rPr>
          <w:rFonts w:ascii="Times New Roman" w:hAnsi="Times New Roman" w:cs="Times New Roman"/>
          <w:color w:val="000000" w:themeColor="text1"/>
          <w:sz w:val="24"/>
          <w:szCs w:val="24"/>
          <w:lang w:val="en-US"/>
        </w:rPr>
        <w:t>on</w:t>
      </w:r>
      <w:r w:rsidRPr="00F87D91">
        <w:rPr>
          <w:rFonts w:ascii="Times New Roman" w:hAnsi="Times New Roman" w:cs="Times New Roman"/>
          <w:color w:val="000000" w:themeColor="text1"/>
          <w:sz w:val="24"/>
          <w:szCs w:val="24"/>
          <w:lang w:val="en-US" w:eastAsia="de-DE"/>
        </w:rPr>
        <w:t xml:space="preserve"> the rank of that variant’s score among all possible single nucleotide variants of hg19, with 10 corresponding to the top 10%, 20 at the top 1%, and 30 at the top 0.1%. The larger the score the more likely the variant has deleterious effects; the score range observed here is strongly supportive of pathogenicity, with all observed variants ranking above ~99% of all variants in a typical genome and scoring similarly to variants reported in </w:t>
      </w:r>
      <w:proofErr w:type="spellStart"/>
      <w:r w:rsidRPr="00F87D91">
        <w:rPr>
          <w:rFonts w:ascii="Times New Roman" w:hAnsi="Times New Roman" w:cs="Times New Roman"/>
          <w:color w:val="000000" w:themeColor="text1"/>
          <w:sz w:val="24"/>
          <w:szCs w:val="24"/>
          <w:lang w:val="en-US" w:eastAsia="de-DE"/>
        </w:rPr>
        <w:t>ClinVar</w:t>
      </w:r>
      <w:proofErr w:type="spellEnd"/>
      <w:r w:rsidRPr="00F87D91">
        <w:rPr>
          <w:rFonts w:ascii="Times New Roman" w:hAnsi="Times New Roman" w:cs="Times New Roman"/>
          <w:color w:val="000000" w:themeColor="text1"/>
          <w:sz w:val="24"/>
          <w:szCs w:val="24"/>
          <w:lang w:val="en-US" w:eastAsia="de-DE"/>
        </w:rPr>
        <w:t xml:space="preserve"> as pathogenic (~85% of which score &gt;15).</w:t>
      </w:r>
      <w:r w:rsidRPr="00F87D91">
        <w:rPr>
          <w:rFonts w:ascii="Times New Roman" w:hAnsi="Times New Roman" w:cs="Times New Roman"/>
          <w:color w:val="000000" w:themeColor="text1"/>
          <w:sz w:val="24"/>
          <w:szCs w:val="24"/>
          <w:lang w:val="en-US" w:eastAsia="de-DE"/>
        </w:rPr>
        <w:fldChar w:fldCharType="begin">
          <w:fldData xml:space="preserve">PEVuZE5vdGU+PENpdGU+PEF1dGhvcj5LaXJjaGVyPC9BdXRob3I+PFllYXI+MjAxNDwvWWVhcj48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</w:fldData>
        </w:fldChar>
      </w:r>
      <w:r w:rsidR="00D577ED">
        <w:rPr>
          <w:rFonts w:ascii="Times New Roman" w:hAnsi="Times New Roman" w:cs="Times New Roman"/>
          <w:color w:val="000000" w:themeColor="text1"/>
          <w:sz w:val="24"/>
          <w:szCs w:val="24"/>
          <w:lang w:val="en-US" w:eastAsia="de-DE"/>
        </w:rPr>
        <w:instrText xml:space="preserve"> ADDIN EN.CITE </w:instrText>
      </w:r>
      <w:r w:rsidR="00D577ED">
        <w:rPr>
          <w:rFonts w:ascii="Times New Roman" w:hAnsi="Times New Roman" w:cs="Times New Roman"/>
          <w:color w:val="000000" w:themeColor="text1"/>
          <w:sz w:val="24"/>
          <w:szCs w:val="24"/>
          <w:lang w:val="en-US" w:eastAsia="de-DE"/>
        </w:rPr>
        <w:fldChar w:fldCharType="begin">
          <w:fldData xml:space="preserve">PEVuZE5vdGU+PENpdGU+PEF1dGhvcj5LaXJjaGVyPC9BdXRob3I+PFllYXI+MjAxNDwvWWVhcj48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</w:fldData>
        </w:fldChar>
      </w:r>
      <w:r w:rsidR="00D577ED">
        <w:rPr>
          <w:rFonts w:ascii="Times New Roman" w:hAnsi="Times New Roman" w:cs="Times New Roman"/>
          <w:color w:val="000000" w:themeColor="text1"/>
          <w:sz w:val="24"/>
          <w:szCs w:val="24"/>
          <w:lang w:val="en-US" w:eastAsia="de-DE"/>
        </w:rPr>
        <w:instrText xml:space="preserve"> ADDIN EN.CITE.DATA </w:instrText>
      </w:r>
      <w:r w:rsidR="00D577ED">
        <w:rPr>
          <w:rFonts w:ascii="Times New Roman" w:hAnsi="Times New Roman" w:cs="Times New Roman"/>
          <w:color w:val="000000" w:themeColor="text1"/>
          <w:sz w:val="24"/>
          <w:szCs w:val="24"/>
          <w:lang w:val="en-US" w:eastAsia="de-DE"/>
        </w:rPr>
      </w:r>
      <w:r w:rsidR="00D577ED">
        <w:rPr>
          <w:rFonts w:ascii="Times New Roman" w:hAnsi="Times New Roman" w:cs="Times New Roman"/>
          <w:color w:val="000000" w:themeColor="text1"/>
          <w:sz w:val="24"/>
          <w:szCs w:val="24"/>
          <w:lang w:val="en-US" w:eastAsia="de-DE"/>
        </w:rPr>
        <w:fldChar w:fldCharType="end"/>
      </w:r>
      <w:r w:rsidRPr="00F87D91">
        <w:rPr>
          <w:rFonts w:ascii="Times New Roman" w:hAnsi="Times New Roman" w:cs="Times New Roman"/>
          <w:color w:val="000000" w:themeColor="text1"/>
          <w:sz w:val="24"/>
          <w:szCs w:val="24"/>
          <w:lang w:val="en-US" w:eastAsia="de-DE"/>
        </w:rPr>
        <w:fldChar w:fldCharType="separate"/>
      </w:r>
      <w:r w:rsidR="00D577ED" w:rsidRPr="00D577ED">
        <w:rPr>
          <w:rFonts w:ascii="Times New Roman" w:hAnsi="Times New Roman" w:cs="Times New Roman"/>
          <w:noProof/>
          <w:color w:val="000000" w:themeColor="text1"/>
          <w:sz w:val="24"/>
          <w:szCs w:val="24"/>
          <w:vertAlign w:val="superscript"/>
          <w:lang w:val="en-US" w:eastAsia="de-DE"/>
        </w:rPr>
        <w:t>1</w:t>
      </w:r>
      <w:r w:rsidRPr="00F87D91">
        <w:rPr>
          <w:rFonts w:ascii="Times New Roman" w:hAnsi="Times New Roman" w:cs="Times New Roman"/>
          <w:color w:val="000000" w:themeColor="text1"/>
          <w:sz w:val="24"/>
          <w:szCs w:val="24"/>
          <w:lang w:val="en-US" w:eastAsia="de-DE"/>
        </w:rPr>
        <w:fldChar w:fldCharType="end"/>
      </w:r>
      <w:r w:rsidRPr="00F87D91">
        <w:rPr>
          <w:rFonts w:ascii="Times New Roman" w:hAnsi="Times New Roman" w:cs="Times New Roman"/>
          <w:color w:val="000000" w:themeColor="text1"/>
          <w:sz w:val="24"/>
          <w:szCs w:val="24"/>
          <w:lang w:val="en-US" w:eastAsia="de-DE"/>
        </w:rPr>
        <w:t xml:space="preserve"> </w:t>
      </w:r>
      <w:r w:rsidRPr="00F87D91">
        <w:rPr>
          <w:rFonts w:ascii="Times New Roman" w:hAnsi="Times New Roman" w:cs="Times New Roman"/>
          <w:color w:val="000000" w:themeColor="text1"/>
          <w:sz w:val="24"/>
          <w:szCs w:val="24"/>
          <w:lang w:val="en-US"/>
        </w:rPr>
        <w:t xml:space="preserve">M-CAP is a classifier for rare missense variants in the human genome, which combines previous pathogenicity scores (including SIFT, Polyphen-2, and CADD), amino acid conservation features and computed scores trained on mutations linked to Mendelian diseases. The recommended pathogenicity threshold is </w:t>
      </w:r>
      <w:r w:rsidRPr="00F87D91">
        <w:rPr>
          <w:rFonts w:ascii="Times New Roman" w:eastAsia="Times New Roman" w:hAnsi="Times New Roman" w:cs="Times New Roman"/>
          <w:color w:val="000000" w:themeColor="text1"/>
          <w:sz w:val="24"/>
          <w:szCs w:val="24"/>
          <w:lang w:val="en-US" w:eastAsia="de-DE"/>
        </w:rPr>
        <w:t>&gt;0.025.</w:t>
      </w:r>
      <w:r w:rsidR="00896668">
        <w:rPr>
          <w:rFonts w:ascii="Times New Roman" w:eastAsia="Times New Roman" w:hAnsi="Times New Roman" w:cs="Times New Roman"/>
          <w:color w:val="000000" w:themeColor="text1"/>
          <w:sz w:val="24"/>
          <w:szCs w:val="24"/>
          <w:lang w:val="en-US" w:eastAsia="de-DE"/>
        </w:rPr>
        <w:t xml:space="preserve"> </w:t>
      </w:r>
      <w:proofErr w:type="spellStart"/>
      <w:r w:rsidRPr="00F87D91">
        <w:rPr>
          <w:rFonts w:ascii="Times New Roman" w:hAnsi="Times New Roman" w:cs="Times New Roman"/>
          <w:color w:val="000000" w:themeColor="text1"/>
          <w:sz w:val="24"/>
          <w:szCs w:val="24"/>
          <w:lang w:val="en-US"/>
        </w:rPr>
        <w:t>ClinPred</w:t>
      </w:r>
      <w:proofErr w:type="spellEnd"/>
      <w:r w:rsidRPr="00F87D91">
        <w:rPr>
          <w:rFonts w:ascii="Times New Roman" w:hAnsi="Times New Roman" w:cs="Times New Roman"/>
          <w:color w:val="000000" w:themeColor="text1"/>
          <w:sz w:val="24"/>
          <w:szCs w:val="24"/>
          <w:lang w:val="en-US"/>
        </w:rPr>
        <w:t xml:space="preserve"> is an ensemble classifier for predicting disease relevance of missense variants, combining random forest and gradient boosting models and employing allele frequencies of the variants in different populations from the </w:t>
      </w:r>
      <w:proofErr w:type="spellStart"/>
      <w:r w:rsidRPr="00F87D91">
        <w:rPr>
          <w:rFonts w:ascii="Times New Roman" w:hAnsi="Times New Roman" w:cs="Times New Roman"/>
          <w:color w:val="000000" w:themeColor="text1"/>
          <w:sz w:val="24"/>
          <w:szCs w:val="24"/>
          <w:lang w:val="en-US"/>
        </w:rPr>
        <w:t>gnomAD</w:t>
      </w:r>
      <w:proofErr w:type="spellEnd"/>
      <w:r w:rsidRPr="00F87D91">
        <w:rPr>
          <w:rFonts w:ascii="Times New Roman" w:hAnsi="Times New Roman" w:cs="Times New Roman"/>
          <w:color w:val="000000" w:themeColor="text1"/>
          <w:sz w:val="24"/>
          <w:szCs w:val="24"/>
          <w:lang w:val="en-US"/>
        </w:rPr>
        <w:t xml:space="preserve"> database, with a score ranging from 0-1. </w:t>
      </w:r>
      <w:r w:rsidRPr="00F87D91">
        <w:rPr>
          <w:rFonts w:ascii="Times New Roman" w:hAnsi="Times New Roman" w:cs="Times New Roman"/>
          <w:color w:val="000000" w:themeColor="text1"/>
          <w:sz w:val="24"/>
          <w:szCs w:val="24"/>
          <w:lang w:val="en-US" w:eastAsia="de-DE"/>
        </w:rPr>
        <w:t>The higher the score the more likely the variant is pathogenic</w:t>
      </w:r>
      <w:r w:rsidRPr="00F87D91">
        <w:rPr>
          <w:rFonts w:ascii="Times New Roman" w:hAnsi="Times New Roman" w:cs="Times New Roman"/>
          <w:color w:val="000000" w:themeColor="text1"/>
          <w:sz w:val="24"/>
          <w:szCs w:val="24"/>
          <w:lang w:val="en-US"/>
        </w:rPr>
        <w:t xml:space="preserve">. The recommended pathogenicity threshold is ≥ 0.5 </w:t>
      </w:r>
      <w:r w:rsidR="00235F6A">
        <w:rPr>
          <w:rFonts w:ascii="Times New Roman" w:hAnsi="Times New Roman" w:cs="Times New Roman"/>
          <w:color w:val="000000" w:themeColor="text1"/>
          <w:sz w:val="24"/>
          <w:szCs w:val="24"/>
          <w:lang w:val="en-US"/>
        </w:rPr>
        <w:t xml:space="preserve">The </w:t>
      </w:r>
      <w:r w:rsidR="00235F6A" w:rsidRPr="00E06ADD">
        <w:rPr>
          <w:rFonts w:ascii="Times New Roman" w:hAnsi="Times New Roman" w:cs="Times New Roman"/>
          <w:i/>
          <w:iCs/>
          <w:color w:val="000000" w:themeColor="text1"/>
          <w:sz w:val="24"/>
          <w:szCs w:val="24"/>
          <w:lang w:val="en-US"/>
        </w:rPr>
        <w:t>de novo</w:t>
      </w:r>
      <w:r w:rsidR="00235F6A">
        <w:rPr>
          <w:rFonts w:ascii="Times New Roman" w:hAnsi="Times New Roman" w:cs="Times New Roman"/>
          <w:color w:val="000000" w:themeColor="text1"/>
          <w:sz w:val="24"/>
          <w:szCs w:val="24"/>
          <w:lang w:val="en-US"/>
        </w:rPr>
        <w:t xml:space="preserve"> FASN variant was absent in </w:t>
      </w:r>
      <w:proofErr w:type="spellStart"/>
      <w:r w:rsidR="00235F6A">
        <w:rPr>
          <w:rFonts w:ascii="Times New Roman" w:hAnsi="Times New Roman" w:cs="Times New Roman"/>
          <w:color w:val="000000" w:themeColor="text1"/>
          <w:sz w:val="24"/>
          <w:szCs w:val="24"/>
          <w:lang w:val="en-US"/>
        </w:rPr>
        <w:t>gnomAd</w:t>
      </w:r>
      <w:proofErr w:type="spellEnd"/>
      <w:r w:rsidR="00235F6A">
        <w:rPr>
          <w:rFonts w:ascii="Times New Roman" w:hAnsi="Times New Roman" w:cs="Times New Roman"/>
          <w:color w:val="000000" w:themeColor="text1"/>
          <w:sz w:val="24"/>
          <w:szCs w:val="24"/>
          <w:lang w:val="en-US"/>
        </w:rPr>
        <w:t xml:space="preserve"> and showed </w:t>
      </w:r>
      <w:r w:rsidR="00E06ADD">
        <w:rPr>
          <w:rFonts w:ascii="Times New Roman" w:hAnsi="Times New Roman" w:cs="Times New Roman"/>
          <w:color w:val="000000" w:themeColor="text1"/>
          <w:sz w:val="24"/>
          <w:szCs w:val="24"/>
          <w:lang w:val="en-US"/>
        </w:rPr>
        <w:t>predictions higher than the indicated thresholds</w:t>
      </w:r>
      <w:r w:rsidR="00235F6A">
        <w:rPr>
          <w:rFonts w:ascii="Times New Roman" w:hAnsi="Times New Roman" w:cs="Times New Roman"/>
          <w:color w:val="000000" w:themeColor="text1"/>
          <w:sz w:val="24"/>
          <w:szCs w:val="24"/>
          <w:lang w:val="en-US"/>
        </w:rPr>
        <w:t xml:space="preserve">. </w:t>
      </w:r>
      <w:r w:rsidR="00E06ADD">
        <w:rPr>
          <w:rFonts w:ascii="Times New Roman" w:hAnsi="Times New Roman" w:cs="Times New Roman"/>
          <w:color w:val="000000" w:themeColor="text1"/>
          <w:sz w:val="24"/>
          <w:szCs w:val="24"/>
          <w:lang w:val="en-US"/>
        </w:rPr>
        <w:t xml:space="preserve">Some nearby variants are also found in the general population, such as </w:t>
      </w:r>
      <w:proofErr w:type="gramStart"/>
      <w:r w:rsidR="00E06ADD">
        <w:rPr>
          <w:rFonts w:ascii="Times New Roman" w:hAnsi="Times New Roman" w:cs="Times New Roman"/>
          <w:color w:val="000000" w:themeColor="text1"/>
          <w:sz w:val="24"/>
          <w:szCs w:val="24"/>
          <w:lang w:val="en-US"/>
        </w:rPr>
        <w:t>p.Arg</w:t>
      </w:r>
      <w:proofErr w:type="gramEnd"/>
      <w:r w:rsidR="00E06ADD">
        <w:rPr>
          <w:rFonts w:ascii="Times New Roman" w:hAnsi="Times New Roman" w:cs="Times New Roman"/>
          <w:color w:val="000000" w:themeColor="text1"/>
          <w:sz w:val="24"/>
          <w:szCs w:val="24"/>
          <w:lang w:val="en-US"/>
        </w:rPr>
        <w:t>2180Gln (</w:t>
      </w:r>
      <w:proofErr w:type="spellStart"/>
      <w:r w:rsidR="00E06ADD">
        <w:rPr>
          <w:rFonts w:ascii="Times New Roman" w:hAnsi="Times New Roman" w:cs="Times New Roman"/>
          <w:color w:val="000000" w:themeColor="text1"/>
          <w:sz w:val="24"/>
          <w:szCs w:val="24"/>
          <w:lang w:val="en-US"/>
        </w:rPr>
        <w:t>gnomAd</w:t>
      </w:r>
      <w:proofErr w:type="spellEnd"/>
      <w:r w:rsidR="00E06ADD">
        <w:rPr>
          <w:rFonts w:ascii="Times New Roman" w:hAnsi="Times New Roman" w:cs="Times New Roman"/>
          <w:color w:val="000000" w:themeColor="text1"/>
          <w:sz w:val="24"/>
          <w:szCs w:val="24"/>
          <w:lang w:val="en-US"/>
        </w:rPr>
        <w:t xml:space="preserve"> frequency of 0.00003). Loss-of-function FASN variants are available in open databases such as </w:t>
      </w:r>
      <w:proofErr w:type="spellStart"/>
      <w:r w:rsidR="00E06ADD">
        <w:rPr>
          <w:rFonts w:ascii="Times New Roman" w:hAnsi="Times New Roman" w:cs="Times New Roman"/>
          <w:color w:val="000000" w:themeColor="text1"/>
          <w:sz w:val="24"/>
          <w:szCs w:val="24"/>
          <w:lang w:val="en-US"/>
        </w:rPr>
        <w:t>gnomAd</w:t>
      </w:r>
      <w:proofErr w:type="spellEnd"/>
      <w:r w:rsidR="00E06ADD">
        <w:rPr>
          <w:rFonts w:ascii="Times New Roman" w:hAnsi="Times New Roman" w:cs="Times New Roman"/>
          <w:color w:val="000000" w:themeColor="text1"/>
          <w:sz w:val="24"/>
          <w:szCs w:val="24"/>
          <w:lang w:val="en-US"/>
        </w:rPr>
        <w:t xml:space="preserve"> and the UK Biobank suggesting probably an incomplete penetrance, a variable expressivity with </w:t>
      </w:r>
      <w:proofErr w:type="gramStart"/>
      <w:r w:rsidR="00E06ADD">
        <w:rPr>
          <w:rFonts w:ascii="Times New Roman" w:hAnsi="Times New Roman" w:cs="Times New Roman"/>
          <w:color w:val="000000" w:themeColor="text1"/>
          <w:sz w:val="24"/>
          <w:szCs w:val="24"/>
          <w:lang w:val="en-US"/>
        </w:rPr>
        <w:t>e.g.</w:t>
      </w:r>
      <w:proofErr w:type="gramEnd"/>
      <w:r w:rsidR="00E06ADD">
        <w:rPr>
          <w:rFonts w:ascii="Times New Roman" w:hAnsi="Times New Roman" w:cs="Times New Roman"/>
          <w:color w:val="000000" w:themeColor="text1"/>
          <w:sz w:val="24"/>
          <w:szCs w:val="24"/>
          <w:lang w:val="en-US"/>
        </w:rPr>
        <w:t xml:space="preserve"> some milder or more late-onset phenotypes and/or the specific dominant negative variant effect of this variant (Fig.1). Whether loss of function variants in these databases or other variants listed in </w:t>
      </w:r>
      <w:proofErr w:type="spellStart"/>
      <w:r w:rsidR="00E06ADD">
        <w:rPr>
          <w:rFonts w:ascii="Times New Roman" w:hAnsi="Times New Roman" w:cs="Times New Roman"/>
          <w:color w:val="000000" w:themeColor="text1"/>
          <w:sz w:val="24"/>
          <w:szCs w:val="24"/>
          <w:lang w:val="en-US"/>
        </w:rPr>
        <w:t>ClinVar</w:t>
      </w:r>
      <w:proofErr w:type="spellEnd"/>
      <w:r w:rsidR="00E06ADD">
        <w:rPr>
          <w:rFonts w:ascii="Times New Roman" w:hAnsi="Times New Roman" w:cs="Times New Roman"/>
          <w:color w:val="000000" w:themeColor="text1"/>
          <w:sz w:val="24"/>
          <w:szCs w:val="24"/>
          <w:lang w:val="en-US"/>
        </w:rPr>
        <w:t xml:space="preserve"> might be possibly linked to a FASN-associated disease, remains to be shown in future studies investigating more patients with variants in FASN. </w:t>
      </w:r>
      <w:r w:rsidRPr="00F87D91">
        <w:rPr>
          <w:rFonts w:ascii="Times New Roman" w:hAnsi="Times New Roman" w:cs="Times New Roman"/>
          <w:color w:val="000000" w:themeColor="text1"/>
          <w:sz w:val="24"/>
          <w:szCs w:val="24"/>
          <w:shd w:val="clear" w:color="auto" w:fill="FFFFFF"/>
          <w:lang w:val="en-US"/>
        </w:rPr>
        <w:t>DDSH</w:t>
      </w:r>
      <w:r w:rsidR="00BF5C9E" w:rsidRPr="00F87D91">
        <w:rPr>
          <w:rFonts w:ascii="Times New Roman" w:hAnsi="Times New Roman" w:cs="Times New Roman"/>
          <w:color w:val="000000" w:themeColor="text1"/>
          <w:sz w:val="24"/>
          <w:szCs w:val="24"/>
          <w:shd w:val="clear" w:color="auto" w:fill="FFFFFF"/>
          <w:lang w:val="en-US"/>
        </w:rPr>
        <w:t xml:space="preserve"> =</w:t>
      </w:r>
      <w:r w:rsidRPr="00F87D91">
        <w:rPr>
          <w:rFonts w:ascii="Times New Roman" w:hAnsi="Times New Roman" w:cs="Times New Roman"/>
          <w:color w:val="000000" w:themeColor="text1"/>
          <w:sz w:val="24"/>
          <w:szCs w:val="24"/>
          <w:shd w:val="clear" w:color="auto" w:fill="FFFFFF"/>
          <w:lang w:val="en-US"/>
        </w:rPr>
        <w:t xml:space="preserve"> </w:t>
      </w:r>
      <w:proofErr w:type="spellStart"/>
      <w:r w:rsidRPr="00F87D91">
        <w:rPr>
          <w:rFonts w:ascii="Times New Roman" w:hAnsi="Times New Roman" w:cs="Times New Roman"/>
          <w:color w:val="000000" w:themeColor="text1"/>
          <w:sz w:val="24"/>
          <w:szCs w:val="24"/>
          <w:shd w:val="clear" w:color="auto" w:fill="FFFFFF"/>
          <w:lang w:val="en-US"/>
        </w:rPr>
        <w:t>Dyssegmental</w:t>
      </w:r>
      <w:proofErr w:type="spellEnd"/>
      <w:r w:rsidRPr="00F87D91">
        <w:rPr>
          <w:rFonts w:ascii="Times New Roman" w:hAnsi="Times New Roman" w:cs="Times New Roman"/>
          <w:color w:val="000000" w:themeColor="text1"/>
          <w:sz w:val="24"/>
          <w:szCs w:val="24"/>
          <w:shd w:val="clear" w:color="auto" w:fill="FFFFFF"/>
          <w:lang w:val="en-US"/>
        </w:rPr>
        <w:t xml:space="preserve"> dysplasia, Silverman-</w:t>
      </w:r>
      <w:proofErr w:type="spellStart"/>
      <w:r w:rsidRPr="00F87D91">
        <w:rPr>
          <w:rFonts w:ascii="Times New Roman" w:hAnsi="Times New Roman" w:cs="Times New Roman"/>
          <w:color w:val="000000" w:themeColor="text1"/>
          <w:sz w:val="24"/>
          <w:szCs w:val="24"/>
          <w:shd w:val="clear" w:color="auto" w:fill="FFFFFF"/>
          <w:lang w:val="en-US"/>
        </w:rPr>
        <w:t>Handmaker</w:t>
      </w:r>
      <w:proofErr w:type="spellEnd"/>
      <w:r w:rsidRPr="00F87D91">
        <w:rPr>
          <w:rFonts w:ascii="Times New Roman" w:hAnsi="Times New Roman" w:cs="Times New Roman"/>
          <w:color w:val="000000" w:themeColor="text1"/>
          <w:sz w:val="24"/>
          <w:szCs w:val="24"/>
          <w:shd w:val="clear" w:color="auto" w:fill="FFFFFF"/>
          <w:lang w:val="en-US"/>
        </w:rPr>
        <w:t xml:space="preserve"> type; </w:t>
      </w:r>
      <w:r w:rsidRPr="00F87D91">
        <w:rPr>
          <w:rFonts w:ascii="Times New Roman" w:hAnsi="Times New Roman" w:cs="Times New Roman"/>
          <w:color w:val="000000" w:themeColor="text1"/>
          <w:sz w:val="24"/>
          <w:szCs w:val="24"/>
          <w:lang w:val="en-US"/>
        </w:rPr>
        <w:lastRenderedPageBreak/>
        <w:t>SJS1</w:t>
      </w:r>
      <w:r w:rsidR="00BF5C9E" w:rsidRPr="00F87D91">
        <w:rPr>
          <w:rFonts w:ascii="Times New Roman" w:hAnsi="Times New Roman" w:cs="Times New Roman"/>
          <w:color w:val="000000" w:themeColor="text1"/>
          <w:sz w:val="24"/>
          <w:szCs w:val="24"/>
          <w:lang w:val="en-US"/>
        </w:rPr>
        <w:t xml:space="preserve"> =</w:t>
      </w:r>
      <w:r w:rsidRPr="00F87D91">
        <w:rPr>
          <w:rFonts w:ascii="Times New Roman" w:hAnsi="Times New Roman" w:cs="Times New Roman"/>
          <w:color w:val="000000" w:themeColor="text1"/>
          <w:sz w:val="24"/>
          <w:szCs w:val="24"/>
          <w:lang w:val="en-US"/>
        </w:rPr>
        <w:t xml:space="preserve"> </w:t>
      </w:r>
      <w:r w:rsidRPr="00F87D91">
        <w:rPr>
          <w:rFonts w:ascii="Times New Roman" w:hAnsi="Times New Roman" w:cs="Times New Roman"/>
          <w:color w:val="000000" w:themeColor="text1"/>
          <w:sz w:val="24"/>
          <w:szCs w:val="24"/>
          <w:shd w:val="clear" w:color="auto" w:fill="FFFFFF"/>
          <w:lang w:val="en-US"/>
        </w:rPr>
        <w:t>Schwartz-</w:t>
      </w:r>
      <w:proofErr w:type="spellStart"/>
      <w:r w:rsidRPr="00F87D91">
        <w:rPr>
          <w:rFonts w:ascii="Times New Roman" w:hAnsi="Times New Roman" w:cs="Times New Roman"/>
          <w:color w:val="000000" w:themeColor="text1"/>
          <w:sz w:val="24"/>
          <w:szCs w:val="24"/>
          <w:shd w:val="clear" w:color="auto" w:fill="FFFFFF"/>
          <w:lang w:val="en-US"/>
        </w:rPr>
        <w:t>Jampel</w:t>
      </w:r>
      <w:proofErr w:type="spellEnd"/>
      <w:r w:rsidRPr="00F87D91">
        <w:rPr>
          <w:rFonts w:ascii="Times New Roman" w:hAnsi="Times New Roman" w:cs="Times New Roman"/>
          <w:color w:val="000000" w:themeColor="text1"/>
          <w:sz w:val="24"/>
          <w:szCs w:val="24"/>
          <w:shd w:val="clear" w:color="auto" w:fill="FFFFFF"/>
          <w:lang w:val="en-US"/>
        </w:rPr>
        <w:t xml:space="preserve"> syndrome type 1</w:t>
      </w:r>
      <w:r w:rsidRPr="00F87D91">
        <w:rPr>
          <w:rFonts w:ascii="Times New Roman" w:hAnsi="Times New Roman" w:cs="Times New Roman"/>
          <w:color w:val="000000" w:themeColor="text1"/>
          <w:sz w:val="24"/>
          <w:szCs w:val="24"/>
          <w:lang w:val="en-US"/>
        </w:rPr>
        <w:t>; Chr.</w:t>
      </w:r>
      <w:r w:rsidR="00BF5C9E" w:rsidRPr="00F87D91">
        <w:rPr>
          <w:rFonts w:ascii="Times New Roman" w:hAnsi="Times New Roman" w:cs="Times New Roman"/>
          <w:color w:val="000000" w:themeColor="text1"/>
          <w:sz w:val="24"/>
          <w:szCs w:val="24"/>
          <w:lang w:val="en-US"/>
        </w:rPr>
        <w:t xml:space="preserve"> =</w:t>
      </w:r>
      <w:r w:rsidRPr="00F87D91">
        <w:rPr>
          <w:rFonts w:ascii="Times New Roman" w:hAnsi="Times New Roman" w:cs="Times New Roman"/>
          <w:color w:val="000000" w:themeColor="text1"/>
          <w:sz w:val="24"/>
          <w:szCs w:val="24"/>
          <w:lang w:val="en-US"/>
        </w:rPr>
        <w:t xml:space="preserve"> chromosome; </w:t>
      </w:r>
      <w:r w:rsidRPr="00F87D91">
        <w:rPr>
          <w:rFonts w:ascii="Times New Roman" w:hAnsi="Times New Roman" w:cs="Times New Roman"/>
          <w:bCs/>
          <w:color w:val="000000" w:themeColor="text1"/>
          <w:sz w:val="24"/>
          <w:szCs w:val="24"/>
          <w:lang w:val="en-US"/>
        </w:rPr>
        <w:t>M</w:t>
      </w:r>
      <w:r w:rsidRPr="00F87D91">
        <w:rPr>
          <w:rFonts w:ascii="Times New Roman" w:hAnsi="Times New Roman" w:cs="Times New Roman"/>
          <w:color w:val="000000" w:themeColor="text1"/>
          <w:sz w:val="24"/>
          <w:szCs w:val="24"/>
          <w:lang w:val="en-US"/>
        </w:rPr>
        <w:t>AF</w:t>
      </w:r>
      <w:r w:rsidR="00837A0E" w:rsidRPr="00F87D91">
        <w:rPr>
          <w:rFonts w:ascii="Times New Roman" w:hAnsi="Times New Roman" w:cs="Times New Roman"/>
          <w:color w:val="000000" w:themeColor="text1"/>
          <w:sz w:val="24"/>
          <w:szCs w:val="24"/>
          <w:lang w:val="en-US"/>
        </w:rPr>
        <w:t xml:space="preserve"> = </w:t>
      </w:r>
      <w:r w:rsidRPr="00F87D91">
        <w:rPr>
          <w:rFonts w:ascii="Times New Roman" w:hAnsi="Times New Roman" w:cs="Times New Roman"/>
          <w:color w:val="000000" w:themeColor="text1"/>
          <w:sz w:val="24"/>
          <w:szCs w:val="24"/>
          <w:lang w:val="en-US"/>
        </w:rPr>
        <w:t>minor allele frequency; mat.</w:t>
      </w:r>
      <w:r w:rsidR="00837A0E" w:rsidRPr="00F87D91">
        <w:rPr>
          <w:rFonts w:ascii="Times New Roman" w:hAnsi="Times New Roman" w:cs="Times New Roman"/>
          <w:color w:val="000000" w:themeColor="text1"/>
          <w:sz w:val="24"/>
          <w:szCs w:val="24"/>
          <w:lang w:val="en-US"/>
        </w:rPr>
        <w:t xml:space="preserve"> = </w:t>
      </w:r>
      <w:r w:rsidRPr="00F87D91">
        <w:rPr>
          <w:rFonts w:ascii="Times New Roman" w:hAnsi="Times New Roman" w:cs="Times New Roman"/>
          <w:color w:val="000000" w:themeColor="text1"/>
          <w:sz w:val="24"/>
          <w:szCs w:val="24"/>
          <w:lang w:val="en-US"/>
        </w:rPr>
        <w:t>maternal; pat.</w:t>
      </w:r>
      <w:r w:rsidR="00837A0E" w:rsidRPr="00F87D91">
        <w:rPr>
          <w:rFonts w:ascii="Times New Roman" w:hAnsi="Times New Roman" w:cs="Times New Roman"/>
          <w:color w:val="000000" w:themeColor="text1"/>
          <w:sz w:val="24"/>
          <w:szCs w:val="24"/>
          <w:lang w:val="en-US"/>
        </w:rPr>
        <w:t xml:space="preserve"> = </w:t>
      </w:r>
      <w:proofErr w:type="gramStart"/>
      <w:r w:rsidRPr="00F87D91">
        <w:rPr>
          <w:rFonts w:ascii="Times New Roman" w:hAnsi="Times New Roman" w:cs="Times New Roman"/>
          <w:color w:val="000000" w:themeColor="text1"/>
          <w:sz w:val="24"/>
          <w:szCs w:val="24"/>
          <w:lang w:val="en-US"/>
        </w:rPr>
        <w:t>paternal;  ̶</w:t>
      </w:r>
      <w:proofErr w:type="gramEnd"/>
      <w:r w:rsidRPr="00F87D91">
        <w:rPr>
          <w:rFonts w:ascii="Times New Roman" w:hAnsi="Times New Roman" w:cs="Times New Roman"/>
          <w:color w:val="000000" w:themeColor="text1"/>
          <w:sz w:val="24"/>
          <w:szCs w:val="24"/>
          <w:lang w:val="en-US"/>
        </w:rPr>
        <w:t xml:space="preserve"> </w:t>
      </w:r>
      <w:r w:rsidR="00837A0E" w:rsidRPr="00F87D91">
        <w:rPr>
          <w:rFonts w:ascii="Times New Roman" w:hAnsi="Times New Roman" w:cs="Times New Roman"/>
          <w:color w:val="000000" w:themeColor="text1"/>
          <w:sz w:val="24"/>
          <w:szCs w:val="24"/>
          <w:lang w:val="en-US"/>
        </w:rPr>
        <w:t xml:space="preserve"> = </w:t>
      </w:r>
      <w:r w:rsidRPr="00F87D91">
        <w:rPr>
          <w:rFonts w:ascii="Times New Roman" w:hAnsi="Times New Roman" w:cs="Times New Roman"/>
          <w:color w:val="000000" w:themeColor="text1"/>
          <w:sz w:val="24"/>
          <w:szCs w:val="24"/>
          <w:lang w:val="en-US"/>
        </w:rPr>
        <w:t xml:space="preserve">not available. </w:t>
      </w:r>
    </w:p>
    <w:p w14:paraId="4469DDAB" w14:textId="77777777" w:rsidR="00AF7BD8" w:rsidRPr="00F87D91" w:rsidRDefault="00AF7BD8">
      <w:pPr>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lang w:val="en-US"/>
        </w:rPr>
        <w:br w:type="page"/>
      </w:r>
    </w:p>
    <w:tbl>
      <w:tblPr>
        <w:tblW w:w="8912" w:type="dxa"/>
        <w:tblLook w:val="04A0" w:firstRow="1" w:lastRow="0" w:firstColumn="1" w:lastColumn="0" w:noHBand="0" w:noVBand="1"/>
      </w:tblPr>
      <w:tblGrid>
        <w:gridCol w:w="2240"/>
        <w:gridCol w:w="1203"/>
        <w:gridCol w:w="994"/>
        <w:gridCol w:w="683"/>
        <w:gridCol w:w="754"/>
        <w:gridCol w:w="693"/>
        <w:gridCol w:w="440"/>
        <w:gridCol w:w="829"/>
        <w:gridCol w:w="717"/>
        <w:gridCol w:w="440"/>
      </w:tblGrid>
      <w:tr w:rsidR="00AF7BD8" w:rsidRPr="00F87D91" w14:paraId="361D7C71" w14:textId="77777777" w:rsidTr="00AF7BD8">
        <w:trPr>
          <w:trHeight w:val="300"/>
        </w:trPr>
        <w:tc>
          <w:tcPr>
            <w:tcW w:w="2240" w:type="dxa"/>
            <w:tcBorders>
              <w:top w:val="nil"/>
              <w:left w:val="nil"/>
              <w:bottom w:val="nil"/>
              <w:right w:val="nil"/>
            </w:tcBorders>
            <w:shd w:val="clear" w:color="auto" w:fill="auto"/>
            <w:noWrap/>
            <w:vAlign w:val="bottom"/>
            <w:hideMark/>
          </w:tcPr>
          <w:p w14:paraId="458BD906" w14:textId="77777777" w:rsidR="00AF7BD8" w:rsidRPr="00F87D91" w:rsidRDefault="00AF7BD8" w:rsidP="004B3868">
            <w:pPr>
              <w:spacing w:after="0" w:line="240" w:lineRule="auto"/>
              <w:rPr>
                <w:rFonts w:ascii="Times New Roman" w:eastAsia="Times New Roman" w:hAnsi="Times New Roman" w:cs="Times New Roman"/>
                <w:sz w:val="24"/>
                <w:szCs w:val="24"/>
                <w:lang w:val="en-US"/>
              </w:rPr>
            </w:pPr>
          </w:p>
        </w:tc>
        <w:tc>
          <w:tcPr>
            <w:tcW w:w="288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118330"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full cohort</w:t>
            </w:r>
          </w:p>
        </w:tc>
        <w:tc>
          <w:tcPr>
            <w:tcW w:w="1806" w:type="dxa"/>
            <w:gridSpan w:val="3"/>
            <w:tcBorders>
              <w:top w:val="single" w:sz="4" w:space="0" w:color="auto"/>
              <w:left w:val="nil"/>
              <w:bottom w:val="single" w:sz="4" w:space="0" w:color="auto"/>
              <w:right w:val="single" w:sz="4" w:space="0" w:color="auto"/>
            </w:tcBorders>
            <w:shd w:val="clear" w:color="auto" w:fill="auto"/>
            <w:noWrap/>
            <w:vAlign w:val="bottom"/>
            <w:hideMark/>
          </w:tcPr>
          <w:p w14:paraId="37E29145"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low FASN</w:t>
            </w:r>
          </w:p>
        </w:tc>
        <w:tc>
          <w:tcPr>
            <w:tcW w:w="1986" w:type="dxa"/>
            <w:gridSpan w:val="3"/>
            <w:tcBorders>
              <w:top w:val="single" w:sz="4" w:space="0" w:color="auto"/>
              <w:left w:val="nil"/>
              <w:bottom w:val="single" w:sz="4" w:space="0" w:color="auto"/>
              <w:right w:val="single" w:sz="4" w:space="0" w:color="auto"/>
            </w:tcBorders>
            <w:shd w:val="clear" w:color="auto" w:fill="auto"/>
            <w:noWrap/>
            <w:vAlign w:val="bottom"/>
            <w:hideMark/>
          </w:tcPr>
          <w:p w14:paraId="09EBCCD3"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high FASN</w:t>
            </w:r>
          </w:p>
        </w:tc>
      </w:tr>
      <w:tr w:rsidR="00AF7BD8" w:rsidRPr="00F87D91" w14:paraId="2C478CB9" w14:textId="77777777" w:rsidTr="00AF7BD8">
        <w:trPr>
          <w:trHeight w:val="300"/>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3BC0F6"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Value</w:t>
            </w:r>
          </w:p>
        </w:tc>
        <w:tc>
          <w:tcPr>
            <w:tcW w:w="1203" w:type="dxa"/>
            <w:tcBorders>
              <w:top w:val="nil"/>
              <w:left w:val="nil"/>
              <w:bottom w:val="single" w:sz="4" w:space="0" w:color="auto"/>
              <w:right w:val="single" w:sz="4" w:space="0" w:color="auto"/>
            </w:tcBorders>
            <w:shd w:val="clear" w:color="auto" w:fill="auto"/>
            <w:noWrap/>
            <w:vAlign w:val="bottom"/>
            <w:hideMark/>
          </w:tcPr>
          <w:p w14:paraId="236662E7"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Mean</w:t>
            </w:r>
          </w:p>
        </w:tc>
        <w:tc>
          <w:tcPr>
            <w:tcW w:w="994" w:type="dxa"/>
            <w:tcBorders>
              <w:top w:val="nil"/>
              <w:left w:val="nil"/>
              <w:bottom w:val="single" w:sz="4" w:space="0" w:color="auto"/>
              <w:right w:val="single" w:sz="4" w:space="0" w:color="auto"/>
            </w:tcBorders>
            <w:shd w:val="clear" w:color="auto" w:fill="auto"/>
            <w:noWrap/>
            <w:vAlign w:val="bottom"/>
            <w:hideMark/>
          </w:tcPr>
          <w:p w14:paraId="29ED00FA"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SEM</w:t>
            </w:r>
          </w:p>
        </w:tc>
        <w:tc>
          <w:tcPr>
            <w:tcW w:w="683" w:type="dxa"/>
            <w:tcBorders>
              <w:top w:val="nil"/>
              <w:left w:val="nil"/>
              <w:bottom w:val="single" w:sz="4" w:space="0" w:color="auto"/>
              <w:right w:val="single" w:sz="4" w:space="0" w:color="auto"/>
            </w:tcBorders>
            <w:shd w:val="clear" w:color="auto" w:fill="auto"/>
            <w:noWrap/>
            <w:vAlign w:val="bottom"/>
            <w:hideMark/>
          </w:tcPr>
          <w:p w14:paraId="044B2E1F"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n</w:t>
            </w:r>
          </w:p>
        </w:tc>
        <w:tc>
          <w:tcPr>
            <w:tcW w:w="746" w:type="dxa"/>
            <w:tcBorders>
              <w:top w:val="nil"/>
              <w:left w:val="nil"/>
              <w:bottom w:val="single" w:sz="4" w:space="0" w:color="auto"/>
              <w:right w:val="single" w:sz="4" w:space="0" w:color="auto"/>
            </w:tcBorders>
            <w:shd w:val="clear" w:color="auto" w:fill="auto"/>
            <w:noWrap/>
            <w:vAlign w:val="bottom"/>
            <w:hideMark/>
          </w:tcPr>
          <w:p w14:paraId="533510AF"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Mean</w:t>
            </w:r>
          </w:p>
        </w:tc>
        <w:tc>
          <w:tcPr>
            <w:tcW w:w="620" w:type="dxa"/>
            <w:tcBorders>
              <w:top w:val="nil"/>
              <w:left w:val="nil"/>
              <w:bottom w:val="single" w:sz="4" w:space="0" w:color="auto"/>
              <w:right w:val="single" w:sz="4" w:space="0" w:color="auto"/>
            </w:tcBorders>
            <w:shd w:val="clear" w:color="auto" w:fill="auto"/>
            <w:noWrap/>
            <w:vAlign w:val="bottom"/>
            <w:hideMark/>
          </w:tcPr>
          <w:p w14:paraId="35CDF6F8"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SEM</w:t>
            </w:r>
          </w:p>
        </w:tc>
        <w:tc>
          <w:tcPr>
            <w:tcW w:w="440" w:type="dxa"/>
            <w:tcBorders>
              <w:top w:val="nil"/>
              <w:left w:val="nil"/>
              <w:bottom w:val="single" w:sz="4" w:space="0" w:color="auto"/>
              <w:right w:val="single" w:sz="4" w:space="0" w:color="auto"/>
            </w:tcBorders>
            <w:shd w:val="clear" w:color="auto" w:fill="auto"/>
            <w:noWrap/>
            <w:vAlign w:val="bottom"/>
            <w:hideMark/>
          </w:tcPr>
          <w:p w14:paraId="3988696D"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n</w:t>
            </w:r>
          </w:p>
        </w:tc>
        <w:tc>
          <w:tcPr>
            <w:tcW w:w="829" w:type="dxa"/>
            <w:tcBorders>
              <w:top w:val="nil"/>
              <w:left w:val="nil"/>
              <w:bottom w:val="single" w:sz="4" w:space="0" w:color="auto"/>
              <w:right w:val="single" w:sz="4" w:space="0" w:color="auto"/>
            </w:tcBorders>
            <w:shd w:val="clear" w:color="auto" w:fill="auto"/>
            <w:noWrap/>
            <w:vAlign w:val="bottom"/>
            <w:hideMark/>
          </w:tcPr>
          <w:p w14:paraId="41415290"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Mean</w:t>
            </w:r>
          </w:p>
        </w:tc>
        <w:tc>
          <w:tcPr>
            <w:tcW w:w="717" w:type="dxa"/>
            <w:tcBorders>
              <w:top w:val="nil"/>
              <w:left w:val="nil"/>
              <w:bottom w:val="single" w:sz="4" w:space="0" w:color="auto"/>
              <w:right w:val="single" w:sz="4" w:space="0" w:color="auto"/>
            </w:tcBorders>
            <w:shd w:val="clear" w:color="auto" w:fill="auto"/>
            <w:noWrap/>
            <w:vAlign w:val="bottom"/>
            <w:hideMark/>
          </w:tcPr>
          <w:p w14:paraId="02094199"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SEM</w:t>
            </w:r>
          </w:p>
        </w:tc>
        <w:tc>
          <w:tcPr>
            <w:tcW w:w="440" w:type="dxa"/>
            <w:tcBorders>
              <w:top w:val="nil"/>
              <w:left w:val="nil"/>
              <w:bottom w:val="single" w:sz="4" w:space="0" w:color="auto"/>
              <w:right w:val="single" w:sz="4" w:space="0" w:color="auto"/>
            </w:tcBorders>
            <w:shd w:val="clear" w:color="auto" w:fill="auto"/>
            <w:noWrap/>
            <w:vAlign w:val="bottom"/>
            <w:hideMark/>
          </w:tcPr>
          <w:p w14:paraId="3826318C" w14:textId="77777777" w:rsidR="00AF7BD8" w:rsidRPr="00F87D91" w:rsidRDefault="00AF7BD8" w:rsidP="004B3868">
            <w:pPr>
              <w:spacing w:after="0" w:line="240" w:lineRule="auto"/>
              <w:jc w:val="center"/>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n</w:t>
            </w:r>
          </w:p>
        </w:tc>
      </w:tr>
      <w:tr w:rsidR="00AF7BD8" w:rsidRPr="00F87D91" w14:paraId="6396A31E"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4FEE5CEA" w14:textId="56CDA528"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FASN</w:t>
            </w:r>
            <w:r w:rsidR="003D47E1" w:rsidRPr="00F87D91">
              <w:rPr>
                <w:rFonts w:ascii="Times New Roman" w:eastAsia="Times New Roman" w:hAnsi="Times New Roman" w:cs="Times New Roman"/>
                <w:b/>
                <w:bCs/>
                <w:color w:val="000000"/>
                <w:lang w:val="en-US"/>
              </w:rPr>
              <w:t xml:space="preserve"> </w:t>
            </w:r>
            <w:r w:rsidRPr="00F87D91">
              <w:rPr>
                <w:rFonts w:ascii="Times New Roman" w:eastAsia="Times New Roman" w:hAnsi="Times New Roman" w:cs="Times New Roman"/>
                <w:b/>
                <w:bCs/>
                <w:color w:val="000000"/>
                <w:lang w:val="en-US"/>
              </w:rPr>
              <w:t>expression</w:t>
            </w:r>
            <w:r w:rsidR="003D47E1" w:rsidRPr="00F87D91">
              <w:rPr>
                <w:rFonts w:ascii="Times New Roman" w:eastAsia="Times New Roman" w:hAnsi="Times New Roman" w:cs="Times New Roman"/>
                <w:b/>
                <w:bCs/>
                <w:color w:val="000000"/>
                <w:lang w:val="en-US"/>
              </w:rPr>
              <w:t xml:space="preserve"> (normalized of TAF1)</w:t>
            </w:r>
          </w:p>
        </w:tc>
        <w:tc>
          <w:tcPr>
            <w:tcW w:w="1203" w:type="dxa"/>
            <w:tcBorders>
              <w:top w:val="nil"/>
              <w:left w:val="nil"/>
              <w:bottom w:val="single" w:sz="4" w:space="0" w:color="auto"/>
              <w:right w:val="single" w:sz="4" w:space="0" w:color="auto"/>
            </w:tcBorders>
            <w:shd w:val="clear" w:color="auto" w:fill="auto"/>
            <w:noWrap/>
            <w:vAlign w:val="bottom"/>
            <w:hideMark/>
          </w:tcPr>
          <w:p w14:paraId="066F5055" w14:textId="658C847D"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19,396</w:t>
            </w:r>
          </w:p>
        </w:tc>
        <w:tc>
          <w:tcPr>
            <w:tcW w:w="994" w:type="dxa"/>
            <w:tcBorders>
              <w:top w:val="nil"/>
              <w:left w:val="nil"/>
              <w:bottom w:val="single" w:sz="4" w:space="0" w:color="auto"/>
              <w:right w:val="single" w:sz="4" w:space="0" w:color="auto"/>
            </w:tcBorders>
            <w:shd w:val="clear" w:color="auto" w:fill="auto"/>
            <w:noWrap/>
            <w:vAlign w:val="bottom"/>
            <w:hideMark/>
          </w:tcPr>
          <w:p w14:paraId="77697FC1"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1,447</w:t>
            </w:r>
          </w:p>
        </w:tc>
        <w:tc>
          <w:tcPr>
            <w:tcW w:w="683" w:type="dxa"/>
            <w:tcBorders>
              <w:top w:val="nil"/>
              <w:left w:val="nil"/>
              <w:bottom w:val="single" w:sz="4" w:space="0" w:color="auto"/>
              <w:right w:val="single" w:sz="4" w:space="0" w:color="auto"/>
            </w:tcBorders>
            <w:shd w:val="clear" w:color="auto" w:fill="auto"/>
            <w:noWrap/>
            <w:vAlign w:val="bottom"/>
            <w:hideMark/>
          </w:tcPr>
          <w:p w14:paraId="2556F5C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141F345A"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2,501</w:t>
            </w:r>
          </w:p>
        </w:tc>
        <w:tc>
          <w:tcPr>
            <w:tcW w:w="620" w:type="dxa"/>
            <w:tcBorders>
              <w:top w:val="nil"/>
              <w:left w:val="nil"/>
              <w:bottom w:val="single" w:sz="4" w:space="0" w:color="auto"/>
              <w:right w:val="single" w:sz="4" w:space="0" w:color="auto"/>
            </w:tcBorders>
            <w:shd w:val="clear" w:color="auto" w:fill="auto"/>
            <w:noWrap/>
            <w:vAlign w:val="bottom"/>
            <w:hideMark/>
          </w:tcPr>
          <w:p w14:paraId="0C281380"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61</w:t>
            </w:r>
          </w:p>
        </w:tc>
        <w:tc>
          <w:tcPr>
            <w:tcW w:w="440" w:type="dxa"/>
            <w:tcBorders>
              <w:top w:val="nil"/>
              <w:left w:val="nil"/>
              <w:bottom w:val="single" w:sz="4" w:space="0" w:color="auto"/>
              <w:right w:val="single" w:sz="4" w:space="0" w:color="auto"/>
            </w:tcBorders>
            <w:shd w:val="clear" w:color="auto" w:fill="auto"/>
            <w:noWrap/>
            <w:vAlign w:val="bottom"/>
            <w:hideMark/>
          </w:tcPr>
          <w:p w14:paraId="7880CED1"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008B2669"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74,054</w:t>
            </w:r>
          </w:p>
        </w:tc>
        <w:tc>
          <w:tcPr>
            <w:tcW w:w="717" w:type="dxa"/>
            <w:tcBorders>
              <w:top w:val="nil"/>
              <w:left w:val="nil"/>
              <w:bottom w:val="single" w:sz="4" w:space="0" w:color="auto"/>
              <w:right w:val="single" w:sz="4" w:space="0" w:color="auto"/>
            </w:tcBorders>
            <w:shd w:val="clear" w:color="auto" w:fill="auto"/>
            <w:noWrap/>
            <w:vAlign w:val="bottom"/>
            <w:hideMark/>
          </w:tcPr>
          <w:p w14:paraId="754D2EA2"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1,070</w:t>
            </w:r>
          </w:p>
        </w:tc>
        <w:tc>
          <w:tcPr>
            <w:tcW w:w="440" w:type="dxa"/>
            <w:tcBorders>
              <w:top w:val="nil"/>
              <w:left w:val="nil"/>
              <w:bottom w:val="single" w:sz="4" w:space="0" w:color="auto"/>
              <w:right w:val="single" w:sz="4" w:space="0" w:color="auto"/>
            </w:tcBorders>
            <w:shd w:val="clear" w:color="auto" w:fill="auto"/>
            <w:noWrap/>
            <w:vAlign w:val="bottom"/>
            <w:hideMark/>
          </w:tcPr>
          <w:p w14:paraId="2D02E84D"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01EF7CAB"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24FCAB3D"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age (y)</w:t>
            </w:r>
          </w:p>
        </w:tc>
        <w:tc>
          <w:tcPr>
            <w:tcW w:w="1203" w:type="dxa"/>
            <w:tcBorders>
              <w:top w:val="nil"/>
              <w:left w:val="nil"/>
              <w:bottom w:val="single" w:sz="4" w:space="0" w:color="auto"/>
              <w:right w:val="single" w:sz="4" w:space="0" w:color="auto"/>
            </w:tcBorders>
            <w:shd w:val="clear" w:color="auto" w:fill="auto"/>
            <w:noWrap/>
            <w:vAlign w:val="bottom"/>
            <w:hideMark/>
          </w:tcPr>
          <w:p w14:paraId="0C4207DF"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55.1</w:t>
            </w:r>
          </w:p>
        </w:tc>
        <w:tc>
          <w:tcPr>
            <w:tcW w:w="994" w:type="dxa"/>
            <w:tcBorders>
              <w:top w:val="nil"/>
              <w:left w:val="nil"/>
              <w:bottom w:val="single" w:sz="4" w:space="0" w:color="auto"/>
              <w:right w:val="single" w:sz="4" w:space="0" w:color="auto"/>
            </w:tcBorders>
            <w:shd w:val="clear" w:color="auto" w:fill="auto"/>
            <w:noWrap/>
            <w:vAlign w:val="bottom"/>
            <w:hideMark/>
          </w:tcPr>
          <w:p w14:paraId="5C34BF2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1.2</w:t>
            </w:r>
          </w:p>
        </w:tc>
        <w:tc>
          <w:tcPr>
            <w:tcW w:w="683" w:type="dxa"/>
            <w:tcBorders>
              <w:top w:val="nil"/>
              <w:left w:val="nil"/>
              <w:bottom w:val="single" w:sz="4" w:space="0" w:color="auto"/>
              <w:right w:val="single" w:sz="4" w:space="0" w:color="auto"/>
            </w:tcBorders>
            <w:shd w:val="clear" w:color="auto" w:fill="auto"/>
            <w:noWrap/>
            <w:vAlign w:val="bottom"/>
            <w:hideMark/>
          </w:tcPr>
          <w:p w14:paraId="6E95ACB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7F0F736B"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56.8</w:t>
            </w:r>
          </w:p>
        </w:tc>
        <w:tc>
          <w:tcPr>
            <w:tcW w:w="620" w:type="dxa"/>
            <w:tcBorders>
              <w:top w:val="nil"/>
              <w:left w:val="nil"/>
              <w:bottom w:val="single" w:sz="4" w:space="0" w:color="auto"/>
              <w:right w:val="single" w:sz="4" w:space="0" w:color="auto"/>
            </w:tcBorders>
            <w:shd w:val="clear" w:color="auto" w:fill="auto"/>
            <w:noWrap/>
            <w:vAlign w:val="bottom"/>
            <w:hideMark/>
          </w:tcPr>
          <w:p w14:paraId="0ECBBDC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440" w:type="dxa"/>
            <w:tcBorders>
              <w:top w:val="nil"/>
              <w:left w:val="nil"/>
              <w:bottom w:val="single" w:sz="4" w:space="0" w:color="auto"/>
              <w:right w:val="single" w:sz="4" w:space="0" w:color="auto"/>
            </w:tcBorders>
            <w:shd w:val="clear" w:color="auto" w:fill="auto"/>
            <w:noWrap/>
            <w:vAlign w:val="bottom"/>
            <w:hideMark/>
          </w:tcPr>
          <w:p w14:paraId="393CDA35"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6E8BE557"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50.8</w:t>
            </w:r>
          </w:p>
        </w:tc>
        <w:tc>
          <w:tcPr>
            <w:tcW w:w="717" w:type="dxa"/>
            <w:tcBorders>
              <w:top w:val="nil"/>
              <w:left w:val="nil"/>
              <w:bottom w:val="single" w:sz="4" w:space="0" w:color="auto"/>
              <w:right w:val="single" w:sz="4" w:space="0" w:color="auto"/>
            </w:tcBorders>
            <w:shd w:val="clear" w:color="auto" w:fill="auto"/>
            <w:noWrap/>
            <w:vAlign w:val="bottom"/>
            <w:hideMark/>
          </w:tcPr>
          <w:p w14:paraId="07EA1C6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1.3</w:t>
            </w:r>
          </w:p>
        </w:tc>
        <w:tc>
          <w:tcPr>
            <w:tcW w:w="440" w:type="dxa"/>
            <w:tcBorders>
              <w:top w:val="nil"/>
              <w:left w:val="nil"/>
              <w:bottom w:val="single" w:sz="4" w:space="0" w:color="auto"/>
              <w:right w:val="single" w:sz="4" w:space="0" w:color="auto"/>
            </w:tcBorders>
            <w:shd w:val="clear" w:color="auto" w:fill="auto"/>
            <w:noWrap/>
            <w:vAlign w:val="bottom"/>
            <w:hideMark/>
          </w:tcPr>
          <w:p w14:paraId="3B4FDD7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7C984E7F"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5B8E5136"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BMI (kg/m2)</w:t>
            </w:r>
          </w:p>
        </w:tc>
        <w:tc>
          <w:tcPr>
            <w:tcW w:w="1203" w:type="dxa"/>
            <w:tcBorders>
              <w:top w:val="nil"/>
              <w:left w:val="nil"/>
              <w:bottom w:val="single" w:sz="4" w:space="0" w:color="auto"/>
              <w:right w:val="single" w:sz="4" w:space="0" w:color="auto"/>
            </w:tcBorders>
            <w:shd w:val="clear" w:color="auto" w:fill="auto"/>
            <w:noWrap/>
            <w:vAlign w:val="bottom"/>
            <w:hideMark/>
          </w:tcPr>
          <w:p w14:paraId="7DCE5B15"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37.3</w:t>
            </w:r>
          </w:p>
        </w:tc>
        <w:tc>
          <w:tcPr>
            <w:tcW w:w="994" w:type="dxa"/>
            <w:tcBorders>
              <w:top w:val="nil"/>
              <w:left w:val="nil"/>
              <w:bottom w:val="single" w:sz="4" w:space="0" w:color="auto"/>
              <w:right w:val="single" w:sz="4" w:space="0" w:color="auto"/>
            </w:tcBorders>
            <w:shd w:val="clear" w:color="auto" w:fill="auto"/>
            <w:noWrap/>
            <w:vAlign w:val="bottom"/>
            <w:hideMark/>
          </w:tcPr>
          <w:p w14:paraId="70893CFF"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1.2</w:t>
            </w:r>
          </w:p>
        </w:tc>
        <w:tc>
          <w:tcPr>
            <w:tcW w:w="683" w:type="dxa"/>
            <w:tcBorders>
              <w:top w:val="nil"/>
              <w:left w:val="nil"/>
              <w:bottom w:val="single" w:sz="4" w:space="0" w:color="auto"/>
              <w:right w:val="single" w:sz="4" w:space="0" w:color="auto"/>
            </w:tcBorders>
            <w:shd w:val="clear" w:color="auto" w:fill="auto"/>
            <w:noWrap/>
            <w:vAlign w:val="bottom"/>
            <w:hideMark/>
          </w:tcPr>
          <w:p w14:paraId="5BF5F2F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05765F46"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28.6</w:t>
            </w:r>
          </w:p>
        </w:tc>
        <w:tc>
          <w:tcPr>
            <w:tcW w:w="620" w:type="dxa"/>
            <w:tcBorders>
              <w:top w:val="nil"/>
              <w:left w:val="nil"/>
              <w:bottom w:val="single" w:sz="4" w:space="0" w:color="auto"/>
              <w:right w:val="single" w:sz="4" w:space="0" w:color="auto"/>
            </w:tcBorders>
            <w:shd w:val="clear" w:color="auto" w:fill="auto"/>
            <w:noWrap/>
            <w:vAlign w:val="bottom"/>
            <w:hideMark/>
          </w:tcPr>
          <w:p w14:paraId="2931B1BC"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0.5</w:t>
            </w:r>
          </w:p>
        </w:tc>
        <w:tc>
          <w:tcPr>
            <w:tcW w:w="440" w:type="dxa"/>
            <w:tcBorders>
              <w:top w:val="nil"/>
              <w:left w:val="nil"/>
              <w:bottom w:val="single" w:sz="4" w:space="0" w:color="auto"/>
              <w:right w:val="single" w:sz="4" w:space="0" w:color="auto"/>
            </w:tcBorders>
            <w:shd w:val="clear" w:color="auto" w:fill="auto"/>
            <w:noWrap/>
            <w:vAlign w:val="bottom"/>
            <w:hideMark/>
          </w:tcPr>
          <w:p w14:paraId="727C40B3"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23CB1734"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51.0</w:t>
            </w:r>
          </w:p>
        </w:tc>
        <w:tc>
          <w:tcPr>
            <w:tcW w:w="717" w:type="dxa"/>
            <w:tcBorders>
              <w:top w:val="nil"/>
              <w:left w:val="nil"/>
              <w:bottom w:val="single" w:sz="4" w:space="0" w:color="auto"/>
              <w:right w:val="single" w:sz="4" w:space="0" w:color="auto"/>
            </w:tcBorders>
            <w:shd w:val="clear" w:color="auto" w:fill="auto"/>
            <w:noWrap/>
            <w:vAlign w:val="bottom"/>
            <w:hideMark/>
          </w:tcPr>
          <w:p w14:paraId="4145E940"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1.1</w:t>
            </w:r>
          </w:p>
        </w:tc>
        <w:tc>
          <w:tcPr>
            <w:tcW w:w="440" w:type="dxa"/>
            <w:tcBorders>
              <w:top w:val="nil"/>
              <w:left w:val="nil"/>
              <w:bottom w:val="single" w:sz="4" w:space="0" w:color="auto"/>
              <w:right w:val="single" w:sz="4" w:space="0" w:color="auto"/>
            </w:tcBorders>
            <w:shd w:val="clear" w:color="auto" w:fill="auto"/>
            <w:noWrap/>
            <w:vAlign w:val="bottom"/>
            <w:hideMark/>
          </w:tcPr>
          <w:p w14:paraId="32122168"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6FC7F775"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7A08556B"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ALT (U/l)</w:t>
            </w:r>
          </w:p>
        </w:tc>
        <w:tc>
          <w:tcPr>
            <w:tcW w:w="1203" w:type="dxa"/>
            <w:tcBorders>
              <w:top w:val="nil"/>
              <w:left w:val="nil"/>
              <w:bottom w:val="single" w:sz="4" w:space="0" w:color="auto"/>
              <w:right w:val="single" w:sz="4" w:space="0" w:color="auto"/>
            </w:tcBorders>
            <w:shd w:val="clear" w:color="auto" w:fill="auto"/>
            <w:noWrap/>
            <w:vAlign w:val="bottom"/>
            <w:hideMark/>
          </w:tcPr>
          <w:p w14:paraId="2CC1F0AB"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41</w:t>
            </w:r>
          </w:p>
        </w:tc>
        <w:tc>
          <w:tcPr>
            <w:tcW w:w="994" w:type="dxa"/>
            <w:tcBorders>
              <w:top w:val="nil"/>
              <w:left w:val="nil"/>
              <w:bottom w:val="single" w:sz="4" w:space="0" w:color="auto"/>
              <w:right w:val="single" w:sz="4" w:space="0" w:color="auto"/>
            </w:tcBorders>
            <w:shd w:val="clear" w:color="auto" w:fill="auto"/>
            <w:noWrap/>
            <w:vAlign w:val="bottom"/>
            <w:hideMark/>
          </w:tcPr>
          <w:p w14:paraId="273AA145"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5</w:t>
            </w:r>
          </w:p>
        </w:tc>
        <w:tc>
          <w:tcPr>
            <w:tcW w:w="683" w:type="dxa"/>
            <w:tcBorders>
              <w:top w:val="nil"/>
              <w:left w:val="nil"/>
              <w:bottom w:val="single" w:sz="4" w:space="0" w:color="auto"/>
              <w:right w:val="single" w:sz="4" w:space="0" w:color="auto"/>
            </w:tcBorders>
            <w:shd w:val="clear" w:color="auto" w:fill="auto"/>
            <w:noWrap/>
            <w:vAlign w:val="bottom"/>
            <w:hideMark/>
          </w:tcPr>
          <w:p w14:paraId="0F49A30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156</w:t>
            </w:r>
          </w:p>
        </w:tc>
        <w:tc>
          <w:tcPr>
            <w:tcW w:w="746" w:type="dxa"/>
            <w:tcBorders>
              <w:top w:val="nil"/>
              <w:left w:val="nil"/>
              <w:bottom w:val="single" w:sz="4" w:space="0" w:color="auto"/>
              <w:right w:val="single" w:sz="4" w:space="0" w:color="auto"/>
            </w:tcBorders>
            <w:shd w:val="clear" w:color="auto" w:fill="auto"/>
            <w:noWrap/>
            <w:vAlign w:val="bottom"/>
            <w:hideMark/>
          </w:tcPr>
          <w:p w14:paraId="1700A1B5"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25</w:t>
            </w:r>
          </w:p>
        </w:tc>
        <w:tc>
          <w:tcPr>
            <w:tcW w:w="620" w:type="dxa"/>
            <w:tcBorders>
              <w:top w:val="nil"/>
              <w:left w:val="nil"/>
              <w:bottom w:val="single" w:sz="4" w:space="0" w:color="auto"/>
              <w:right w:val="single" w:sz="4" w:space="0" w:color="auto"/>
            </w:tcBorders>
            <w:shd w:val="clear" w:color="auto" w:fill="auto"/>
            <w:noWrap/>
            <w:vAlign w:val="bottom"/>
            <w:hideMark/>
          </w:tcPr>
          <w:p w14:paraId="0E4865E3"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w:t>
            </w:r>
          </w:p>
        </w:tc>
        <w:tc>
          <w:tcPr>
            <w:tcW w:w="440" w:type="dxa"/>
            <w:tcBorders>
              <w:top w:val="nil"/>
              <w:left w:val="nil"/>
              <w:bottom w:val="single" w:sz="4" w:space="0" w:color="auto"/>
              <w:right w:val="single" w:sz="4" w:space="0" w:color="auto"/>
            </w:tcBorders>
            <w:shd w:val="clear" w:color="auto" w:fill="auto"/>
            <w:noWrap/>
            <w:vAlign w:val="bottom"/>
            <w:hideMark/>
          </w:tcPr>
          <w:p w14:paraId="0A7973BC"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7059A499"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40</w:t>
            </w:r>
          </w:p>
        </w:tc>
        <w:tc>
          <w:tcPr>
            <w:tcW w:w="717" w:type="dxa"/>
            <w:tcBorders>
              <w:top w:val="nil"/>
              <w:left w:val="nil"/>
              <w:bottom w:val="single" w:sz="4" w:space="0" w:color="auto"/>
              <w:right w:val="single" w:sz="4" w:space="0" w:color="auto"/>
            </w:tcBorders>
            <w:shd w:val="clear" w:color="auto" w:fill="auto"/>
            <w:noWrap/>
            <w:vAlign w:val="bottom"/>
            <w:hideMark/>
          </w:tcPr>
          <w:p w14:paraId="3A0C6F5A"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2</w:t>
            </w:r>
          </w:p>
        </w:tc>
        <w:tc>
          <w:tcPr>
            <w:tcW w:w="440" w:type="dxa"/>
            <w:tcBorders>
              <w:top w:val="nil"/>
              <w:left w:val="nil"/>
              <w:bottom w:val="single" w:sz="4" w:space="0" w:color="auto"/>
              <w:right w:val="single" w:sz="4" w:space="0" w:color="auto"/>
            </w:tcBorders>
            <w:shd w:val="clear" w:color="auto" w:fill="auto"/>
            <w:noWrap/>
            <w:vAlign w:val="bottom"/>
            <w:hideMark/>
          </w:tcPr>
          <w:p w14:paraId="0A18AD96"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0C3D9CEF"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656D2489"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AST (U/l)</w:t>
            </w:r>
          </w:p>
        </w:tc>
        <w:tc>
          <w:tcPr>
            <w:tcW w:w="1203" w:type="dxa"/>
            <w:tcBorders>
              <w:top w:val="nil"/>
              <w:left w:val="nil"/>
              <w:bottom w:val="single" w:sz="4" w:space="0" w:color="auto"/>
              <w:right w:val="single" w:sz="4" w:space="0" w:color="auto"/>
            </w:tcBorders>
            <w:shd w:val="clear" w:color="auto" w:fill="auto"/>
            <w:noWrap/>
            <w:vAlign w:val="bottom"/>
            <w:hideMark/>
          </w:tcPr>
          <w:p w14:paraId="271F7E4D"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30</w:t>
            </w:r>
          </w:p>
        </w:tc>
        <w:tc>
          <w:tcPr>
            <w:tcW w:w="994" w:type="dxa"/>
            <w:tcBorders>
              <w:top w:val="nil"/>
              <w:left w:val="nil"/>
              <w:bottom w:val="single" w:sz="4" w:space="0" w:color="auto"/>
              <w:right w:val="single" w:sz="4" w:space="0" w:color="auto"/>
            </w:tcBorders>
            <w:shd w:val="clear" w:color="auto" w:fill="auto"/>
            <w:noWrap/>
            <w:vAlign w:val="bottom"/>
            <w:hideMark/>
          </w:tcPr>
          <w:p w14:paraId="7E3D2457"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3</w:t>
            </w:r>
          </w:p>
        </w:tc>
        <w:tc>
          <w:tcPr>
            <w:tcW w:w="683" w:type="dxa"/>
            <w:tcBorders>
              <w:top w:val="nil"/>
              <w:left w:val="nil"/>
              <w:bottom w:val="single" w:sz="4" w:space="0" w:color="auto"/>
              <w:right w:val="single" w:sz="4" w:space="0" w:color="auto"/>
            </w:tcBorders>
            <w:shd w:val="clear" w:color="auto" w:fill="auto"/>
            <w:noWrap/>
            <w:vAlign w:val="bottom"/>
            <w:hideMark/>
          </w:tcPr>
          <w:p w14:paraId="0AA80BAE"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6BD4BF3E"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24</w:t>
            </w:r>
          </w:p>
        </w:tc>
        <w:tc>
          <w:tcPr>
            <w:tcW w:w="620" w:type="dxa"/>
            <w:tcBorders>
              <w:top w:val="nil"/>
              <w:left w:val="nil"/>
              <w:bottom w:val="single" w:sz="4" w:space="0" w:color="auto"/>
              <w:right w:val="single" w:sz="4" w:space="0" w:color="auto"/>
            </w:tcBorders>
            <w:shd w:val="clear" w:color="auto" w:fill="auto"/>
            <w:noWrap/>
            <w:vAlign w:val="bottom"/>
            <w:hideMark/>
          </w:tcPr>
          <w:p w14:paraId="5BB98DB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0</w:t>
            </w:r>
          </w:p>
        </w:tc>
        <w:tc>
          <w:tcPr>
            <w:tcW w:w="440" w:type="dxa"/>
            <w:tcBorders>
              <w:top w:val="nil"/>
              <w:left w:val="nil"/>
              <w:bottom w:val="single" w:sz="4" w:space="0" w:color="auto"/>
              <w:right w:val="single" w:sz="4" w:space="0" w:color="auto"/>
            </w:tcBorders>
            <w:shd w:val="clear" w:color="auto" w:fill="auto"/>
            <w:noWrap/>
            <w:vAlign w:val="bottom"/>
            <w:hideMark/>
          </w:tcPr>
          <w:p w14:paraId="787F2176"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4033A69A"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31</w:t>
            </w:r>
          </w:p>
        </w:tc>
        <w:tc>
          <w:tcPr>
            <w:tcW w:w="717" w:type="dxa"/>
            <w:tcBorders>
              <w:top w:val="nil"/>
              <w:left w:val="nil"/>
              <w:bottom w:val="single" w:sz="4" w:space="0" w:color="auto"/>
              <w:right w:val="single" w:sz="4" w:space="0" w:color="auto"/>
            </w:tcBorders>
            <w:shd w:val="clear" w:color="auto" w:fill="auto"/>
            <w:noWrap/>
            <w:vAlign w:val="bottom"/>
            <w:hideMark/>
          </w:tcPr>
          <w:p w14:paraId="188B29CE"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w:t>
            </w:r>
          </w:p>
        </w:tc>
        <w:tc>
          <w:tcPr>
            <w:tcW w:w="440" w:type="dxa"/>
            <w:tcBorders>
              <w:top w:val="nil"/>
              <w:left w:val="nil"/>
              <w:bottom w:val="single" w:sz="4" w:space="0" w:color="auto"/>
              <w:right w:val="single" w:sz="4" w:space="0" w:color="auto"/>
            </w:tcBorders>
            <w:shd w:val="clear" w:color="auto" w:fill="auto"/>
            <w:noWrap/>
            <w:vAlign w:val="bottom"/>
            <w:hideMark/>
          </w:tcPr>
          <w:p w14:paraId="2DCF7EB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56E01F87"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32BA3DDD"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Glucose (mg/dl)</w:t>
            </w:r>
          </w:p>
        </w:tc>
        <w:tc>
          <w:tcPr>
            <w:tcW w:w="1203" w:type="dxa"/>
            <w:tcBorders>
              <w:top w:val="nil"/>
              <w:left w:val="nil"/>
              <w:bottom w:val="single" w:sz="4" w:space="0" w:color="auto"/>
              <w:right w:val="single" w:sz="4" w:space="0" w:color="auto"/>
            </w:tcBorders>
            <w:shd w:val="clear" w:color="auto" w:fill="auto"/>
            <w:noWrap/>
            <w:vAlign w:val="bottom"/>
            <w:hideMark/>
          </w:tcPr>
          <w:p w14:paraId="2DE4143D"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110</w:t>
            </w:r>
          </w:p>
        </w:tc>
        <w:tc>
          <w:tcPr>
            <w:tcW w:w="994" w:type="dxa"/>
            <w:tcBorders>
              <w:top w:val="nil"/>
              <w:left w:val="nil"/>
              <w:bottom w:val="single" w:sz="4" w:space="0" w:color="auto"/>
              <w:right w:val="single" w:sz="4" w:space="0" w:color="auto"/>
            </w:tcBorders>
            <w:shd w:val="clear" w:color="auto" w:fill="auto"/>
            <w:noWrap/>
            <w:vAlign w:val="bottom"/>
            <w:hideMark/>
          </w:tcPr>
          <w:p w14:paraId="21E9308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3</w:t>
            </w:r>
          </w:p>
        </w:tc>
        <w:tc>
          <w:tcPr>
            <w:tcW w:w="683" w:type="dxa"/>
            <w:tcBorders>
              <w:top w:val="nil"/>
              <w:left w:val="nil"/>
              <w:bottom w:val="single" w:sz="4" w:space="0" w:color="auto"/>
              <w:right w:val="single" w:sz="4" w:space="0" w:color="auto"/>
            </w:tcBorders>
            <w:shd w:val="clear" w:color="auto" w:fill="auto"/>
            <w:noWrap/>
            <w:vAlign w:val="bottom"/>
            <w:hideMark/>
          </w:tcPr>
          <w:p w14:paraId="09F809CF"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152</w:t>
            </w:r>
          </w:p>
        </w:tc>
        <w:tc>
          <w:tcPr>
            <w:tcW w:w="746" w:type="dxa"/>
            <w:tcBorders>
              <w:top w:val="nil"/>
              <w:left w:val="nil"/>
              <w:bottom w:val="single" w:sz="4" w:space="0" w:color="auto"/>
              <w:right w:val="single" w:sz="4" w:space="0" w:color="auto"/>
            </w:tcBorders>
            <w:shd w:val="clear" w:color="auto" w:fill="auto"/>
            <w:noWrap/>
            <w:vAlign w:val="bottom"/>
            <w:hideMark/>
          </w:tcPr>
          <w:p w14:paraId="0B9CFE5A"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84</w:t>
            </w:r>
          </w:p>
        </w:tc>
        <w:tc>
          <w:tcPr>
            <w:tcW w:w="620" w:type="dxa"/>
            <w:tcBorders>
              <w:top w:val="nil"/>
              <w:left w:val="nil"/>
              <w:bottom w:val="single" w:sz="4" w:space="0" w:color="auto"/>
              <w:right w:val="single" w:sz="4" w:space="0" w:color="auto"/>
            </w:tcBorders>
            <w:shd w:val="clear" w:color="auto" w:fill="auto"/>
            <w:noWrap/>
            <w:vAlign w:val="bottom"/>
            <w:hideMark/>
          </w:tcPr>
          <w:p w14:paraId="20D6865C"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2</w:t>
            </w:r>
          </w:p>
        </w:tc>
        <w:tc>
          <w:tcPr>
            <w:tcW w:w="440" w:type="dxa"/>
            <w:tcBorders>
              <w:top w:val="nil"/>
              <w:left w:val="nil"/>
              <w:bottom w:val="single" w:sz="4" w:space="0" w:color="auto"/>
              <w:right w:val="single" w:sz="4" w:space="0" w:color="auto"/>
            </w:tcBorders>
            <w:shd w:val="clear" w:color="auto" w:fill="auto"/>
            <w:noWrap/>
            <w:vAlign w:val="bottom"/>
            <w:hideMark/>
          </w:tcPr>
          <w:p w14:paraId="60ED2BB8"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05B329CF"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139</w:t>
            </w:r>
          </w:p>
        </w:tc>
        <w:tc>
          <w:tcPr>
            <w:tcW w:w="717" w:type="dxa"/>
            <w:tcBorders>
              <w:top w:val="nil"/>
              <w:left w:val="nil"/>
              <w:bottom w:val="single" w:sz="4" w:space="0" w:color="auto"/>
              <w:right w:val="single" w:sz="4" w:space="0" w:color="auto"/>
            </w:tcBorders>
            <w:shd w:val="clear" w:color="auto" w:fill="auto"/>
            <w:noWrap/>
            <w:vAlign w:val="bottom"/>
            <w:hideMark/>
          </w:tcPr>
          <w:p w14:paraId="45579642"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5</w:t>
            </w:r>
          </w:p>
        </w:tc>
        <w:tc>
          <w:tcPr>
            <w:tcW w:w="440" w:type="dxa"/>
            <w:tcBorders>
              <w:top w:val="nil"/>
              <w:left w:val="nil"/>
              <w:bottom w:val="single" w:sz="4" w:space="0" w:color="auto"/>
              <w:right w:val="single" w:sz="4" w:space="0" w:color="auto"/>
            </w:tcBorders>
            <w:shd w:val="clear" w:color="auto" w:fill="auto"/>
            <w:noWrap/>
            <w:vAlign w:val="bottom"/>
            <w:hideMark/>
          </w:tcPr>
          <w:p w14:paraId="4C2C3453"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26AF12DE"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6F2673E7"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HbA1 (%)</w:t>
            </w:r>
          </w:p>
        </w:tc>
        <w:tc>
          <w:tcPr>
            <w:tcW w:w="1203" w:type="dxa"/>
            <w:tcBorders>
              <w:top w:val="nil"/>
              <w:left w:val="nil"/>
              <w:bottom w:val="single" w:sz="4" w:space="0" w:color="auto"/>
              <w:right w:val="single" w:sz="4" w:space="0" w:color="auto"/>
            </w:tcBorders>
            <w:shd w:val="clear" w:color="auto" w:fill="auto"/>
            <w:noWrap/>
            <w:vAlign w:val="bottom"/>
            <w:hideMark/>
          </w:tcPr>
          <w:p w14:paraId="31395A68"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6.0</w:t>
            </w:r>
          </w:p>
        </w:tc>
        <w:tc>
          <w:tcPr>
            <w:tcW w:w="994" w:type="dxa"/>
            <w:tcBorders>
              <w:top w:val="nil"/>
              <w:left w:val="nil"/>
              <w:bottom w:val="single" w:sz="4" w:space="0" w:color="auto"/>
              <w:right w:val="single" w:sz="4" w:space="0" w:color="auto"/>
            </w:tcBorders>
            <w:shd w:val="clear" w:color="auto" w:fill="auto"/>
            <w:noWrap/>
            <w:vAlign w:val="bottom"/>
            <w:hideMark/>
          </w:tcPr>
          <w:p w14:paraId="004E1A6E"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0.1</w:t>
            </w:r>
          </w:p>
        </w:tc>
        <w:tc>
          <w:tcPr>
            <w:tcW w:w="683" w:type="dxa"/>
            <w:tcBorders>
              <w:top w:val="nil"/>
              <w:left w:val="nil"/>
              <w:bottom w:val="single" w:sz="4" w:space="0" w:color="auto"/>
              <w:right w:val="single" w:sz="4" w:space="0" w:color="auto"/>
            </w:tcBorders>
            <w:shd w:val="clear" w:color="auto" w:fill="auto"/>
            <w:noWrap/>
            <w:vAlign w:val="bottom"/>
            <w:hideMark/>
          </w:tcPr>
          <w:p w14:paraId="4F58AED9"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152</w:t>
            </w:r>
          </w:p>
        </w:tc>
        <w:tc>
          <w:tcPr>
            <w:tcW w:w="746" w:type="dxa"/>
            <w:tcBorders>
              <w:top w:val="nil"/>
              <w:left w:val="nil"/>
              <w:bottom w:val="single" w:sz="4" w:space="0" w:color="auto"/>
              <w:right w:val="single" w:sz="4" w:space="0" w:color="auto"/>
            </w:tcBorders>
            <w:shd w:val="clear" w:color="auto" w:fill="auto"/>
            <w:noWrap/>
            <w:vAlign w:val="bottom"/>
            <w:hideMark/>
          </w:tcPr>
          <w:p w14:paraId="1838A037"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5.7</w:t>
            </w:r>
          </w:p>
        </w:tc>
        <w:tc>
          <w:tcPr>
            <w:tcW w:w="620" w:type="dxa"/>
            <w:tcBorders>
              <w:top w:val="nil"/>
              <w:left w:val="nil"/>
              <w:bottom w:val="single" w:sz="4" w:space="0" w:color="auto"/>
              <w:right w:val="single" w:sz="4" w:space="0" w:color="auto"/>
            </w:tcBorders>
            <w:shd w:val="clear" w:color="auto" w:fill="auto"/>
            <w:noWrap/>
            <w:vAlign w:val="bottom"/>
            <w:hideMark/>
          </w:tcPr>
          <w:p w14:paraId="4F6716A0"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0.0</w:t>
            </w:r>
          </w:p>
        </w:tc>
        <w:tc>
          <w:tcPr>
            <w:tcW w:w="440" w:type="dxa"/>
            <w:tcBorders>
              <w:top w:val="nil"/>
              <w:left w:val="nil"/>
              <w:bottom w:val="single" w:sz="4" w:space="0" w:color="auto"/>
              <w:right w:val="single" w:sz="4" w:space="0" w:color="auto"/>
            </w:tcBorders>
            <w:shd w:val="clear" w:color="auto" w:fill="auto"/>
            <w:noWrap/>
            <w:vAlign w:val="bottom"/>
            <w:hideMark/>
          </w:tcPr>
          <w:p w14:paraId="40DBDE41"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4DEA2D31"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7.2</w:t>
            </w:r>
          </w:p>
        </w:tc>
        <w:tc>
          <w:tcPr>
            <w:tcW w:w="717" w:type="dxa"/>
            <w:tcBorders>
              <w:top w:val="nil"/>
              <w:left w:val="nil"/>
              <w:bottom w:val="single" w:sz="4" w:space="0" w:color="auto"/>
              <w:right w:val="single" w:sz="4" w:space="0" w:color="auto"/>
            </w:tcBorders>
            <w:shd w:val="clear" w:color="auto" w:fill="auto"/>
            <w:noWrap/>
            <w:vAlign w:val="bottom"/>
            <w:hideMark/>
          </w:tcPr>
          <w:p w14:paraId="2BD498E1"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0.2</w:t>
            </w:r>
          </w:p>
        </w:tc>
        <w:tc>
          <w:tcPr>
            <w:tcW w:w="440" w:type="dxa"/>
            <w:tcBorders>
              <w:top w:val="nil"/>
              <w:left w:val="nil"/>
              <w:bottom w:val="single" w:sz="4" w:space="0" w:color="auto"/>
              <w:right w:val="single" w:sz="4" w:space="0" w:color="auto"/>
            </w:tcBorders>
            <w:shd w:val="clear" w:color="auto" w:fill="auto"/>
            <w:noWrap/>
            <w:vAlign w:val="bottom"/>
            <w:hideMark/>
          </w:tcPr>
          <w:p w14:paraId="15F9AEAE"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564B6EC6"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25739755"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Insulin (ng/ml)</w:t>
            </w:r>
          </w:p>
        </w:tc>
        <w:tc>
          <w:tcPr>
            <w:tcW w:w="1203" w:type="dxa"/>
            <w:tcBorders>
              <w:top w:val="nil"/>
              <w:left w:val="nil"/>
              <w:bottom w:val="single" w:sz="4" w:space="0" w:color="auto"/>
              <w:right w:val="single" w:sz="4" w:space="0" w:color="auto"/>
            </w:tcBorders>
            <w:shd w:val="clear" w:color="auto" w:fill="auto"/>
            <w:noWrap/>
            <w:vAlign w:val="bottom"/>
            <w:hideMark/>
          </w:tcPr>
          <w:p w14:paraId="5E8152B2"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17.2</w:t>
            </w:r>
          </w:p>
        </w:tc>
        <w:tc>
          <w:tcPr>
            <w:tcW w:w="994" w:type="dxa"/>
            <w:tcBorders>
              <w:top w:val="nil"/>
              <w:left w:val="nil"/>
              <w:bottom w:val="single" w:sz="4" w:space="0" w:color="auto"/>
              <w:right w:val="single" w:sz="4" w:space="0" w:color="auto"/>
            </w:tcBorders>
            <w:shd w:val="clear" w:color="auto" w:fill="auto"/>
            <w:noWrap/>
            <w:vAlign w:val="bottom"/>
            <w:hideMark/>
          </w:tcPr>
          <w:p w14:paraId="224E670F"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1.6</w:t>
            </w:r>
          </w:p>
        </w:tc>
        <w:tc>
          <w:tcPr>
            <w:tcW w:w="683" w:type="dxa"/>
            <w:tcBorders>
              <w:top w:val="nil"/>
              <w:left w:val="nil"/>
              <w:bottom w:val="single" w:sz="4" w:space="0" w:color="auto"/>
              <w:right w:val="single" w:sz="4" w:space="0" w:color="auto"/>
            </w:tcBorders>
            <w:shd w:val="clear" w:color="auto" w:fill="auto"/>
            <w:noWrap/>
            <w:vAlign w:val="bottom"/>
            <w:hideMark/>
          </w:tcPr>
          <w:p w14:paraId="34D46F9C"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146</w:t>
            </w:r>
          </w:p>
        </w:tc>
        <w:tc>
          <w:tcPr>
            <w:tcW w:w="746" w:type="dxa"/>
            <w:tcBorders>
              <w:top w:val="nil"/>
              <w:left w:val="nil"/>
              <w:bottom w:val="single" w:sz="4" w:space="0" w:color="auto"/>
              <w:right w:val="single" w:sz="4" w:space="0" w:color="auto"/>
            </w:tcBorders>
            <w:shd w:val="clear" w:color="auto" w:fill="auto"/>
            <w:noWrap/>
            <w:vAlign w:val="bottom"/>
            <w:hideMark/>
          </w:tcPr>
          <w:p w14:paraId="54CA803F"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5.2</w:t>
            </w:r>
          </w:p>
        </w:tc>
        <w:tc>
          <w:tcPr>
            <w:tcW w:w="620" w:type="dxa"/>
            <w:tcBorders>
              <w:top w:val="nil"/>
              <w:left w:val="nil"/>
              <w:bottom w:val="single" w:sz="4" w:space="0" w:color="auto"/>
              <w:right w:val="single" w:sz="4" w:space="0" w:color="auto"/>
            </w:tcBorders>
            <w:shd w:val="clear" w:color="auto" w:fill="auto"/>
            <w:noWrap/>
            <w:vAlign w:val="bottom"/>
            <w:hideMark/>
          </w:tcPr>
          <w:p w14:paraId="77A6E326"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0.3</w:t>
            </w:r>
          </w:p>
        </w:tc>
        <w:tc>
          <w:tcPr>
            <w:tcW w:w="440" w:type="dxa"/>
            <w:tcBorders>
              <w:top w:val="nil"/>
              <w:left w:val="nil"/>
              <w:bottom w:val="single" w:sz="4" w:space="0" w:color="auto"/>
              <w:right w:val="single" w:sz="4" w:space="0" w:color="auto"/>
            </w:tcBorders>
            <w:shd w:val="clear" w:color="auto" w:fill="auto"/>
            <w:noWrap/>
            <w:vAlign w:val="bottom"/>
            <w:hideMark/>
          </w:tcPr>
          <w:p w14:paraId="58652915"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3BE5E345"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24.1</w:t>
            </w:r>
          </w:p>
        </w:tc>
        <w:tc>
          <w:tcPr>
            <w:tcW w:w="717" w:type="dxa"/>
            <w:tcBorders>
              <w:top w:val="nil"/>
              <w:left w:val="nil"/>
              <w:bottom w:val="single" w:sz="4" w:space="0" w:color="auto"/>
              <w:right w:val="single" w:sz="4" w:space="0" w:color="auto"/>
            </w:tcBorders>
            <w:shd w:val="clear" w:color="auto" w:fill="auto"/>
            <w:noWrap/>
            <w:vAlign w:val="bottom"/>
            <w:hideMark/>
          </w:tcPr>
          <w:p w14:paraId="7D4CA355"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w:t>
            </w:r>
          </w:p>
        </w:tc>
        <w:tc>
          <w:tcPr>
            <w:tcW w:w="440" w:type="dxa"/>
            <w:tcBorders>
              <w:top w:val="nil"/>
              <w:left w:val="nil"/>
              <w:bottom w:val="single" w:sz="4" w:space="0" w:color="auto"/>
              <w:right w:val="single" w:sz="4" w:space="0" w:color="auto"/>
            </w:tcBorders>
            <w:shd w:val="clear" w:color="auto" w:fill="auto"/>
            <w:noWrap/>
            <w:vAlign w:val="bottom"/>
            <w:hideMark/>
          </w:tcPr>
          <w:p w14:paraId="0022E8D9"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093A92F7"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26E586A3"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Chol (mg/dl)</w:t>
            </w:r>
          </w:p>
        </w:tc>
        <w:tc>
          <w:tcPr>
            <w:tcW w:w="1203" w:type="dxa"/>
            <w:tcBorders>
              <w:top w:val="nil"/>
              <w:left w:val="nil"/>
              <w:bottom w:val="single" w:sz="4" w:space="0" w:color="auto"/>
              <w:right w:val="single" w:sz="4" w:space="0" w:color="auto"/>
            </w:tcBorders>
            <w:shd w:val="clear" w:color="auto" w:fill="auto"/>
            <w:noWrap/>
            <w:vAlign w:val="bottom"/>
            <w:hideMark/>
          </w:tcPr>
          <w:p w14:paraId="4E6AE1DF"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188</w:t>
            </w:r>
          </w:p>
        </w:tc>
        <w:tc>
          <w:tcPr>
            <w:tcW w:w="994" w:type="dxa"/>
            <w:tcBorders>
              <w:top w:val="nil"/>
              <w:left w:val="nil"/>
              <w:bottom w:val="single" w:sz="4" w:space="0" w:color="auto"/>
              <w:right w:val="single" w:sz="4" w:space="0" w:color="auto"/>
            </w:tcBorders>
            <w:shd w:val="clear" w:color="auto" w:fill="auto"/>
            <w:noWrap/>
            <w:vAlign w:val="bottom"/>
            <w:hideMark/>
          </w:tcPr>
          <w:p w14:paraId="75680CDD"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3</w:t>
            </w:r>
          </w:p>
        </w:tc>
        <w:tc>
          <w:tcPr>
            <w:tcW w:w="683" w:type="dxa"/>
            <w:tcBorders>
              <w:top w:val="nil"/>
              <w:left w:val="nil"/>
              <w:bottom w:val="single" w:sz="4" w:space="0" w:color="auto"/>
              <w:right w:val="single" w:sz="4" w:space="0" w:color="auto"/>
            </w:tcBorders>
            <w:shd w:val="clear" w:color="auto" w:fill="auto"/>
            <w:noWrap/>
            <w:vAlign w:val="bottom"/>
            <w:hideMark/>
          </w:tcPr>
          <w:p w14:paraId="33C266D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43F0C10A"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187</w:t>
            </w:r>
          </w:p>
        </w:tc>
        <w:tc>
          <w:tcPr>
            <w:tcW w:w="620" w:type="dxa"/>
            <w:tcBorders>
              <w:top w:val="nil"/>
              <w:left w:val="nil"/>
              <w:bottom w:val="single" w:sz="4" w:space="0" w:color="auto"/>
              <w:right w:val="single" w:sz="4" w:space="0" w:color="auto"/>
            </w:tcBorders>
            <w:shd w:val="clear" w:color="auto" w:fill="auto"/>
            <w:noWrap/>
            <w:vAlign w:val="bottom"/>
            <w:hideMark/>
          </w:tcPr>
          <w:p w14:paraId="062A828A"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2</w:t>
            </w:r>
          </w:p>
        </w:tc>
        <w:tc>
          <w:tcPr>
            <w:tcW w:w="440" w:type="dxa"/>
            <w:tcBorders>
              <w:top w:val="nil"/>
              <w:left w:val="nil"/>
              <w:bottom w:val="single" w:sz="4" w:space="0" w:color="auto"/>
              <w:right w:val="single" w:sz="4" w:space="0" w:color="auto"/>
            </w:tcBorders>
            <w:shd w:val="clear" w:color="auto" w:fill="auto"/>
            <w:noWrap/>
            <w:vAlign w:val="bottom"/>
            <w:hideMark/>
          </w:tcPr>
          <w:p w14:paraId="27DE9CCF"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22327F47"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181</w:t>
            </w:r>
          </w:p>
        </w:tc>
        <w:tc>
          <w:tcPr>
            <w:tcW w:w="717" w:type="dxa"/>
            <w:tcBorders>
              <w:top w:val="nil"/>
              <w:left w:val="nil"/>
              <w:bottom w:val="single" w:sz="4" w:space="0" w:color="auto"/>
              <w:right w:val="single" w:sz="4" w:space="0" w:color="auto"/>
            </w:tcBorders>
            <w:shd w:val="clear" w:color="auto" w:fill="auto"/>
            <w:noWrap/>
            <w:vAlign w:val="bottom"/>
            <w:hideMark/>
          </w:tcPr>
          <w:p w14:paraId="0649849D"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3</w:t>
            </w:r>
          </w:p>
        </w:tc>
        <w:tc>
          <w:tcPr>
            <w:tcW w:w="440" w:type="dxa"/>
            <w:tcBorders>
              <w:top w:val="nil"/>
              <w:left w:val="nil"/>
              <w:bottom w:val="single" w:sz="4" w:space="0" w:color="auto"/>
              <w:right w:val="single" w:sz="4" w:space="0" w:color="auto"/>
            </w:tcBorders>
            <w:shd w:val="clear" w:color="auto" w:fill="auto"/>
            <w:noWrap/>
            <w:vAlign w:val="bottom"/>
            <w:hideMark/>
          </w:tcPr>
          <w:p w14:paraId="4D7128E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6E30D7B7"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2724C2EE"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TG (mg/dl)</w:t>
            </w:r>
          </w:p>
        </w:tc>
        <w:tc>
          <w:tcPr>
            <w:tcW w:w="1203" w:type="dxa"/>
            <w:tcBorders>
              <w:top w:val="nil"/>
              <w:left w:val="nil"/>
              <w:bottom w:val="single" w:sz="4" w:space="0" w:color="auto"/>
              <w:right w:val="single" w:sz="4" w:space="0" w:color="auto"/>
            </w:tcBorders>
            <w:shd w:val="clear" w:color="auto" w:fill="auto"/>
            <w:noWrap/>
            <w:vAlign w:val="bottom"/>
            <w:hideMark/>
          </w:tcPr>
          <w:p w14:paraId="4856FCF3"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141</w:t>
            </w:r>
          </w:p>
        </w:tc>
        <w:tc>
          <w:tcPr>
            <w:tcW w:w="994" w:type="dxa"/>
            <w:tcBorders>
              <w:top w:val="nil"/>
              <w:left w:val="nil"/>
              <w:bottom w:val="single" w:sz="4" w:space="0" w:color="auto"/>
              <w:right w:val="single" w:sz="4" w:space="0" w:color="auto"/>
            </w:tcBorders>
            <w:shd w:val="clear" w:color="auto" w:fill="auto"/>
            <w:noWrap/>
            <w:vAlign w:val="bottom"/>
            <w:hideMark/>
          </w:tcPr>
          <w:p w14:paraId="4C32E3F9"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5</w:t>
            </w:r>
          </w:p>
        </w:tc>
        <w:tc>
          <w:tcPr>
            <w:tcW w:w="683" w:type="dxa"/>
            <w:tcBorders>
              <w:top w:val="nil"/>
              <w:left w:val="nil"/>
              <w:bottom w:val="single" w:sz="4" w:space="0" w:color="auto"/>
              <w:right w:val="single" w:sz="4" w:space="0" w:color="auto"/>
            </w:tcBorders>
            <w:shd w:val="clear" w:color="auto" w:fill="auto"/>
            <w:noWrap/>
            <w:vAlign w:val="bottom"/>
            <w:hideMark/>
          </w:tcPr>
          <w:p w14:paraId="57609E4C"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30A5B775"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123</w:t>
            </w:r>
          </w:p>
        </w:tc>
        <w:tc>
          <w:tcPr>
            <w:tcW w:w="620" w:type="dxa"/>
            <w:tcBorders>
              <w:top w:val="nil"/>
              <w:left w:val="nil"/>
              <w:bottom w:val="single" w:sz="4" w:space="0" w:color="auto"/>
              <w:right w:val="single" w:sz="4" w:space="0" w:color="auto"/>
            </w:tcBorders>
            <w:shd w:val="clear" w:color="auto" w:fill="auto"/>
            <w:noWrap/>
            <w:vAlign w:val="bottom"/>
            <w:hideMark/>
          </w:tcPr>
          <w:p w14:paraId="607BC1E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5</w:t>
            </w:r>
          </w:p>
        </w:tc>
        <w:tc>
          <w:tcPr>
            <w:tcW w:w="440" w:type="dxa"/>
            <w:tcBorders>
              <w:top w:val="nil"/>
              <w:left w:val="nil"/>
              <w:bottom w:val="single" w:sz="4" w:space="0" w:color="auto"/>
              <w:right w:val="single" w:sz="4" w:space="0" w:color="auto"/>
            </w:tcBorders>
            <w:shd w:val="clear" w:color="auto" w:fill="auto"/>
            <w:noWrap/>
            <w:vAlign w:val="bottom"/>
            <w:hideMark/>
          </w:tcPr>
          <w:p w14:paraId="06CB39FA"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3D7BEAFC"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206</w:t>
            </w:r>
          </w:p>
        </w:tc>
        <w:tc>
          <w:tcPr>
            <w:tcW w:w="717" w:type="dxa"/>
            <w:tcBorders>
              <w:top w:val="nil"/>
              <w:left w:val="nil"/>
              <w:bottom w:val="single" w:sz="4" w:space="0" w:color="auto"/>
              <w:right w:val="single" w:sz="4" w:space="0" w:color="auto"/>
            </w:tcBorders>
            <w:shd w:val="clear" w:color="auto" w:fill="auto"/>
            <w:noWrap/>
            <w:vAlign w:val="bottom"/>
            <w:hideMark/>
          </w:tcPr>
          <w:p w14:paraId="55F2A41B"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6</w:t>
            </w:r>
          </w:p>
        </w:tc>
        <w:tc>
          <w:tcPr>
            <w:tcW w:w="440" w:type="dxa"/>
            <w:tcBorders>
              <w:top w:val="nil"/>
              <w:left w:val="nil"/>
              <w:bottom w:val="single" w:sz="4" w:space="0" w:color="auto"/>
              <w:right w:val="single" w:sz="4" w:space="0" w:color="auto"/>
            </w:tcBorders>
            <w:shd w:val="clear" w:color="auto" w:fill="auto"/>
            <w:noWrap/>
            <w:vAlign w:val="bottom"/>
            <w:hideMark/>
          </w:tcPr>
          <w:p w14:paraId="588E827D"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513EE129"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62D06D4E"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HDL (mg/dl)</w:t>
            </w:r>
          </w:p>
        </w:tc>
        <w:tc>
          <w:tcPr>
            <w:tcW w:w="1203" w:type="dxa"/>
            <w:tcBorders>
              <w:top w:val="nil"/>
              <w:left w:val="nil"/>
              <w:bottom w:val="single" w:sz="4" w:space="0" w:color="auto"/>
              <w:right w:val="single" w:sz="4" w:space="0" w:color="auto"/>
            </w:tcBorders>
            <w:shd w:val="clear" w:color="auto" w:fill="auto"/>
            <w:noWrap/>
            <w:vAlign w:val="bottom"/>
            <w:hideMark/>
          </w:tcPr>
          <w:p w14:paraId="70FE43D7"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42</w:t>
            </w:r>
          </w:p>
        </w:tc>
        <w:tc>
          <w:tcPr>
            <w:tcW w:w="994" w:type="dxa"/>
            <w:tcBorders>
              <w:top w:val="nil"/>
              <w:left w:val="nil"/>
              <w:bottom w:val="single" w:sz="4" w:space="0" w:color="auto"/>
              <w:right w:val="single" w:sz="4" w:space="0" w:color="auto"/>
            </w:tcBorders>
            <w:shd w:val="clear" w:color="auto" w:fill="auto"/>
            <w:noWrap/>
            <w:vAlign w:val="bottom"/>
            <w:hideMark/>
          </w:tcPr>
          <w:p w14:paraId="657D8EA2"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w:t>
            </w:r>
          </w:p>
        </w:tc>
        <w:tc>
          <w:tcPr>
            <w:tcW w:w="683" w:type="dxa"/>
            <w:tcBorders>
              <w:top w:val="nil"/>
              <w:left w:val="nil"/>
              <w:bottom w:val="single" w:sz="4" w:space="0" w:color="auto"/>
              <w:right w:val="single" w:sz="4" w:space="0" w:color="auto"/>
            </w:tcBorders>
            <w:shd w:val="clear" w:color="auto" w:fill="auto"/>
            <w:noWrap/>
            <w:vAlign w:val="bottom"/>
            <w:hideMark/>
          </w:tcPr>
          <w:p w14:paraId="1CD5BCB0"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4EB46BA0"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41</w:t>
            </w:r>
          </w:p>
        </w:tc>
        <w:tc>
          <w:tcPr>
            <w:tcW w:w="620" w:type="dxa"/>
            <w:tcBorders>
              <w:top w:val="nil"/>
              <w:left w:val="nil"/>
              <w:bottom w:val="single" w:sz="4" w:space="0" w:color="auto"/>
              <w:right w:val="single" w:sz="4" w:space="0" w:color="auto"/>
            </w:tcBorders>
            <w:shd w:val="clear" w:color="auto" w:fill="auto"/>
            <w:noWrap/>
            <w:vAlign w:val="bottom"/>
            <w:hideMark/>
          </w:tcPr>
          <w:p w14:paraId="7A91C219"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w:t>
            </w:r>
          </w:p>
        </w:tc>
        <w:tc>
          <w:tcPr>
            <w:tcW w:w="440" w:type="dxa"/>
            <w:tcBorders>
              <w:top w:val="nil"/>
              <w:left w:val="nil"/>
              <w:bottom w:val="single" w:sz="4" w:space="0" w:color="auto"/>
              <w:right w:val="single" w:sz="4" w:space="0" w:color="auto"/>
            </w:tcBorders>
            <w:shd w:val="clear" w:color="auto" w:fill="auto"/>
            <w:noWrap/>
            <w:vAlign w:val="bottom"/>
            <w:hideMark/>
          </w:tcPr>
          <w:p w14:paraId="44D02547"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0032F9BA"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45</w:t>
            </w:r>
          </w:p>
        </w:tc>
        <w:tc>
          <w:tcPr>
            <w:tcW w:w="717" w:type="dxa"/>
            <w:tcBorders>
              <w:top w:val="nil"/>
              <w:left w:val="nil"/>
              <w:bottom w:val="single" w:sz="4" w:space="0" w:color="auto"/>
              <w:right w:val="single" w:sz="4" w:space="0" w:color="auto"/>
            </w:tcBorders>
            <w:shd w:val="clear" w:color="auto" w:fill="auto"/>
            <w:noWrap/>
            <w:vAlign w:val="bottom"/>
            <w:hideMark/>
          </w:tcPr>
          <w:p w14:paraId="3EA2FB62"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w:t>
            </w:r>
          </w:p>
        </w:tc>
        <w:tc>
          <w:tcPr>
            <w:tcW w:w="440" w:type="dxa"/>
            <w:tcBorders>
              <w:top w:val="nil"/>
              <w:left w:val="nil"/>
              <w:bottom w:val="single" w:sz="4" w:space="0" w:color="auto"/>
              <w:right w:val="single" w:sz="4" w:space="0" w:color="auto"/>
            </w:tcBorders>
            <w:shd w:val="clear" w:color="auto" w:fill="auto"/>
            <w:noWrap/>
            <w:vAlign w:val="bottom"/>
            <w:hideMark/>
          </w:tcPr>
          <w:p w14:paraId="0D92BBE4"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2047A24C"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7450B8BC"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liver fatty acids</w:t>
            </w:r>
          </w:p>
        </w:tc>
        <w:tc>
          <w:tcPr>
            <w:tcW w:w="1203" w:type="dxa"/>
            <w:tcBorders>
              <w:top w:val="nil"/>
              <w:left w:val="nil"/>
              <w:bottom w:val="single" w:sz="4" w:space="0" w:color="auto"/>
              <w:right w:val="single" w:sz="4" w:space="0" w:color="auto"/>
            </w:tcBorders>
            <w:shd w:val="clear" w:color="auto" w:fill="auto"/>
            <w:noWrap/>
            <w:vAlign w:val="bottom"/>
            <w:hideMark/>
          </w:tcPr>
          <w:p w14:paraId="57CBF224"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111.7</w:t>
            </w:r>
          </w:p>
        </w:tc>
        <w:tc>
          <w:tcPr>
            <w:tcW w:w="994" w:type="dxa"/>
            <w:tcBorders>
              <w:top w:val="nil"/>
              <w:left w:val="nil"/>
              <w:bottom w:val="single" w:sz="4" w:space="0" w:color="auto"/>
              <w:right w:val="single" w:sz="4" w:space="0" w:color="auto"/>
            </w:tcBorders>
            <w:shd w:val="clear" w:color="auto" w:fill="auto"/>
            <w:noWrap/>
            <w:vAlign w:val="bottom"/>
            <w:hideMark/>
          </w:tcPr>
          <w:p w14:paraId="46153402"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10.3</w:t>
            </w:r>
          </w:p>
        </w:tc>
        <w:tc>
          <w:tcPr>
            <w:tcW w:w="683" w:type="dxa"/>
            <w:tcBorders>
              <w:top w:val="nil"/>
              <w:left w:val="nil"/>
              <w:bottom w:val="single" w:sz="4" w:space="0" w:color="auto"/>
              <w:right w:val="single" w:sz="4" w:space="0" w:color="auto"/>
            </w:tcBorders>
            <w:shd w:val="clear" w:color="auto" w:fill="auto"/>
            <w:noWrap/>
            <w:vAlign w:val="bottom"/>
            <w:hideMark/>
          </w:tcPr>
          <w:p w14:paraId="3678FDE7"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159</w:t>
            </w:r>
          </w:p>
        </w:tc>
        <w:tc>
          <w:tcPr>
            <w:tcW w:w="746" w:type="dxa"/>
            <w:tcBorders>
              <w:top w:val="nil"/>
              <w:left w:val="nil"/>
              <w:bottom w:val="single" w:sz="4" w:space="0" w:color="auto"/>
              <w:right w:val="single" w:sz="4" w:space="0" w:color="auto"/>
            </w:tcBorders>
            <w:shd w:val="clear" w:color="auto" w:fill="auto"/>
            <w:noWrap/>
            <w:vAlign w:val="bottom"/>
            <w:hideMark/>
          </w:tcPr>
          <w:p w14:paraId="5AB16434"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47.1</w:t>
            </w:r>
          </w:p>
        </w:tc>
        <w:tc>
          <w:tcPr>
            <w:tcW w:w="620" w:type="dxa"/>
            <w:tcBorders>
              <w:top w:val="nil"/>
              <w:left w:val="nil"/>
              <w:bottom w:val="single" w:sz="4" w:space="0" w:color="auto"/>
              <w:right w:val="single" w:sz="4" w:space="0" w:color="auto"/>
            </w:tcBorders>
            <w:shd w:val="clear" w:color="auto" w:fill="auto"/>
            <w:noWrap/>
            <w:vAlign w:val="bottom"/>
            <w:hideMark/>
          </w:tcPr>
          <w:p w14:paraId="625DFE33"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2.7</w:t>
            </w:r>
          </w:p>
        </w:tc>
        <w:tc>
          <w:tcPr>
            <w:tcW w:w="440" w:type="dxa"/>
            <w:tcBorders>
              <w:top w:val="nil"/>
              <w:left w:val="nil"/>
              <w:bottom w:val="single" w:sz="4" w:space="0" w:color="auto"/>
              <w:right w:val="single" w:sz="4" w:space="0" w:color="auto"/>
            </w:tcBorders>
            <w:shd w:val="clear" w:color="auto" w:fill="auto"/>
            <w:noWrap/>
            <w:vAlign w:val="bottom"/>
            <w:hideMark/>
          </w:tcPr>
          <w:p w14:paraId="4AEDC62A"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c>
          <w:tcPr>
            <w:tcW w:w="829" w:type="dxa"/>
            <w:tcBorders>
              <w:top w:val="nil"/>
              <w:left w:val="nil"/>
              <w:bottom w:val="single" w:sz="4" w:space="0" w:color="auto"/>
              <w:right w:val="single" w:sz="4" w:space="0" w:color="auto"/>
            </w:tcBorders>
            <w:shd w:val="clear" w:color="auto" w:fill="auto"/>
            <w:noWrap/>
            <w:vAlign w:val="bottom"/>
            <w:hideMark/>
          </w:tcPr>
          <w:p w14:paraId="1ED818B8"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189.6</w:t>
            </w:r>
          </w:p>
        </w:tc>
        <w:tc>
          <w:tcPr>
            <w:tcW w:w="717" w:type="dxa"/>
            <w:tcBorders>
              <w:top w:val="nil"/>
              <w:left w:val="nil"/>
              <w:bottom w:val="single" w:sz="4" w:space="0" w:color="auto"/>
              <w:right w:val="single" w:sz="4" w:space="0" w:color="auto"/>
            </w:tcBorders>
            <w:shd w:val="clear" w:color="auto" w:fill="auto"/>
            <w:noWrap/>
            <w:vAlign w:val="bottom"/>
            <w:hideMark/>
          </w:tcPr>
          <w:p w14:paraId="63390E0D"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7.8</w:t>
            </w:r>
          </w:p>
        </w:tc>
        <w:tc>
          <w:tcPr>
            <w:tcW w:w="440" w:type="dxa"/>
            <w:tcBorders>
              <w:top w:val="nil"/>
              <w:left w:val="nil"/>
              <w:bottom w:val="single" w:sz="4" w:space="0" w:color="auto"/>
              <w:right w:val="single" w:sz="4" w:space="0" w:color="auto"/>
            </w:tcBorders>
            <w:shd w:val="clear" w:color="auto" w:fill="auto"/>
            <w:noWrap/>
            <w:vAlign w:val="bottom"/>
            <w:hideMark/>
          </w:tcPr>
          <w:p w14:paraId="1EDD064E"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w:t>
            </w:r>
          </w:p>
        </w:tc>
      </w:tr>
      <w:tr w:rsidR="00AF7BD8" w:rsidRPr="00F87D91" w14:paraId="29EE1E03" w14:textId="77777777" w:rsidTr="00AF7BD8">
        <w:trPr>
          <w:trHeight w:val="300"/>
        </w:trPr>
        <w:tc>
          <w:tcPr>
            <w:tcW w:w="2240" w:type="dxa"/>
            <w:tcBorders>
              <w:top w:val="nil"/>
              <w:left w:val="single" w:sz="4" w:space="0" w:color="auto"/>
              <w:bottom w:val="single" w:sz="4" w:space="0" w:color="auto"/>
              <w:right w:val="single" w:sz="4" w:space="0" w:color="auto"/>
            </w:tcBorders>
            <w:shd w:val="clear" w:color="auto" w:fill="auto"/>
            <w:noWrap/>
            <w:vAlign w:val="bottom"/>
            <w:hideMark/>
          </w:tcPr>
          <w:p w14:paraId="772A0DC8" w14:textId="77777777" w:rsidR="00AF7BD8" w:rsidRPr="00F87D91" w:rsidRDefault="00AF7BD8" w:rsidP="004B3868">
            <w:pPr>
              <w:spacing w:after="0" w:line="240" w:lineRule="auto"/>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liver TAG</w:t>
            </w:r>
          </w:p>
        </w:tc>
        <w:tc>
          <w:tcPr>
            <w:tcW w:w="1203" w:type="dxa"/>
            <w:tcBorders>
              <w:top w:val="nil"/>
              <w:left w:val="nil"/>
              <w:bottom w:val="single" w:sz="4" w:space="0" w:color="auto"/>
              <w:right w:val="single" w:sz="4" w:space="0" w:color="auto"/>
            </w:tcBorders>
            <w:shd w:val="clear" w:color="auto" w:fill="auto"/>
            <w:noWrap/>
            <w:vAlign w:val="bottom"/>
            <w:hideMark/>
          </w:tcPr>
          <w:p w14:paraId="235F9922"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72.2</w:t>
            </w:r>
          </w:p>
        </w:tc>
        <w:tc>
          <w:tcPr>
            <w:tcW w:w="994" w:type="dxa"/>
            <w:tcBorders>
              <w:top w:val="nil"/>
              <w:left w:val="nil"/>
              <w:bottom w:val="single" w:sz="4" w:space="0" w:color="auto"/>
              <w:right w:val="single" w:sz="4" w:space="0" w:color="auto"/>
            </w:tcBorders>
            <w:shd w:val="clear" w:color="auto" w:fill="auto"/>
            <w:noWrap/>
            <w:vAlign w:val="bottom"/>
            <w:hideMark/>
          </w:tcPr>
          <w:p w14:paraId="25828159"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10.3</w:t>
            </w:r>
          </w:p>
        </w:tc>
        <w:tc>
          <w:tcPr>
            <w:tcW w:w="683" w:type="dxa"/>
            <w:tcBorders>
              <w:top w:val="nil"/>
              <w:left w:val="nil"/>
              <w:bottom w:val="single" w:sz="4" w:space="0" w:color="auto"/>
              <w:right w:val="single" w:sz="4" w:space="0" w:color="auto"/>
            </w:tcBorders>
            <w:shd w:val="clear" w:color="auto" w:fill="auto"/>
            <w:noWrap/>
            <w:vAlign w:val="bottom"/>
            <w:hideMark/>
          </w:tcPr>
          <w:p w14:paraId="1AA8FE90"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55</w:t>
            </w:r>
          </w:p>
        </w:tc>
        <w:tc>
          <w:tcPr>
            <w:tcW w:w="746" w:type="dxa"/>
            <w:tcBorders>
              <w:top w:val="nil"/>
              <w:left w:val="nil"/>
              <w:bottom w:val="single" w:sz="4" w:space="0" w:color="auto"/>
              <w:right w:val="single" w:sz="4" w:space="0" w:color="auto"/>
            </w:tcBorders>
            <w:shd w:val="clear" w:color="auto" w:fill="auto"/>
            <w:noWrap/>
            <w:vAlign w:val="bottom"/>
            <w:hideMark/>
          </w:tcPr>
          <w:p w14:paraId="603A9BE0"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23.2</w:t>
            </w:r>
          </w:p>
        </w:tc>
        <w:tc>
          <w:tcPr>
            <w:tcW w:w="620" w:type="dxa"/>
            <w:tcBorders>
              <w:top w:val="nil"/>
              <w:left w:val="nil"/>
              <w:bottom w:val="single" w:sz="4" w:space="0" w:color="auto"/>
              <w:right w:val="single" w:sz="4" w:space="0" w:color="auto"/>
            </w:tcBorders>
            <w:shd w:val="clear" w:color="auto" w:fill="auto"/>
            <w:noWrap/>
            <w:vAlign w:val="bottom"/>
            <w:hideMark/>
          </w:tcPr>
          <w:p w14:paraId="437AB7BE"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3.7</w:t>
            </w:r>
          </w:p>
        </w:tc>
        <w:tc>
          <w:tcPr>
            <w:tcW w:w="440" w:type="dxa"/>
            <w:tcBorders>
              <w:top w:val="nil"/>
              <w:left w:val="nil"/>
              <w:bottom w:val="single" w:sz="4" w:space="0" w:color="auto"/>
              <w:right w:val="single" w:sz="4" w:space="0" w:color="auto"/>
            </w:tcBorders>
            <w:shd w:val="clear" w:color="auto" w:fill="auto"/>
            <w:noWrap/>
            <w:vAlign w:val="bottom"/>
            <w:hideMark/>
          </w:tcPr>
          <w:p w14:paraId="55E7C5EB" w14:textId="1570DC96" w:rsidR="00AF7BD8" w:rsidRPr="00F87D91" w:rsidRDefault="00AE0C2D" w:rsidP="004B3868">
            <w:pPr>
              <w:spacing w:after="0" w:line="240" w:lineRule="auto"/>
              <w:jc w:val="right"/>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w:t>
            </w:r>
          </w:p>
        </w:tc>
        <w:tc>
          <w:tcPr>
            <w:tcW w:w="829" w:type="dxa"/>
            <w:tcBorders>
              <w:top w:val="nil"/>
              <w:left w:val="nil"/>
              <w:bottom w:val="single" w:sz="4" w:space="0" w:color="auto"/>
              <w:right w:val="single" w:sz="4" w:space="0" w:color="auto"/>
            </w:tcBorders>
            <w:shd w:val="clear" w:color="auto" w:fill="auto"/>
            <w:noWrap/>
            <w:vAlign w:val="bottom"/>
            <w:hideMark/>
          </w:tcPr>
          <w:p w14:paraId="37A0B6AB" w14:textId="77777777" w:rsidR="00AF7BD8" w:rsidRPr="00F87D91" w:rsidRDefault="00AF7BD8" w:rsidP="004B3868">
            <w:pPr>
              <w:spacing w:after="0" w:line="240" w:lineRule="auto"/>
              <w:jc w:val="right"/>
              <w:rPr>
                <w:rFonts w:ascii="Times New Roman" w:eastAsia="Times New Roman" w:hAnsi="Times New Roman" w:cs="Times New Roman"/>
                <w:b/>
                <w:bCs/>
                <w:color w:val="000000"/>
                <w:lang w:val="en-US"/>
              </w:rPr>
            </w:pPr>
            <w:r w:rsidRPr="00F87D91">
              <w:rPr>
                <w:rFonts w:ascii="Times New Roman" w:eastAsia="Times New Roman" w:hAnsi="Times New Roman" w:cs="Times New Roman"/>
                <w:b/>
                <w:bCs/>
                <w:color w:val="000000"/>
                <w:lang w:val="en-US"/>
              </w:rPr>
              <w:t>155.1</w:t>
            </w:r>
          </w:p>
        </w:tc>
        <w:tc>
          <w:tcPr>
            <w:tcW w:w="717" w:type="dxa"/>
            <w:tcBorders>
              <w:top w:val="nil"/>
              <w:left w:val="nil"/>
              <w:bottom w:val="single" w:sz="4" w:space="0" w:color="auto"/>
              <w:right w:val="single" w:sz="4" w:space="0" w:color="auto"/>
            </w:tcBorders>
            <w:shd w:val="clear" w:color="auto" w:fill="auto"/>
            <w:noWrap/>
            <w:vAlign w:val="bottom"/>
            <w:hideMark/>
          </w:tcPr>
          <w:p w14:paraId="2B8C7FFC"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10.0</w:t>
            </w:r>
          </w:p>
        </w:tc>
        <w:tc>
          <w:tcPr>
            <w:tcW w:w="440" w:type="dxa"/>
            <w:tcBorders>
              <w:top w:val="nil"/>
              <w:left w:val="nil"/>
              <w:bottom w:val="single" w:sz="4" w:space="0" w:color="auto"/>
              <w:right w:val="single" w:sz="4" w:space="0" w:color="auto"/>
            </w:tcBorders>
            <w:shd w:val="clear" w:color="auto" w:fill="auto"/>
            <w:noWrap/>
            <w:vAlign w:val="bottom"/>
            <w:hideMark/>
          </w:tcPr>
          <w:p w14:paraId="4816B36C" w14:textId="77777777" w:rsidR="00AF7BD8" w:rsidRPr="00F87D91" w:rsidRDefault="00AF7BD8" w:rsidP="004B3868">
            <w:pPr>
              <w:spacing w:after="0" w:line="240" w:lineRule="auto"/>
              <w:jc w:val="right"/>
              <w:rPr>
                <w:rFonts w:ascii="Times New Roman" w:eastAsia="Times New Roman" w:hAnsi="Times New Roman" w:cs="Times New Roman"/>
                <w:color w:val="000000"/>
                <w:lang w:val="en-US"/>
              </w:rPr>
            </w:pPr>
            <w:r w:rsidRPr="00F87D91">
              <w:rPr>
                <w:rFonts w:ascii="Times New Roman" w:eastAsia="Times New Roman" w:hAnsi="Times New Roman" w:cs="Times New Roman"/>
                <w:color w:val="000000"/>
                <w:lang w:val="en-US"/>
              </w:rPr>
              <w:t>4</w:t>
            </w:r>
          </w:p>
        </w:tc>
      </w:tr>
    </w:tbl>
    <w:p w14:paraId="2EFE468A" w14:textId="77777777" w:rsidR="00AF7BD8" w:rsidRPr="00F87D91" w:rsidRDefault="00AF7BD8" w:rsidP="00551310">
      <w:pPr>
        <w:pStyle w:val="KeinLeerraum"/>
        <w:spacing w:line="480" w:lineRule="auto"/>
        <w:ind w:right="123"/>
        <w:jc w:val="both"/>
        <w:rPr>
          <w:rFonts w:ascii="Times New Roman" w:hAnsi="Times New Roman" w:cs="Times New Roman"/>
          <w:color w:val="000000" w:themeColor="text1"/>
          <w:sz w:val="24"/>
          <w:szCs w:val="24"/>
          <w:lang w:val="en-US" w:eastAsia="de-DE"/>
        </w:rPr>
      </w:pPr>
    </w:p>
    <w:p w14:paraId="7CB18E86" w14:textId="5D8F9F3D" w:rsidR="00AF7BD8" w:rsidRPr="00F87D91" w:rsidRDefault="00AF7BD8" w:rsidP="00551310">
      <w:pPr>
        <w:pStyle w:val="KeinLeerraum"/>
        <w:spacing w:line="480" w:lineRule="auto"/>
        <w:ind w:right="123"/>
        <w:jc w:val="both"/>
        <w:rPr>
          <w:rFonts w:ascii="Times New Roman" w:hAnsi="Times New Roman" w:cs="Times New Roman"/>
          <w:b/>
          <w:bCs/>
          <w:color w:val="000000" w:themeColor="text1"/>
          <w:sz w:val="24"/>
          <w:szCs w:val="24"/>
          <w:lang w:val="en-US" w:eastAsia="de-DE"/>
        </w:rPr>
      </w:pPr>
      <w:r w:rsidRPr="00F87D91">
        <w:rPr>
          <w:rFonts w:ascii="Times New Roman" w:hAnsi="Times New Roman" w:cs="Times New Roman"/>
          <w:b/>
          <w:bCs/>
          <w:color w:val="000000" w:themeColor="text1"/>
          <w:sz w:val="24"/>
          <w:szCs w:val="24"/>
          <w:lang w:val="en-US" w:eastAsia="de-DE"/>
        </w:rPr>
        <w:t xml:space="preserve">Table S2. </w:t>
      </w:r>
      <w:r w:rsidR="0070378C">
        <w:rPr>
          <w:rFonts w:ascii="Times New Roman" w:hAnsi="Times New Roman" w:cs="Times New Roman"/>
          <w:b/>
          <w:bCs/>
          <w:color w:val="000000" w:themeColor="text1"/>
          <w:sz w:val="24"/>
          <w:szCs w:val="24"/>
          <w:lang w:val="en-US" w:eastAsia="de-DE"/>
        </w:rPr>
        <w:t xml:space="preserve">Cohort characterization. </w:t>
      </w:r>
      <w:r w:rsidR="0070378C" w:rsidRPr="0070378C">
        <w:rPr>
          <w:rFonts w:ascii="Times New Roman" w:hAnsi="Times New Roman" w:cs="Times New Roman"/>
          <w:color w:val="000000" w:themeColor="text1"/>
          <w:sz w:val="24"/>
          <w:szCs w:val="24"/>
          <w:lang w:val="en-US" w:eastAsia="de-DE"/>
        </w:rPr>
        <w:t>Anthropomorphic features and clinical chemistry of the full cohort used and the subgroups of the highest and lowest ten participants.</w:t>
      </w:r>
    </w:p>
    <w:p w14:paraId="727E4878" w14:textId="77777777" w:rsidR="00AF7BD8" w:rsidRPr="00F87D91" w:rsidRDefault="00AF7BD8" w:rsidP="00551310">
      <w:pPr>
        <w:pStyle w:val="KeinLeerraum"/>
        <w:spacing w:line="480" w:lineRule="auto"/>
        <w:ind w:right="123"/>
        <w:jc w:val="both"/>
        <w:rPr>
          <w:rFonts w:ascii="Times New Roman" w:hAnsi="Times New Roman" w:cs="Times New Roman"/>
          <w:color w:val="000000" w:themeColor="text1"/>
          <w:sz w:val="24"/>
          <w:szCs w:val="24"/>
          <w:lang w:val="en-US" w:eastAsia="de-DE"/>
        </w:rPr>
      </w:pPr>
    </w:p>
    <w:p w14:paraId="75284B51" w14:textId="3B0C2251" w:rsidR="002E4105" w:rsidRPr="00F87D91" w:rsidRDefault="0090725A" w:rsidP="00AB2C91">
      <w:pPr>
        <w:spacing w:line="480" w:lineRule="auto"/>
        <w:jc w:val="both"/>
        <w:rPr>
          <w:rFonts w:ascii="Times New Roman" w:hAnsi="Times New Roman" w:cs="Times New Roman"/>
          <w:b/>
          <w:bCs/>
          <w:color w:val="000000" w:themeColor="text1"/>
          <w:sz w:val="24"/>
          <w:szCs w:val="24"/>
          <w:lang w:val="en-US"/>
        </w:rPr>
      </w:pPr>
      <w:r w:rsidRPr="00F87D91">
        <w:rPr>
          <w:rFonts w:ascii="Times New Roman" w:hAnsi="Times New Roman" w:cs="Times New Roman"/>
          <w:b/>
          <w:bCs/>
          <w:color w:val="000000" w:themeColor="text1"/>
          <w:sz w:val="24"/>
          <w:szCs w:val="24"/>
          <w:lang w:val="en-US"/>
        </w:rPr>
        <w:t>Supplemental</w:t>
      </w:r>
      <w:r w:rsidR="002E4105" w:rsidRPr="00F87D91">
        <w:rPr>
          <w:rFonts w:ascii="Times New Roman" w:hAnsi="Times New Roman" w:cs="Times New Roman"/>
          <w:b/>
          <w:bCs/>
          <w:color w:val="000000" w:themeColor="text1"/>
          <w:sz w:val="24"/>
          <w:szCs w:val="24"/>
          <w:lang w:val="en-US"/>
        </w:rPr>
        <w:t xml:space="preserve"> References</w:t>
      </w:r>
    </w:p>
    <w:p w14:paraId="28852326" w14:textId="77777777" w:rsidR="00D577ED" w:rsidRPr="00D577ED" w:rsidRDefault="006A6859" w:rsidP="00D577ED">
      <w:pPr>
        <w:pStyle w:val="EndNoteBibliography"/>
        <w:ind w:left="720" w:hanging="720"/>
      </w:pPr>
      <w:r w:rsidRPr="00F87D91">
        <w:rPr>
          <w:color w:val="000000" w:themeColor="text1"/>
          <w:szCs w:val="24"/>
        </w:rPr>
        <w:fldChar w:fldCharType="begin"/>
      </w:r>
      <w:r w:rsidRPr="00F87D91">
        <w:rPr>
          <w:color w:val="000000" w:themeColor="text1"/>
          <w:szCs w:val="24"/>
        </w:rPr>
        <w:instrText xml:space="preserve"> ADDIN EN.REFLIST </w:instrText>
      </w:r>
      <w:r w:rsidRPr="00F87D91">
        <w:rPr>
          <w:color w:val="000000" w:themeColor="text1"/>
          <w:szCs w:val="24"/>
        </w:rPr>
        <w:fldChar w:fldCharType="separate"/>
      </w:r>
      <w:r w:rsidR="00D577ED" w:rsidRPr="00D577ED">
        <w:t>1.</w:t>
      </w:r>
      <w:r w:rsidR="00D577ED" w:rsidRPr="00D577ED">
        <w:tab/>
        <w:t>Kircher, M.</w:t>
      </w:r>
      <w:r w:rsidR="00D577ED" w:rsidRPr="00D577ED">
        <w:rPr>
          <w:i/>
        </w:rPr>
        <w:t>, et al.</w:t>
      </w:r>
      <w:r w:rsidR="00D577ED" w:rsidRPr="00D577ED">
        <w:t xml:space="preserve"> A general framework for estimating the relative pathogenicity of human genetic variants. </w:t>
      </w:r>
      <w:r w:rsidR="00D577ED" w:rsidRPr="00D577ED">
        <w:rPr>
          <w:i/>
        </w:rPr>
        <w:t>Nat Genet</w:t>
      </w:r>
      <w:r w:rsidR="00D577ED" w:rsidRPr="00D577ED">
        <w:t xml:space="preserve"> </w:t>
      </w:r>
      <w:r w:rsidR="00D577ED" w:rsidRPr="00D577ED">
        <w:rPr>
          <w:b/>
        </w:rPr>
        <w:t>46</w:t>
      </w:r>
      <w:r w:rsidR="00D577ED" w:rsidRPr="00D577ED">
        <w:t>, 310-315 (2014).</w:t>
      </w:r>
    </w:p>
    <w:p w14:paraId="468F77CF" w14:textId="2DB58A3D" w:rsidR="00DA0CC9" w:rsidRPr="00F87D91" w:rsidRDefault="006A6859">
      <w:pPr>
        <w:spacing w:line="480" w:lineRule="auto"/>
        <w:jc w:val="both"/>
        <w:rPr>
          <w:rFonts w:ascii="Times New Roman" w:hAnsi="Times New Roman" w:cs="Times New Roman"/>
          <w:color w:val="000000" w:themeColor="text1"/>
          <w:sz w:val="24"/>
          <w:szCs w:val="24"/>
          <w:lang w:val="en-US"/>
        </w:rPr>
      </w:pPr>
      <w:r w:rsidRPr="00F87D91">
        <w:rPr>
          <w:rFonts w:ascii="Times New Roman" w:hAnsi="Times New Roman" w:cs="Times New Roman"/>
          <w:color w:val="000000" w:themeColor="text1"/>
          <w:sz w:val="24"/>
          <w:szCs w:val="24"/>
        </w:rPr>
        <w:fldChar w:fldCharType="end"/>
      </w:r>
    </w:p>
    <w:sectPr w:rsidR="00DA0CC9" w:rsidRPr="00F87D91" w:rsidSect="004C7EDC">
      <w:footerReference w:type="default" r:id="rId7"/>
      <w:pgSz w:w="12240" w:h="15840" w:code="1"/>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F2757" w14:textId="77777777" w:rsidR="00E16817" w:rsidRDefault="00E16817" w:rsidP="00EF19AC">
      <w:pPr>
        <w:spacing w:after="0" w:line="240" w:lineRule="auto"/>
      </w:pPr>
      <w:r>
        <w:separator/>
      </w:r>
    </w:p>
  </w:endnote>
  <w:endnote w:type="continuationSeparator" w:id="0">
    <w:p w14:paraId="44E02AB9" w14:textId="77777777" w:rsidR="00E16817" w:rsidRDefault="00E16817" w:rsidP="00EF19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6737512"/>
      <w:docPartObj>
        <w:docPartGallery w:val="Page Numbers (Bottom of Page)"/>
        <w:docPartUnique/>
      </w:docPartObj>
    </w:sdtPr>
    <w:sdtEndPr>
      <w:rPr>
        <w:rFonts w:ascii="Times New Roman" w:hAnsi="Times New Roman" w:cs="Times New Roman"/>
      </w:rPr>
    </w:sdtEndPr>
    <w:sdtContent>
      <w:p w14:paraId="09DF0A4C" w14:textId="73715CA7" w:rsidR="00EF19AC" w:rsidRPr="00837A0E" w:rsidRDefault="00EF19AC">
        <w:pPr>
          <w:pStyle w:val="Fuzeile"/>
          <w:jc w:val="right"/>
          <w:rPr>
            <w:rFonts w:ascii="Times New Roman" w:hAnsi="Times New Roman" w:cs="Times New Roman"/>
          </w:rPr>
        </w:pPr>
        <w:r w:rsidRPr="00837A0E">
          <w:rPr>
            <w:rFonts w:ascii="Times New Roman" w:hAnsi="Times New Roman" w:cs="Times New Roman"/>
          </w:rPr>
          <w:fldChar w:fldCharType="begin"/>
        </w:r>
        <w:r w:rsidRPr="00837A0E">
          <w:rPr>
            <w:rFonts w:ascii="Times New Roman" w:hAnsi="Times New Roman" w:cs="Times New Roman"/>
          </w:rPr>
          <w:instrText>PAGE   \* MERGEFORMAT</w:instrText>
        </w:r>
        <w:r w:rsidRPr="00837A0E">
          <w:rPr>
            <w:rFonts w:ascii="Times New Roman" w:hAnsi="Times New Roman" w:cs="Times New Roman"/>
          </w:rPr>
          <w:fldChar w:fldCharType="separate"/>
        </w:r>
        <w:r w:rsidR="0044239F">
          <w:rPr>
            <w:rFonts w:ascii="Times New Roman" w:hAnsi="Times New Roman" w:cs="Times New Roman"/>
            <w:noProof/>
          </w:rPr>
          <w:t>4</w:t>
        </w:r>
        <w:r w:rsidRPr="00837A0E">
          <w:rPr>
            <w:rFonts w:ascii="Times New Roman" w:hAnsi="Times New Roman" w:cs="Times New Roman"/>
          </w:rPr>
          <w:fldChar w:fldCharType="end"/>
        </w:r>
      </w:p>
    </w:sdtContent>
  </w:sdt>
  <w:p w14:paraId="7DCB7F43" w14:textId="77777777" w:rsidR="00EF19AC" w:rsidRDefault="00EF19A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07815" w14:textId="77777777" w:rsidR="00E16817" w:rsidRDefault="00E16817" w:rsidP="00EF19AC">
      <w:pPr>
        <w:spacing w:after="0" w:line="240" w:lineRule="auto"/>
      </w:pPr>
      <w:r>
        <w:separator/>
      </w:r>
    </w:p>
  </w:footnote>
  <w:footnote w:type="continuationSeparator" w:id="0">
    <w:p w14:paraId="05AA46F6" w14:textId="77777777" w:rsidR="00E16817" w:rsidRDefault="00E16817" w:rsidP="00EF19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E42770"/>
    <w:multiLevelType w:val="hybridMultilevel"/>
    <w:tmpl w:val="4D589224"/>
    <w:lvl w:ilvl="0" w:tplc="899EDA0A">
      <w:start w:val="2"/>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992161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de-DE"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54653"/>
    <w:rsid w:val="00000736"/>
    <w:rsid w:val="00011575"/>
    <w:rsid w:val="000163E9"/>
    <w:rsid w:val="00026B69"/>
    <w:rsid w:val="00027D42"/>
    <w:rsid w:val="00040CC8"/>
    <w:rsid w:val="00044444"/>
    <w:rsid w:val="0005205B"/>
    <w:rsid w:val="00055AC7"/>
    <w:rsid w:val="00067DFE"/>
    <w:rsid w:val="00073B96"/>
    <w:rsid w:val="000834C6"/>
    <w:rsid w:val="000846C2"/>
    <w:rsid w:val="000936ED"/>
    <w:rsid w:val="000A0D14"/>
    <w:rsid w:val="000A0D92"/>
    <w:rsid w:val="000B023D"/>
    <w:rsid w:val="000B238F"/>
    <w:rsid w:val="000B7DB4"/>
    <w:rsid w:val="000C43E2"/>
    <w:rsid w:val="000C7645"/>
    <w:rsid w:val="000C7937"/>
    <w:rsid w:val="000D338E"/>
    <w:rsid w:val="000F65AB"/>
    <w:rsid w:val="00101584"/>
    <w:rsid w:val="0010542C"/>
    <w:rsid w:val="00107D48"/>
    <w:rsid w:val="001101AF"/>
    <w:rsid w:val="00112EEB"/>
    <w:rsid w:val="0012047C"/>
    <w:rsid w:val="00126633"/>
    <w:rsid w:val="001267FE"/>
    <w:rsid w:val="00132467"/>
    <w:rsid w:val="00137E76"/>
    <w:rsid w:val="00142065"/>
    <w:rsid w:val="00170F6A"/>
    <w:rsid w:val="0019241D"/>
    <w:rsid w:val="00192A0E"/>
    <w:rsid w:val="001A70BB"/>
    <w:rsid w:val="001B547D"/>
    <w:rsid w:val="001C7E2C"/>
    <w:rsid w:val="001D4E74"/>
    <w:rsid w:val="001E2430"/>
    <w:rsid w:val="001E5BDE"/>
    <w:rsid w:val="001F01A7"/>
    <w:rsid w:val="001F47B6"/>
    <w:rsid w:val="002022CD"/>
    <w:rsid w:val="00203945"/>
    <w:rsid w:val="00207BC8"/>
    <w:rsid w:val="002138EF"/>
    <w:rsid w:val="00215F0E"/>
    <w:rsid w:val="00216762"/>
    <w:rsid w:val="002278DB"/>
    <w:rsid w:val="002317F8"/>
    <w:rsid w:val="00235F6A"/>
    <w:rsid w:val="002375B5"/>
    <w:rsid w:val="00246B8C"/>
    <w:rsid w:val="00247866"/>
    <w:rsid w:val="002507CE"/>
    <w:rsid w:val="002556BE"/>
    <w:rsid w:val="0026234D"/>
    <w:rsid w:val="002A55F5"/>
    <w:rsid w:val="002A6BC5"/>
    <w:rsid w:val="002A6C2F"/>
    <w:rsid w:val="002A7B8C"/>
    <w:rsid w:val="002B393B"/>
    <w:rsid w:val="002B5162"/>
    <w:rsid w:val="002B579E"/>
    <w:rsid w:val="002C1905"/>
    <w:rsid w:val="002E4105"/>
    <w:rsid w:val="002E45E8"/>
    <w:rsid w:val="002F448D"/>
    <w:rsid w:val="002F758F"/>
    <w:rsid w:val="00301B3A"/>
    <w:rsid w:val="00304C9C"/>
    <w:rsid w:val="0031061E"/>
    <w:rsid w:val="00320690"/>
    <w:rsid w:val="00320D9D"/>
    <w:rsid w:val="00321131"/>
    <w:rsid w:val="0033163E"/>
    <w:rsid w:val="00332BE3"/>
    <w:rsid w:val="00334574"/>
    <w:rsid w:val="003353B7"/>
    <w:rsid w:val="00347543"/>
    <w:rsid w:val="0035168A"/>
    <w:rsid w:val="00364EF7"/>
    <w:rsid w:val="00367948"/>
    <w:rsid w:val="0037179F"/>
    <w:rsid w:val="00373540"/>
    <w:rsid w:val="003774BD"/>
    <w:rsid w:val="00396E3A"/>
    <w:rsid w:val="003A5977"/>
    <w:rsid w:val="003B497B"/>
    <w:rsid w:val="003D47E1"/>
    <w:rsid w:val="003E75F4"/>
    <w:rsid w:val="003F1641"/>
    <w:rsid w:val="003F4768"/>
    <w:rsid w:val="003F5567"/>
    <w:rsid w:val="00421D54"/>
    <w:rsid w:val="00431AC9"/>
    <w:rsid w:val="0044239F"/>
    <w:rsid w:val="0044283E"/>
    <w:rsid w:val="00444E70"/>
    <w:rsid w:val="00446355"/>
    <w:rsid w:val="00452B0A"/>
    <w:rsid w:val="00453B35"/>
    <w:rsid w:val="00456A2F"/>
    <w:rsid w:val="00457C03"/>
    <w:rsid w:val="0046206A"/>
    <w:rsid w:val="004627CF"/>
    <w:rsid w:val="0046696B"/>
    <w:rsid w:val="004675E3"/>
    <w:rsid w:val="00494039"/>
    <w:rsid w:val="00497FD3"/>
    <w:rsid w:val="004A1A27"/>
    <w:rsid w:val="004A6977"/>
    <w:rsid w:val="004B10AB"/>
    <w:rsid w:val="004B1905"/>
    <w:rsid w:val="004C4852"/>
    <w:rsid w:val="004C7EDC"/>
    <w:rsid w:val="004D6041"/>
    <w:rsid w:val="0050064E"/>
    <w:rsid w:val="00501C7C"/>
    <w:rsid w:val="00501F5E"/>
    <w:rsid w:val="00512C74"/>
    <w:rsid w:val="0051385F"/>
    <w:rsid w:val="00521F63"/>
    <w:rsid w:val="00526183"/>
    <w:rsid w:val="00526B50"/>
    <w:rsid w:val="00530413"/>
    <w:rsid w:val="00531695"/>
    <w:rsid w:val="00546A2C"/>
    <w:rsid w:val="00550197"/>
    <w:rsid w:val="00551310"/>
    <w:rsid w:val="00553202"/>
    <w:rsid w:val="00554CE8"/>
    <w:rsid w:val="0056028B"/>
    <w:rsid w:val="00562740"/>
    <w:rsid w:val="00572011"/>
    <w:rsid w:val="00576AE3"/>
    <w:rsid w:val="0058666B"/>
    <w:rsid w:val="00586B62"/>
    <w:rsid w:val="00587AA0"/>
    <w:rsid w:val="00596768"/>
    <w:rsid w:val="005A239F"/>
    <w:rsid w:val="005B1CF9"/>
    <w:rsid w:val="005B4031"/>
    <w:rsid w:val="005B7682"/>
    <w:rsid w:val="005B7A8E"/>
    <w:rsid w:val="005C2980"/>
    <w:rsid w:val="005C3280"/>
    <w:rsid w:val="005C4B56"/>
    <w:rsid w:val="005D2DA1"/>
    <w:rsid w:val="005D752D"/>
    <w:rsid w:val="005E2151"/>
    <w:rsid w:val="005F2FCB"/>
    <w:rsid w:val="0060113A"/>
    <w:rsid w:val="00613FF6"/>
    <w:rsid w:val="00623EC7"/>
    <w:rsid w:val="00631BB0"/>
    <w:rsid w:val="006325BD"/>
    <w:rsid w:val="0063402C"/>
    <w:rsid w:val="0064517D"/>
    <w:rsid w:val="0064667F"/>
    <w:rsid w:val="00655DAD"/>
    <w:rsid w:val="00664B88"/>
    <w:rsid w:val="00666269"/>
    <w:rsid w:val="006743DB"/>
    <w:rsid w:val="00675B7A"/>
    <w:rsid w:val="00691673"/>
    <w:rsid w:val="006954BC"/>
    <w:rsid w:val="006962D1"/>
    <w:rsid w:val="006A6859"/>
    <w:rsid w:val="006A7305"/>
    <w:rsid w:val="006B1267"/>
    <w:rsid w:val="006B69BD"/>
    <w:rsid w:val="006C4840"/>
    <w:rsid w:val="006D1372"/>
    <w:rsid w:val="006D6FCB"/>
    <w:rsid w:val="0070378C"/>
    <w:rsid w:val="0072272A"/>
    <w:rsid w:val="00722A38"/>
    <w:rsid w:val="00723D2C"/>
    <w:rsid w:val="007243D3"/>
    <w:rsid w:val="00726801"/>
    <w:rsid w:val="00731E34"/>
    <w:rsid w:val="0074593C"/>
    <w:rsid w:val="00752D3C"/>
    <w:rsid w:val="00754653"/>
    <w:rsid w:val="0076268A"/>
    <w:rsid w:val="0077711B"/>
    <w:rsid w:val="007777EF"/>
    <w:rsid w:val="00791A5F"/>
    <w:rsid w:val="00793477"/>
    <w:rsid w:val="007949A9"/>
    <w:rsid w:val="00794AD3"/>
    <w:rsid w:val="007A1D31"/>
    <w:rsid w:val="007A3A78"/>
    <w:rsid w:val="007B011D"/>
    <w:rsid w:val="007B330D"/>
    <w:rsid w:val="007D18F2"/>
    <w:rsid w:val="007D585C"/>
    <w:rsid w:val="007D6381"/>
    <w:rsid w:val="007E31B5"/>
    <w:rsid w:val="007E39C6"/>
    <w:rsid w:val="007E619E"/>
    <w:rsid w:val="007E7A07"/>
    <w:rsid w:val="00803429"/>
    <w:rsid w:val="00811864"/>
    <w:rsid w:val="008130DB"/>
    <w:rsid w:val="0081399B"/>
    <w:rsid w:val="00822346"/>
    <w:rsid w:val="0083211C"/>
    <w:rsid w:val="00833E48"/>
    <w:rsid w:val="00837A0E"/>
    <w:rsid w:val="00840904"/>
    <w:rsid w:val="008414C2"/>
    <w:rsid w:val="0084218F"/>
    <w:rsid w:val="00844E99"/>
    <w:rsid w:val="00851D3F"/>
    <w:rsid w:val="00860861"/>
    <w:rsid w:val="008628F1"/>
    <w:rsid w:val="00863263"/>
    <w:rsid w:val="008674B4"/>
    <w:rsid w:val="0087383B"/>
    <w:rsid w:val="00873E09"/>
    <w:rsid w:val="00896668"/>
    <w:rsid w:val="008A35E9"/>
    <w:rsid w:val="008A3FAD"/>
    <w:rsid w:val="008A4F2F"/>
    <w:rsid w:val="008A7332"/>
    <w:rsid w:val="008B0AB0"/>
    <w:rsid w:val="008B3968"/>
    <w:rsid w:val="008C0B18"/>
    <w:rsid w:val="008D1636"/>
    <w:rsid w:val="008D22D3"/>
    <w:rsid w:val="008D7E02"/>
    <w:rsid w:val="008F294D"/>
    <w:rsid w:val="0090164E"/>
    <w:rsid w:val="00901EAC"/>
    <w:rsid w:val="0090725A"/>
    <w:rsid w:val="00911E2C"/>
    <w:rsid w:val="009179F5"/>
    <w:rsid w:val="00926790"/>
    <w:rsid w:val="00945690"/>
    <w:rsid w:val="009503CE"/>
    <w:rsid w:val="0095067F"/>
    <w:rsid w:val="00954252"/>
    <w:rsid w:val="00956BD3"/>
    <w:rsid w:val="00971E58"/>
    <w:rsid w:val="009815E9"/>
    <w:rsid w:val="00984D1C"/>
    <w:rsid w:val="009938FA"/>
    <w:rsid w:val="009A1A1D"/>
    <w:rsid w:val="009A5426"/>
    <w:rsid w:val="009B1128"/>
    <w:rsid w:val="009B53DB"/>
    <w:rsid w:val="009C32DF"/>
    <w:rsid w:val="009D6463"/>
    <w:rsid w:val="009D64C9"/>
    <w:rsid w:val="009E1D1C"/>
    <w:rsid w:val="009E6A4C"/>
    <w:rsid w:val="009F37F4"/>
    <w:rsid w:val="00A07337"/>
    <w:rsid w:val="00A20611"/>
    <w:rsid w:val="00A2258C"/>
    <w:rsid w:val="00A2607B"/>
    <w:rsid w:val="00A40D16"/>
    <w:rsid w:val="00A4248B"/>
    <w:rsid w:val="00A44BEA"/>
    <w:rsid w:val="00A47DD7"/>
    <w:rsid w:val="00A56CD4"/>
    <w:rsid w:val="00A6236C"/>
    <w:rsid w:val="00A649AD"/>
    <w:rsid w:val="00A67817"/>
    <w:rsid w:val="00A71013"/>
    <w:rsid w:val="00A754E1"/>
    <w:rsid w:val="00A852F5"/>
    <w:rsid w:val="00A90034"/>
    <w:rsid w:val="00A93427"/>
    <w:rsid w:val="00A94C77"/>
    <w:rsid w:val="00AA5764"/>
    <w:rsid w:val="00AB1E31"/>
    <w:rsid w:val="00AB2C91"/>
    <w:rsid w:val="00AC356A"/>
    <w:rsid w:val="00AC3A01"/>
    <w:rsid w:val="00AC52ED"/>
    <w:rsid w:val="00AD2A9D"/>
    <w:rsid w:val="00AE0C2D"/>
    <w:rsid w:val="00AE5D38"/>
    <w:rsid w:val="00AF47C9"/>
    <w:rsid w:val="00AF7BD8"/>
    <w:rsid w:val="00AF7DB8"/>
    <w:rsid w:val="00B03884"/>
    <w:rsid w:val="00B1089A"/>
    <w:rsid w:val="00B10904"/>
    <w:rsid w:val="00B1516F"/>
    <w:rsid w:val="00B210EE"/>
    <w:rsid w:val="00B241CE"/>
    <w:rsid w:val="00B267E8"/>
    <w:rsid w:val="00B3310C"/>
    <w:rsid w:val="00B41A65"/>
    <w:rsid w:val="00B46330"/>
    <w:rsid w:val="00B5151D"/>
    <w:rsid w:val="00B51973"/>
    <w:rsid w:val="00B52A00"/>
    <w:rsid w:val="00B66ABA"/>
    <w:rsid w:val="00B874EB"/>
    <w:rsid w:val="00B97103"/>
    <w:rsid w:val="00BA1CD8"/>
    <w:rsid w:val="00BA3BE1"/>
    <w:rsid w:val="00BA58FF"/>
    <w:rsid w:val="00BB0B08"/>
    <w:rsid w:val="00BB5640"/>
    <w:rsid w:val="00BC409E"/>
    <w:rsid w:val="00BC5394"/>
    <w:rsid w:val="00BD3AD1"/>
    <w:rsid w:val="00BE4FCD"/>
    <w:rsid w:val="00BE7774"/>
    <w:rsid w:val="00BF25D3"/>
    <w:rsid w:val="00BF5C9E"/>
    <w:rsid w:val="00BF70F4"/>
    <w:rsid w:val="00C00102"/>
    <w:rsid w:val="00C025A0"/>
    <w:rsid w:val="00C048D7"/>
    <w:rsid w:val="00C052A9"/>
    <w:rsid w:val="00C142F4"/>
    <w:rsid w:val="00C144EA"/>
    <w:rsid w:val="00C201CB"/>
    <w:rsid w:val="00C234BC"/>
    <w:rsid w:val="00C23A87"/>
    <w:rsid w:val="00C3466A"/>
    <w:rsid w:val="00C400DD"/>
    <w:rsid w:val="00C4637D"/>
    <w:rsid w:val="00C46625"/>
    <w:rsid w:val="00C522C4"/>
    <w:rsid w:val="00C56243"/>
    <w:rsid w:val="00C60205"/>
    <w:rsid w:val="00C632DC"/>
    <w:rsid w:val="00C7765B"/>
    <w:rsid w:val="00C92B46"/>
    <w:rsid w:val="00CA3CA3"/>
    <w:rsid w:val="00CB62BF"/>
    <w:rsid w:val="00CD70D3"/>
    <w:rsid w:val="00CE5E2B"/>
    <w:rsid w:val="00CF737E"/>
    <w:rsid w:val="00D02651"/>
    <w:rsid w:val="00D034E3"/>
    <w:rsid w:val="00D1767A"/>
    <w:rsid w:val="00D22AEB"/>
    <w:rsid w:val="00D277D1"/>
    <w:rsid w:val="00D31070"/>
    <w:rsid w:val="00D377AF"/>
    <w:rsid w:val="00D40AEE"/>
    <w:rsid w:val="00D40E2C"/>
    <w:rsid w:val="00D433A9"/>
    <w:rsid w:val="00D577ED"/>
    <w:rsid w:val="00D72A02"/>
    <w:rsid w:val="00D86EC8"/>
    <w:rsid w:val="00D87FCC"/>
    <w:rsid w:val="00D90004"/>
    <w:rsid w:val="00D91E83"/>
    <w:rsid w:val="00D943B8"/>
    <w:rsid w:val="00D96E4B"/>
    <w:rsid w:val="00DA36D5"/>
    <w:rsid w:val="00DB02C9"/>
    <w:rsid w:val="00DD1DF1"/>
    <w:rsid w:val="00DD361A"/>
    <w:rsid w:val="00DE63F5"/>
    <w:rsid w:val="00DF5EAB"/>
    <w:rsid w:val="00DF6964"/>
    <w:rsid w:val="00E06ADD"/>
    <w:rsid w:val="00E06B90"/>
    <w:rsid w:val="00E16817"/>
    <w:rsid w:val="00E16BB8"/>
    <w:rsid w:val="00E338D9"/>
    <w:rsid w:val="00E35372"/>
    <w:rsid w:val="00E4272B"/>
    <w:rsid w:val="00E45DDF"/>
    <w:rsid w:val="00E515F4"/>
    <w:rsid w:val="00E51A5B"/>
    <w:rsid w:val="00E51E1D"/>
    <w:rsid w:val="00E52545"/>
    <w:rsid w:val="00E564B6"/>
    <w:rsid w:val="00E6744B"/>
    <w:rsid w:val="00E72A97"/>
    <w:rsid w:val="00E73EDF"/>
    <w:rsid w:val="00E76025"/>
    <w:rsid w:val="00E82103"/>
    <w:rsid w:val="00E91004"/>
    <w:rsid w:val="00E92A62"/>
    <w:rsid w:val="00E943DF"/>
    <w:rsid w:val="00E96933"/>
    <w:rsid w:val="00EA116A"/>
    <w:rsid w:val="00EA177D"/>
    <w:rsid w:val="00EA3FA3"/>
    <w:rsid w:val="00EB0D6A"/>
    <w:rsid w:val="00EC42CA"/>
    <w:rsid w:val="00EC74CA"/>
    <w:rsid w:val="00EE0A6A"/>
    <w:rsid w:val="00EE7B4B"/>
    <w:rsid w:val="00EF09AA"/>
    <w:rsid w:val="00EF19AC"/>
    <w:rsid w:val="00EF56BD"/>
    <w:rsid w:val="00F01737"/>
    <w:rsid w:val="00F06A0F"/>
    <w:rsid w:val="00F14A04"/>
    <w:rsid w:val="00F2061B"/>
    <w:rsid w:val="00F22B16"/>
    <w:rsid w:val="00F341B1"/>
    <w:rsid w:val="00F403C0"/>
    <w:rsid w:val="00F4207F"/>
    <w:rsid w:val="00F43B94"/>
    <w:rsid w:val="00F44CCC"/>
    <w:rsid w:val="00F4669E"/>
    <w:rsid w:val="00F51331"/>
    <w:rsid w:val="00F555D7"/>
    <w:rsid w:val="00F60A97"/>
    <w:rsid w:val="00F664BD"/>
    <w:rsid w:val="00F7102F"/>
    <w:rsid w:val="00F8540E"/>
    <w:rsid w:val="00F873AF"/>
    <w:rsid w:val="00F87D91"/>
    <w:rsid w:val="00F94BD7"/>
    <w:rsid w:val="00F97771"/>
    <w:rsid w:val="00FA2F7D"/>
    <w:rsid w:val="00FA71F1"/>
    <w:rsid w:val="00FC0612"/>
    <w:rsid w:val="00FC2A33"/>
    <w:rsid w:val="00FD1FA9"/>
    <w:rsid w:val="00FD256C"/>
    <w:rsid w:val="00FD4CC7"/>
    <w:rsid w:val="00FE7F4E"/>
    <w:rsid w:val="00FF114A"/>
    <w:rsid w:val="00FF40A1"/>
    <w:rsid w:val="00FF61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CFA31"/>
  <w15:chartTrackingRefBased/>
  <w15:docId w15:val="{F70E19E3-1BBC-4213-9AD0-01006F1A4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54653"/>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ndNoteBibliographyTitle">
    <w:name w:val="EndNote Bibliography Title"/>
    <w:basedOn w:val="Standard"/>
    <w:link w:val="EndNoteBibliographyTitleZchn"/>
    <w:rsid w:val="006A6859"/>
    <w:pPr>
      <w:spacing w:after="0"/>
      <w:jc w:val="center"/>
    </w:pPr>
    <w:rPr>
      <w:rFonts w:ascii="Times New Roman" w:hAnsi="Times New Roman" w:cs="Times New Roman"/>
      <w:noProof/>
      <w:sz w:val="24"/>
      <w:lang w:val="en-US"/>
    </w:rPr>
  </w:style>
  <w:style w:type="character" w:customStyle="1" w:styleId="EndNoteBibliographyTitleZchn">
    <w:name w:val="EndNote Bibliography Title Zchn"/>
    <w:basedOn w:val="Absatz-Standardschriftart"/>
    <w:link w:val="EndNoteBibliographyTitle"/>
    <w:rsid w:val="006A6859"/>
    <w:rPr>
      <w:rFonts w:ascii="Times New Roman" w:hAnsi="Times New Roman" w:cs="Times New Roman"/>
      <w:noProof/>
      <w:sz w:val="24"/>
      <w:lang w:val="en-US"/>
    </w:rPr>
  </w:style>
  <w:style w:type="paragraph" w:customStyle="1" w:styleId="EndNoteBibliography">
    <w:name w:val="EndNote Bibliography"/>
    <w:basedOn w:val="Standard"/>
    <w:link w:val="EndNoteBibliographyZchn"/>
    <w:rsid w:val="006A6859"/>
    <w:pPr>
      <w:spacing w:line="480" w:lineRule="auto"/>
    </w:pPr>
    <w:rPr>
      <w:rFonts w:ascii="Times New Roman" w:hAnsi="Times New Roman" w:cs="Times New Roman"/>
      <w:noProof/>
      <w:sz w:val="24"/>
      <w:lang w:val="en-US"/>
    </w:rPr>
  </w:style>
  <w:style w:type="character" w:customStyle="1" w:styleId="EndNoteBibliographyZchn">
    <w:name w:val="EndNote Bibliography Zchn"/>
    <w:basedOn w:val="Absatz-Standardschriftart"/>
    <w:link w:val="EndNoteBibliography"/>
    <w:rsid w:val="006A6859"/>
    <w:rPr>
      <w:rFonts w:ascii="Times New Roman" w:hAnsi="Times New Roman" w:cs="Times New Roman"/>
      <w:noProof/>
      <w:sz w:val="24"/>
      <w:lang w:val="en-US"/>
    </w:rPr>
  </w:style>
  <w:style w:type="paragraph" w:styleId="Sprechblasentext">
    <w:name w:val="Balloon Text"/>
    <w:basedOn w:val="Standard"/>
    <w:link w:val="SprechblasentextZchn"/>
    <w:uiPriority w:val="99"/>
    <w:semiHidden/>
    <w:unhideWhenUsed/>
    <w:rsid w:val="003F476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F4768"/>
    <w:rPr>
      <w:rFonts w:ascii="Segoe UI" w:hAnsi="Segoe UI" w:cs="Segoe UI"/>
      <w:sz w:val="18"/>
      <w:szCs w:val="18"/>
    </w:rPr>
  </w:style>
  <w:style w:type="table" w:styleId="Tabellenraster">
    <w:name w:val="Table Grid"/>
    <w:basedOn w:val="NormaleTabelle"/>
    <w:uiPriority w:val="39"/>
    <w:rsid w:val="00AC52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C234BC"/>
    <w:pPr>
      <w:ind w:left="720"/>
      <w:contextualSpacing/>
    </w:pPr>
  </w:style>
  <w:style w:type="paragraph" w:customStyle="1" w:styleId="bibcit">
    <w:name w:val="bibcit"/>
    <w:basedOn w:val="Standard"/>
    <w:link w:val="bibcitZchn"/>
    <w:rsid w:val="00851D3F"/>
    <w:pPr>
      <w:spacing w:after="120" w:line="480" w:lineRule="atLeast"/>
    </w:pPr>
    <w:rPr>
      <w:rFonts w:ascii="Times New Roman" w:eastAsia="Times New Roman" w:hAnsi="Times New Roman" w:cs="Times New Roman"/>
      <w:sz w:val="24"/>
      <w:szCs w:val="24"/>
      <w:lang w:val="en-US"/>
    </w:rPr>
  </w:style>
  <w:style w:type="character" w:customStyle="1" w:styleId="bibcitZchn">
    <w:name w:val="bibcit Zchn"/>
    <w:basedOn w:val="Absatz-Standardschriftart"/>
    <w:link w:val="bibcit"/>
    <w:rsid w:val="00851D3F"/>
    <w:rPr>
      <w:rFonts w:ascii="Times New Roman" w:eastAsia="Times New Roman" w:hAnsi="Times New Roman" w:cs="Times New Roman"/>
      <w:sz w:val="24"/>
      <w:szCs w:val="24"/>
      <w:lang w:val="en-US"/>
    </w:rPr>
  </w:style>
  <w:style w:type="character" w:styleId="Kommentarzeichen">
    <w:name w:val="annotation reference"/>
    <w:basedOn w:val="Absatz-Standardschriftart"/>
    <w:uiPriority w:val="99"/>
    <w:semiHidden/>
    <w:unhideWhenUsed/>
    <w:rsid w:val="009D64C9"/>
    <w:rPr>
      <w:sz w:val="16"/>
      <w:szCs w:val="16"/>
    </w:rPr>
  </w:style>
  <w:style w:type="paragraph" w:styleId="Kommentartext">
    <w:name w:val="annotation text"/>
    <w:basedOn w:val="Standard"/>
    <w:link w:val="KommentartextZchn"/>
    <w:uiPriority w:val="99"/>
    <w:semiHidden/>
    <w:unhideWhenUsed/>
    <w:rsid w:val="009D64C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D64C9"/>
    <w:rPr>
      <w:sz w:val="20"/>
      <w:szCs w:val="20"/>
    </w:rPr>
  </w:style>
  <w:style w:type="paragraph" w:styleId="Kommentarthema">
    <w:name w:val="annotation subject"/>
    <w:basedOn w:val="Kommentartext"/>
    <w:next w:val="Kommentartext"/>
    <w:link w:val="KommentarthemaZchn"/>
    <w:uiPriority w:val="99"/>
    <w:semiHidden/>
    <w:unhideWhenUsed/>
    <w:rsid w:val="009D64C9"/>
    <w:rPr>
      <w:b/>
      <w:bCs/>
    </w:rPr>
  </w:style>
  <w:style w:type="character" w:customStyle="1" w:styleId="KommentarthemaZchn">
    <w:name w:val="Kommentarthema Zchn"/>
    <w:basedOn w:val="KommentartextZchn"/>
    <w:link w:val="Kommentarthema"/>
    <w:uiPriority w:val="99"/>
    <w:semiHidden/>
    <w:rsid w:val="009D64C9"/>
    <w:rPr>
      <w:b/>
      <w:bCs/>
      <w:sz w:val="20"/>
      <w:szCs w:val="20"/>
    </w:rPr>
  </w:style>
  <w:style w:type="table" w:customStyle="1" w:styleId="EinfacheTabelle11">
    <w:name w:val="Einfache Tabelle 11"/>
    <w:basedOn w:val="NormaleTabelle"/>
    <w:uiPriority w:val="41"/>
    <w:rsid w:val="00D96E4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KeinLeerraum">
    <w:name w:val="No Spacing"/>
    <w:link w:val="KeinLeerraumZchn"/>
    <w:uiPriority w:val="1"/>
    <w:qFormat/>
    <w:rsid w:val="00D96E4B"/>
    <w:pPr>
      <w:spacing w:after="0" w:line="240" w:lineRule="auto"/>
    </w:pPr>
  </w:style>
  <w:style w:type="character" w:customStyle="1" w:styleId="KeinLeerraumZchn">
    <w:name w:val="Kein Leerraum Zchn"/>
    <w:basedOn w:val="Absatz-Standardschriftart"/>
    <w:link w:val="KeinLeerraum"/>
    <w:uiPriority w:val="1"/>
    <w:rsid w:val="00D96E4B"/>
  </w:style>
  <w:style w:type="paragraph" w:styleId="StandardWeb">
    <w:name w:val="Normal (Web)"/>
    <w:basedOn w:val="Standard"/>
    <w:uiPriority w:val="99"/>
    <w:unhideWhenUsed/>
    <w:rsid w:val="00D96E4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Kopfzeile">
    <w:name w:val="header"/>
    <w:basedOn w:val="Standard"/>
    <w:link w:val="KopfzeileZchn"/>
    <w:uiPriority w:val="99"/>
    <w:unhideWhenUsed/>
    <w:rsid w:val="00EF19A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F19AC"/>
  </w:style>
  <w:style w:type="paragraph" w:styleId="Fuzeile">
    <w:name w:val="footer"/>
    <w:basedOn w:val="Standard"/>
    <w:link w:val="FuzeileZchn"/>
    <w:uiPriority w:val="99"/>
    <w:unhideWhenUsed/>
    <w:rsid w:val="00EF19A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F19AC"/>
  </w:style>
  <w:style w:type="character" w:customStyle="1" w:styleId="citation-part">
    <w:name w:val="citation-part"/>
    <w:basedOn w:val="Absatz-Standardschriftart"/>
    <w:rsid w:val="00E51E1D"/>
  </w:style>
  <w:style w:type="character" w:customStyle="1" w:styleId="docsum-pmid">
    <w:name w:val="docsum-pmid"/>
    <w:basedOn w:val="Absatz-Standardschriftart"/>
    <w:rsid w:val="00E51E1D"/>
  </w:style>
  <w:style w:type="character" w:styleId="Fett">
    <w:name w:val="Strong"/>
    <w:basedOn w:val="Absatz-Standardschriftart"/>
    <w:uiPriority w:val="22"/>
    <w:qFormat/>
    <w:rsid w:val="009A5426"/>
    <w:rPr>
      <w:b/>
      <w:bCs/>
    </w:rPr>
  </w:style>
  <w:style w:type="character" w:styleId="Zeilennummer">
    <w:name w:val="line number"/>
    <w:basedOn w:val="Absatz-Standardschriftart"/>
    <w:uiPriority w:val="99"/>
    <w:semiHidden/>
    <w:unhideWhenUsed/>
    <w:rsid w:val="004C7EDC"/>
  </w:style>
  <w:style w:type="paragraph" w:styleId="berarbeitung">
    <w:name w:val="Revision"/>
    <w:hidden/>
    <w:uiPriority w:val="99"/>
    <w:semiHidden/>
    <w:rsid w:val="00235F6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251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952</Words>
  <Characters>6002</Characters>
  <Application>Microsoft Office Word</Application>
  <DocSecurity>0</DocSecurity>
  <Lines>50</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Schlein</dc:creator>
  <cp:keywords/>
  <dc:description/>
  <cp:lastModifiedBy>Christian Schlein</cp:lastModifiedBy>
  <cp:revision>2</cp:revision>
  <dcterms:created xsi:type="dcterms:W3CDTF">2022-11-18T11:31:00Z</dcterms:created>
  <dcterms:modified xsi:type="dcterms:W3CDTF">2022-11-18T11:31:00Z</dcterms:modified>
</cp:coreProperties>
</file>