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57C9" w14:textId="07383985" w:rsidR="00754653" w:rsidRPr="003353B7" w:rsidRDefault="00754653" w:rsidP="00AB2C91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35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Supplement</w:t>
      </w:r>
      <w:r w:rsidR="004C7E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ary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53B7" w:rsidRPr="003353B7" w14:paraId="69CC53C7" w14:textId="77777777" w:rsidTr="00A6236C">
        <w:tc>
          <w:tcPr>
            <w:tcW w:w="4531" w:type="dxa"/>
            <w:vAlign w:val="center"/>
          </w:tcPr>
          <w:p w14:paraId="1E8AA612" w14:textId="77777777" w:rsidR="00AC52ED" w:rsidRPr="003353B7" w:rsidRDefault="00453B35" w:rsidP="00AB2C9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353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Content</w:t>
            </w:r>
          </w:p>
        </w:tc>
        <w:tc>
          <w:tcPr>
            <w:tcW w:w="4531" w:type="dxa"/>
            <w:vAlign w:val="center"/>
          </w:tcPr>
          <w:p w14:paraId="4811B151" w14:textId="77777777" w:rsidR="00AC52ED" w:rsidRPr="003353B7" w:rsidRDefault="00453B35" w:rsidP="00AB2C9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353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Page</w:t>
            </w:r>
          </w:p>
        </w:tc>
      </w:tr>
      <w:tr w:rsidR="003353B7" w:rsidRPr="003353B7" w14:paraId="0A1798AF" w14:textId="77777777" w:rsidTr="00A6236C">
        <w:tc>
          <w:tcPr>
            <w:tcW w:w="4531" w:type="dxa"/>
            <w:vAlign w:val="center"/>
          </w:tcPr>
          <w:p w14:paraId="5EB6F3F3" w14:textId="4E10EFC4" w:rsidR="00AC52ED" w:rsidRPr="003353B7" w:rsidRDefault="00DF6964" w:rsidP="00AB2C91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Medical history of index patient</w:t>
            </w:r>
          </w:p>
        </w:tc>
        <w:tc>
          <w:tcPr>
            <w:tcW w:w="4531" w:type="dxa"/>
            <w:vAlign w:val="center"/>
          </w:tcPr>
          <w:p w14:paraId="2BB99861" w14:textId="5A5E869D" w:rsidR="00AC52ED" w:rsidRPr="003353B7" w:rsidRDefault="00027D42" w:rsidP="00AB2C91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3353B7" w:rsidRPr="003353B7" w14:paraId="51BCDC80" w14:textId="77777777" w:rsidTr="00A6236C">
        <w:tc>
          <w:tcPr>
            <w:tcW w:w="4531" w:type="dxa"/>
            <w:vAlign w:val="center"/>
          </w:tcPr>
          <w:p w14:paraId="46492413" w14:textId="7CCF54D9" w:rsidR="00142065" w:rsidRPr="003353B7" w:rsidRDefault="00837A0E" w:rsidP="00AB2C91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Supplementa</w:t>
            </w:r>
            <w:r w:rsidR="0090725A" w:rsidRPr="00335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335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table</w:t>
            </w:r>
          </w:p>
        </w:tc>
        <w:tc>
          <w:tcPr>
            <w:tcW w:w="4531" w:type="dxa"/>
            <w:vAlign w:val="center"/>
          </w:tcPr>
          <w:p w14:paraId="7EF9D712" w14:textId="7BCF172D" w:rsidR="00142065" w:rsidRPr="003353B7" w:rsidRDefault="00D72A02" w:rsidP="00AB2C91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8A4F2F" w:rsidRPr="003353B7" w14:paraId="60A3EC67" w14:textId="77777777" w:rsidTr="00A6236C">
        <w:trPr>
          <w:trHeight w:val="571"/>
        </w:trPr>
        <w:tc>
          <w:tcPr>
            <w:tcW w:w="4531" w:type="dxa"/>
            <w:vAlign w:val="center"/>
          </w:tcPr>
          <w:p w14:paraId="6357CC9C" w14:textId="4121F4F4" w:rsidR="008A4F2F" w:rsidRPr="003353B7" w:rsidRDefault="008A4F2F" w:rsidP="00AB2C91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Supplemental references</w:t>
            </w:r>
          </w:p>
        </w:tc>
        <w:tc>
          <w:tcPr>
            <w:tcW w:w="4531" w:type="dxa"/>
            <w:vAlign w:val="center"/>
          </w:tcPr>
          <w:p w14:paraId="3A516BDE" w14:textId="56409990" w:rsidR="008A4F2F" w:rsidRPr="003353B7" w:rsidRDefault="00D72A02" w:rsidP="00AB2C91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</w:tbl>
    <w:p w14:paraId="68CCC4D5" w14:textId="77777777" w:rsidR="00AC52ED" w:rsidRPr="003353B7" w:rsidRDefault="00AC52ED" w:rsidP="00AB2C91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0C177172" w14:textId="2C94C536" w:rsidR="00E52545" w:rsidRPr="00027D42" w:rsidRDefault="00E52545" w:rsidP="00027D42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335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Medical history of index patient</w:t>
      </w:r>
    </w:p>
    <w:p w14:paraId="0584CCFD" w14:textId="07500E05" w:rsidR="00C144EA" w:rsidRPr="00D72A02" w:rsidRDefault="00E52545" w:rsidP="00D72A02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boy, the first of two children of non-consanguineous healthy parents from Kongo and Angola (Fig. 1A), presented with moderate delay in speech development, autistic </w:t>
      </w:r>
      <w:proofErr w:type="gram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behavior</w:t>
      </w:r>
      <w:proofErr w:type="gram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macrocephaly. He was born after an uneventfully pregnancy at term with birth weight of 3790g (+0.80 z) and occipitofrontal head circumference (OFC) of 35 cm (+0.04 z); birth length was not available. Neonatal period and infancy were unremarkable; all milestones of motor development have been reached in time. However, language development was delayed. The index patient started speaking </w:t>
      </w:r>
      <w:r w:rsidR="002F448D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 years of age and spoke only one to </w:t>
      </w:r>
      <w:r w:rsidR="00EC42CA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two-word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sentences at the age of 5 years, whereas </w:t>
      </w:r>
      <w:r w:rsidR="00CB62BF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his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receptive language was </w:t>
      </w:r>
      <w:r w:rsidR="00EC42CA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substantially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better. His behavior was described as reclusive and autistic</w:t>
      </w:r>
      <w:r w:rsidR="00C142F4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like. At the last examination at 5 years and 10 months of age</w:t>
      </w:r>
      <w:r w:rsidR="00C142F4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 saw a friendly tall and mildly obese boy with a length of 127 cm (+1.94 z), a weight of 34,6 kg (+2.77 z), a BMI of 21.5 (+1.94 z) and </w:t>
      </w:r>
      <w:proofErr w:type="gram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OFC of 56 cm (+2.52 z). Blood analysis revealed normal thyroid and liver parameters</w:t>
      </w:r>
      <w:r w:rsidR="00C142F4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but slightly increased creatine kinase (207 U/l, n &lt; 148 U/l). Extensive metabolic work up gave </w:t>
      </w:r>
      <w:r w:rsidR="00CB62BF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normal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results. Ultrasound of abdominal organs was normal except </w:t>
      </w:r>
      <w:r w:rsidR="00CB62BF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hyperechogenic signal of liver tissue </w:t>
      </w:r>
      <w:r w:rsidR="00CB62BF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suggestin</w:t>
      </w:r>
      <w:r w:rsidR="00FA2F7D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 </w:t>
      </w:r>
      <w:r w:rsidR="006743DB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mild </w:t>
      </w:r>
      <w:r w:rsidR="00CB62BF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hepatic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steatosis. Brain MRI was inconspicuous. X-ray of the knee revealed genu varum and a hyperostosis of the medial tibia </w:t>
      </w:r>
      <w:proofErr w:type="spell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corticalis</w:t>
      </w:r>
      <w:proofErr w:type="spell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Chromosome analysis showed normal male karyotype, CGH</w:t>
      </w:r>
      <w:r w:rsidR="006743DB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array and </w:t>
      </w:r>
      <w:proofErr w:type="spell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fraX</w:t>
      </w:r>
      <w:proofErr w:type="spell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-testing were </w:t>
      </w:r>
      <w:r w:rsidR="006743DB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inconspicuous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To elucidate the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cause of developmental delay and behavior problems a trio whole-exome analysis was performed </w:t>
      </w:r>
      <w:r w:rsidR="00C144EA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without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ident</w:t>
      </w:r>
      <w:r w:rsidR="00C144EA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ification of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7543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applicable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pathogenic variant</w:t>
      </w:r>
      <w:r w:rsidR="00C144EA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known disease genes. However</w:t>
      </w:r>
      <w:r w:rsidR="006743DB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r w:rsidRPr="003353B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de novo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missense variant in </w:t>
      </w:r>
      <w:r w:rsidRPr="003353B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FASN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(c.6529C&gt;T, p.Arg2177Cys) was discovered (see also Table S1). </w:t>
      </w:r>
    </w:p>
    <w:p w14:paraId="274AAF81" w14:textId="3C33A9F8" w:rsidR="00142065" w:rsidRPr="003353B7" w:rsidRDefault="00142065">
      <w:pPr>
        <w:rPr>
          <w:b/>
          <w:bCs/>
          <w:color w:val="000000" w:themeColor="text1"/>
          <w:lang w:val="en-US"/>
        </w:rPr>
      </w:pPr>
      <w:r w:rsidRPr="00335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Supplementa</w:t>
      </w:r>
      <w:r w:rsidR="0090725A" w:rsidRPr="00335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</w:t>
      </w:r>
      <w:r w:rsidRPr="00335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Table</w:t>
      </w:r>
      <w:r w:rsidR="00F664BD" w:rsidRPr="00335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</w:t>
      </w:r>
    </w:p>
    <w:tbl>
      <w:tblPr>
        <w:tblStyle w:val="EinfacheTabelle11"/>
        <w:tblpPr w:leftFromText="141" w:rightFromText="141" w:vertAnchor="page" w:horzAnchor="margin" w:tblpY="4366"/>
        <w:tblW w:w="89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993"/>
        <w:gridCol w:w="850"/>
        <w:gridCol w:w="762"/>
        <w:gridCol w:w="844"/>
        <w:gridCol w:w="1031"/>
        <w:gridCol w:w="907"/>
        <w:gridCol w:w="567"/>
        <w:gridCol w:w="709"/>
        <w:gridCol w:w="708"/>
        <w:gridCol w:w="1025"/>
      </w:tblGrid>
      <w:tr w:rsidR="00D72A02" w:rsidRPr="00D02651" w14:paraId="16A61F8C" w14:textId="77777777" w:rsidTr="00D72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4F62C4D2" w14:textId="77777777" w:rsidR="00D72A02" w:rsidRPr="003353B7" w:rsidRDefault="00D72A02" w:rsidP="00D72A02">
            <w:pPr>
              <w:jc w:val="center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Chr.</w:t>
            </w:r>
          </w:p>
        </w:tc>
        <w:tc>
          <w:tcPr>
            <w:tcW w:w="993" w:type="dxa"/>
            <w:vAlign w:val="center"/>
          </w:tcPr>
          <w:p w14:paraId="1B257F63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Genomic position</w:t>
            </w:r>
          </w:p>
        </w:tc>
        <w:tc>
          <w:tcPr>
            <w:tcW w:w="850" w:type="dxa"/>
            <w:vAlign w:val="center"/>
          </w:tcPr>
          <w:p w14:paraId="0894BD4E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Gene</w:t>
            </w:r>
          </w:p>
        </w:tc>
        <w:tc>
          <w:tcPr>
            <w:tcW w:w="762" w:type="dxa"/>
            <w:vAlign w:val="center"/>
          </w:tcPr>
          <w:p w14:paraId="4D2EFFA0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mRNA reference number</w:t>
            </w:r>
          </w:p>
        </w:tc>
        <w:tc>
          <w:tcPr>
            <w:tcW w:w="844" w:type="dxa"/>
            <w:vAlign w:val="center"/>
          </w:tcPr>
          <w:p w14:paraId="1F116FFF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Nucleotide change</w:t>
            </w:r>
          </w:p>
        </w:tc>
        <w:tc>
          <w:tcPr>
            <w:tcW w:w="1031" w:type="dxa"/>
            <w:vAlign w:val="center"/>
          </w:tcPr>
          <w:p w14:paraId="7B025F6D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Amino acid alteration</w:t>
            </w:r>
          </w:p>
        </w:tc>
        <w:tc>
          <w:tcPr>
            <w:tcW w:w="907" w:type="dxa"/>
            <w:vAlign w:val="center"/>
          </w:tcPr>
          <w:p w14:paraId="2513D7FA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gnomAD</w:t>
            </w:r>
            <w:proofErr w:type="spellEnd"/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browser: MAF [%]</w:t>
            </w:r>
          </w:p>
        </w:tc>
        <w:tc>
          <w:tcPr>
            <w:tcW w:w="567" w:type="dxa"/>
            <w:vAlign w:val="center"/>
          </w:tcPr>
          <w:p w14:paraId="05516392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CADD</w:t>
            </w:r>
          </w:p>
          <w:p w14:paraId="1E659209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(&gt;20)</w:t>
            </w:r>
          </w:p>
        </w:tc>
        <w:tc>
          <w:tcPr>
            <w:tcW w:w="709" w:type="dxa"/>
            <w:vAlign w:val="center"/>
          </w:tcPr>
          <w:p w14:paraId="39A02D60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M-CAP</w:t>
            </w:r>
          </w:p>
          <w:p w14:paraId="50F98800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(&gt;0.025)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vAlign w:val="center"/>
          </w:tcPr>
          <w:p w14:paraId="0FE356D2" w14:textId="77777777" w:rsidR="00D72A02" w:rsidRPr="003353B7" w:rsidRDefault="00D72A02" w:rsidP="00D72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ClinPred</w:t>
            </w:r>
            <w:proofErr w:type="spellEnd"/>
          </w:p>
          <w:p w14:paraId="1F868292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(&gt;0.5)</w:t>
            </w:r>
          </w:p>
        </w:tc>
        <w:tc>
          <w:tcPr>
            <w:tcW w:w="1025" w:type="dxa"/>
            <w:vAlign w:val="center"/>
          </w:tcPr>
          <w:p w14:paraId="064BCB12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OMIM</w:t>
            </w:r>
          </w:p>
          <w:p w14:paraId="24BA3593" w14:textId="77777777" w:rsidR="00D72A02" w:rsidRPr="003353B7" w:rsidRDefault="00D72A02" w:rsidP="00D72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phenotype and MIM number</w:t>
            </w:r>
          </w:p>
        </w:tc>
      </w:tr>
      <w:tr w:rsidR="00D72A02" w:rsidRPr="003353B7" w14:paraId="3EE89A8D" w14:textId="77777777" w:rsidTr="00D72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shd w:val="clear" w:color="auto" w:fill="auto"/>
            <w:vAlign w:val="center"/>
          </w:tcPr>
          <w:p w14:paraId="7E14FAD9" w14:textId="77777777" w:rsidR="00D72A02" w:rsidRPr="003353B7" w:rsidRDefault="00D72A02" w:rsidP="00D72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8517E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80039106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8B0F96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FASN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DE1CBE7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NM_004104.4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A5831AA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c.6529C&gt;T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44760AF1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p.(Arg2177Cys)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F8EA4A0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E8F9A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24.7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7DBFD" w14:textId="77777777" w:rsidR="00D72A02" w:rsidRPr="003353B7" w:rsidRDefault="00D72A02" w:rsidP="00D72A02">
            <w:pPr>
              <w:pStyle w:val="Standard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353B7">
              <w:rPr>
                <w:color w:val="000000" w:themeColor="text1"/>
                <w:kern w:val="24"/>
                <w:sz w:val="18"/>
                <w:szCs w:val="18"/>
                <w:lang w:val="de-DE"/>
              </w:rPr>
              <w:t>0.041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EF58F8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0.993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434F6B0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  <w:t>̶</w:t>
            </w:r>
          </w:p>
        </w:tc>
      </w:tr>
      <w:tr w:rsidR="00D72A02" w:rsidRPr="003353B7" w14:paraId="670E3E0C" w14:textId="77777777" w:rsidTr="00D72A02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shd w:val="clear" w:color="auto" w:fill="auto"/>
            <w:vAlign w:val="center"/>
          </w:tcPr>
          <w:p w14:paraId="7C7DDA2D" w14:textId="77777777" w:rsidR="00D72A02" w:rsidRPr="003353B7" w:rsidRDefault="00D72A02" w:rsidP="00D72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7F114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22157724, mat.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584224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>HSPG2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AEE2990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NM_005529.5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DBD328E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c.11546G&gt;C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0E49691A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p.(Arg3849Pro)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151B322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0.004604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1EB08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24.0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256EB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0.117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vAlign w:val="center"/>
          </w:tcPr>
          <w:p w14:paraId="67BD3402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0.064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0812B3C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DDSH, #224410;</w:t>
            </w:r>
          </w:p>
          <w:p w14:paraId="566475F6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SJS1, #255800</w:t>
            </w:r>
          </w:p>
        </w:tc>
      </w:tr>
      <w:tr w:rsidR="00D72A02" w:rsidRPr="003353B7" w14:paraId="3235CA07" w14:textId="77777777" w:rsidTr="00D72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shd w:val="clear" w:color="auto" w:fill="auto"/>
            <w:vAlign w:val="center"/>
          </w:tcPr>
          <w:p w14:paraId="286F50D7" w14:textId="77777777" w:rsidR="00D72A02" w:rsidRPr="003353B7" w:rsidRDefault="00D72A02" w:rsidP="00D72A0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D12F5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 xml:space="preserve">22192236, </w:t>
            </w:r>
            <w:proofErr w:type="spellStart"/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pat</w:t>
            </w:r>
            <w:proofErr w:type="spellEnd"/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D2C73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3353B7"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HSPG2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9AF23C0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NM_005529.5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EFB4CC5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c.4288C&gt;T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9BD2178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p.(Leu1430Phe)</w:t>
            </w:r>
          </w:p>
        </w:tc>
        <w:tc>
          <w:tcPr>
            <w:tcW w:w="90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7B9D4D5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0.003186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6B9DC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23.5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4F587" w14:textId="77777777" w:rsidR="00D72A02" w:rsidRPr="003353B7" w:rsidRDefault="00D72A02" w:rsidP="00D72A02">
            <w:pPr>
              <w:pStyle w:val="Standard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kern w:val="24"/>
                <w:sz w:val="18"/>
                <w:szCs w:val="18"/>
                <w:highlight w:val="yellow"/>
                <w:lang w:val="de-DE"/>
              </w:rPr>
            </w:pPr>
            <w:r w:rsidRPr="003353B7">
              <w:rPr>
                <w:color w:val="000000" w:themeColor="text1"/>
                <w:kern w:val="24"/>
                <w:sz w:val="18"/>
                <w:szCs w:val="18"/>
                <w:lang w:val="de-DE"/>
              </w:rPr>
              <w:t>0.030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3C1641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0.845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42EB021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DDSH, #224410;</w:t>
            </w:r>
          </w:p>
          <w:p w14:paraId="5E27A6C5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SJS1, #255800</w:t>
            </w:r>
          </w:p>
        </w:tc>
      </w:tr>
      <w:tr w:rsidR="00D72A02" w:rsidRPr="003353B7" w14:paraId="69FDA1BF" w14:textId="77777777" w:rsidTr="00D72A02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shd w:val="clear" w:color="auto" w:fill="auto"/>
            <w:vAlign w:val="center"/>
          </w:tcPr>
          <w:p w14:paraId="54944F0D" w14:textId="77777777" w:rsidR="00D72A02" w:rsidRPr="003353B7" w:rsidRDefault="00D72A02" w:rsidP="00D72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97DC3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 xml:space="preserve">86818601, </w:t>
            </w:r>
            <w:proofErr w:type="spellStart"/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pat</w:t>
            </w:r>
            <w:proofErr w:type="spellEnd"/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4A8C16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ODF2L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BED1790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NM_001007022.2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1ADB4A0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c.1834G&gt;C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4FF71246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p.(Glu612Gln)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484F174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  <w:t>0.004730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FC9CF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27.5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DB56F" w14:textId="77777777" w:rsidR="00D72A02" w:rsidRPr="003353B7" w:rsidRDefault="00D72A02" w:rsidP="00D72A02">
            <w:pPr>
              <w:pStyle w:val="Standard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3353B7">
              <w:rPr>
                <w:rFonts w:eastAsia="Calibri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vAlign w:val="center"/>
          </w:tcPr>
          <w:p w14:paraId="7D0635BE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0.508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248B2BB" w14:textId="77777777" w:rsidR="00D72A02" w:rsidRPr="003353B7" w:rsidRDefault="00D72A02" w:rsidP="00D72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  <w:t>̶</w:t>
            </w:r>
          </w:p>
        </w:tc>
      </w:tr>
      <w:tr w:rsidR="00D72A02" w:rsidRPr="003353B7" w14:paraId="3F1CC04A" w14:textId="77777777" w:rsidTr="00D72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shd w:val="clear" w:color="auto" w:fill="auto"/>
            <w:vAlign w:val="center"/>
          </w:tcPr>
          <w:p w14:paraId="4233194B" w14:textId="77777777" w:rsidR="00D72A02" w:rsidRPr="003353B7" w:rsidRDefault="00D72A02" w:rsidP="00D72A0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E2438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 xml:space="preserve">86838152, </w:t>
            </w:r>
            <w:proofErr w:type="spellStart"/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mat</w:t>
            </w:r>
            <w:proofErr w:type="spellEnd"/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A0473E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3353B7"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ODF2L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2D9F9A1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NM_001007022.2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F4A62BE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c.882A&gt;T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03BAD0EB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p.(Glu294Asp)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0ED7C32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  <w:t>0.01651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C2662E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D6A849" w14:textId="77777777" w:rsidR="00D72A02" w:rsidRPr="003353B7" w:rsidRDefault="00D72A02" w:rsidP="00D72A02">
            <w:pPr>
              <w:pStyle w:val="Standard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3353B7">
              <w:rPr>
                <w:color w:val="000000" w:themeColor="text1"/>
                <w:kern w:val="24"/>
                <w:sz w:val="18"/>
                <w:szCs w:val="18"/>
                <w:lang w:val="de-DE"/>
              </w:rPr>
              <w:t>0.024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02CD7C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53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0.256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5920D80" w14:textId="77777777" w:rsidR="00D72A02" w:rsidRPr="003353B7" w:rsidRDefault="00D72A02" w:rsidP="00D72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3353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  <w:t>̶</w:t>
            </w:r>
          </w:p>
        </w:tc>
      </w:tr>
    </w:tbl>
    <w:p w14:paraId="2E4CE384" w14:textId="71EA8248" w:rsidR="00D96E4B" w:rsidRPr="003353B7" w:rsidRDefault="00027D42" w:rsidP="0056028B">
      <w:pPr>
        <w:pStyle w:val="KeinLeerraum"/>
        <w:spacing w:line="480" w:lineRule="auto"/>
        <w:ind w:right="1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de-D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/>
      </w:r>
      <w:r w:rsidR="00D96E4B" w:rsidRPr="003353B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Table S1. </w:t>
      </w:r>
      <w:r w:rsidR="00D96E4B" w:rsidRPr="003353B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In silico </w:t>
      </w:r>
      <w:r w:rsidR="00D96E4B" w:rsidRPr="003353B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pathogenicity prediction, minor allele frequency, and associated OMIM phenotypes of </w:t>
      </w:r>
      <w:r w:rsidR="00D96E4B" w:rsidRPr="003353B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de novo</w:t>
      </w:r>
      <w:r w:rsidR="00D96E4B" w:rsidRPr="003353B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and biallelic variants in the patient</w:t>
      </w:r>
    </w:p>
    <w:p w14:paraId="3B8078D1" w14:textId="045D15BD" w:rsidR="000A0D92" w:rsidRPr="00551310" w:rsidRDefault="00D96E4B" w:rsidP="00551310">
      <w:pPr>
        <w:pStyle w:val="KeinLeerraum"/>
        <w:spacing w:line="480" w:lineRule="auto"/>
        <w:ind w:right="12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</w:pP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Trio-exome data were filtered for potentially pathogenic </w:t>
      </w:r>
      <w:r w:rsidRPr="003353B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 w:eastAsia="de-DE"/>
        </w:rPr>
        <w:t>de novo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variants absent in the general population (dbSNP138, 100 Genomes Project, Exome Variant Server, </w:t>
      </w:r>
      <w:proofErr w:type="spell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>ExAC</w:t>
      </w:r>
      <w:proofErr w:type="spell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Browser, and </w:t>
      </w:r>
      <w:proofErr w:type="spell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>gnomAD</w:t>
      </w:r>
      <w:proofErr w:type="spell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Browser) and rare biallelic and hemizygous variants with minor allele frequency (MAF) &lt;0.1% and no homozygous or hemizygous carriers </w:t>
      </w:r>
      <w:r w:rsidR="0050064E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were found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>in the aforementioned databases. The functional impact of the identified variants was predicted by the Combined Annotation Dependent Depletion (CADD) tool, the Rare Exome Variant Ensemble Learner (REVEL) scoring system,</w:t>
      </w:r>
      <w:r w:rsidRPr="003353B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the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Mendelian Clinically Applicable Pathogenicity (M-CAP) Score, and the </w:t>
      </w:r>
      <w:proofErr w:type="spell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ClinPred</w:t>
      </w:r>
      <w:proofErr w:type="spell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tool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>. CADD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is a framework that integrates multiple annotations in one metric by contrasting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lastRenderedPageBreak/>
        <w:t>variants that survived natural selection with simulated mutations. Reported CADD score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</w:t>
      </w:r>
      <w:proofErr w:type="spell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>phred</w:t>
      </w:r>
      <w:proofErr w:type="spell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>-like rank score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based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the rank of that variant’s score among all possible single nucleotide variants of hg19, with 10 corresponding to the top 10%, 20 at the top 1%, and 30 at the top 0.1%. The larger the score the more likely the variant has deleterious effects; the score range observed here is strongly supportive of pathogenicity, with all observed variants ranking above ~99% of all variants in a typical genome and scoring similarly to variants reported in </w:t>
      </w:r>
      <w:proofErr w:type="spell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>ClinVar</w:t>
      </w:r>
      <w:proofErr w:type="spell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as pathogenic (~85% of which score &gt;15).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fldChar w:fldCharType="begin">
          <w:fldData xml:space="preserve">PEVuZE5vdGU+PENpdGU+PEF1dGhvcj5LaXJjaGVyPC9BdXRob3I+PFllYXI+MjAxNDwvWWVhcj48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</w:fldData>
        </w:fldChar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instrText xml:space="preserve"> ADDIN EN.CITE </w:instrTex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fldChar w:fldCharType="begin">
          <w:fldData xml:space="preserve">PEVuZE5vdGU+PENpdGU+PEF1dGhvcj5LaXJjaGVyPC9BdXRob3I+PFllYXI+MjAxNDwvWWVhcj48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</w:fldData>
        </w:fldChar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instrText xml:space="preserve"> ADDIN EN.CITE.DATA </w:instrTex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fldChar w:fldCharType="end"/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fldChar w:fldCharType="separate"/>
      </w:r>
      <w:r w:rsidRPr="003353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 w:eastAsia="de-DE"/>
        </w:rPr>
        <w:t>[1]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fldChar w:fldCharType="end"/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M-CAP is a classifier for rare missense variants in the human genome, which combines previous pathogenicity scores (including SIFT, Polyphen-2, and CADD), amino acid conservation features and computed scores trained on mutations linked to Mendelian diseases. The recommended pathogenicity threshold is </w:t>
      </w:r>
      <w:r w:rsidRPr="003353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&gt;0.025.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ClinPred</w:t>
      </w:r>
      <w:proofErr w:type="spell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an ensemble classifier for predicting disease relevance of missense variants, combining random forest and gradient boosting </w:t>
      </w:r>
      <w:proofErr w:type="gram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models</w:t>
      </w:r>
      <w:proofErr w:type="gram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employing allele frequencies of the variants in different populations from the </w:t>
      </w:r>
      <w:proofErr w:type="spell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gnoamAD</w:t>
      </w:r>
      <w:proofErr w:type="spell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database, with a score ranging from 0-1.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 w:eastAsia="de-DE"/>
        </w:rPr>
        <w:t>The higher the score the more likely the variant is pathogenic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The recommended pathogenicity threshold is ≥ 0.5.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3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DDSH</w:t>
      </w:r>
      <w:r w:rsidR="00BF5C9E" w:rsidRPr="003353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=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Dyssegmental</w:t>
      </w:r>
      <w:proofErr w:type="spell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dysplasia, Silverman-</w:t>
      </w:r>
      <w:proofErr w:type="spell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Handmaker</w:t>
      </w:r>
      <w:proofErr w:type="spell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type;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SJS1</w:t>
      </w:r>
      <w:r w:rsidR="00BF5C9E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Schwartz-</w:t>
      </w:r>
      <w:proofErr w:type="spellStart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Jampel</w:t>
      </w:r>
      <w:proofErr w:type="spellEnd"/>
      <w:r w:rsidRPr="003353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syndrome type 1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Chr.</w:t>
      </w:r>
      <w:r w:rsidR="00BF5C9E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chromosome; </w:t>
      </w:r>
      <w:r w:rsidRPr="003353B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</w:t>
      </w:r>
      <w:r w:rsidR="00837A0E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 allele frequency; mat.</w:t>
      </w:r>
      <w:r w:rsidR="00837A0E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maternal; pat.</w:t>
      </w:r>
      <w:r w:rsidR="00837A0E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paternal;  ̶ </w:t>
      </w:r>
      <w:r w:rsidR="00837A0E"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</w:t>
      </w:r>
      <w:r w:rsidRPr="003353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not available. </w:t>
      </w:r>
    </w:p>
    <w:p w14:paraId="75284B51" w14:textId="3B0C2251" w:rsidR="002E4105" w:rsidRPr="003353B7" w:rsidRDefault="0090725A" w:rsidP="00AB2C91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35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Supplemental</w:t>
      </w:r>
      <w:r w:rsidR="002E4105" w:rsidRPr="00335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References</w:t>
      </w:r>
    </w:p>
    <w:p w14:paraId="53C01DD4" w14:textId="77777777" w:rsidR="00AC356A" w:rsidRPr="00AC356A" w:rsidRDefault="006A6859" w:rsidP="00AC356A">
      <w:pPr>
        <w:pStyle w:val="EndNoteBibliography"/>
        <w:ind w:left="720" w:hanging="720"/>
      </w:pPr>
      <w:r w:rsidRPr="003353B7">
        <w:rPr>
          <w:color w:val="000000" w:themeColor="text1"/>
          <w:szCs w:val="24"/>
        </w:rPr>
        <w:fldChar w:fldCharType="begin"/>
      </w:r>
      <w:r w:rsidRPr="003353B7">
        <w:rPr>
          <w:color w:val="000000" w:themeColor="text1"/>
          <w:szCs w:val="24"/>
        </w:rPr>
        <w:instrText xml:space="preserve"> ADDIN EN.REFLIST </w:instrText>
      </w:r>
      <w:r w:rsidRPr="003353B7">
        <w:rPr>
          <w:color w:val="000000" w:themeColor="text1"/>
          <w:szCs w:val="24"/>
        </w:rPr>
        <w:fldChar w:fldCharType="separate"/>
      </w:r>
      <w:r w:rsidR="00AC356A" w:rsidRPr="00AC356A">
        <w:t>1.</w:t>
      </w:r>
      <w:r w:rsidR="00AC356A" w:rsidRPr="00AC356A">
        <w:tab/>
        <w:t xml:space="preserve">Kircher, M., et al., </w:t>
      </w:r>
      <w:r w:rsidR="00AC356A" w:rsidRPr="00AC356A">
        <w:rPr>
          <w:i/>
        </w:rPr>
        <w:t>A general framework for estimating the relative pathogenicity of human genetic variants.</w:t>
      </w:r>
      <w:r w:rsidR="00AC356A" w:rsidRPr="00AC356A">
        <w:t xml:space="preserve"> Nat Genet, 2014. </w:t>
      </w:r>
      <w:r w:rsidR="00AC356A" w:rsidRPr="00AC356A">
        <w:rPr>
          <w:b/>
        </w:rPr>
        <w:t>46</w:t>
      </w:r>
      <w:r w:rsidR="00AC356A" w:rsidRPr="00AC356A">
        <w:t>(3): p. 310-5.</w:t>
      </w:r>
    </w:p>
    <w:p w14:paraId="468F77CF" w14:textId="047D3DFF" w:rsidR="00DA0CC9" w:rsidRPr="003353B7" w:rsidRDefault="006A685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353B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sectPr w:rsidR="00DA0CC9" w:rsidRPr="003353B7" w:rsidSect="004C7EDC">
      <w:footerReference w:type="default" r:id="rId7"/>
      <w:pgSz w:w="12240" w:h="15840" w:code="1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1F82" w14:textId="77777777" w:rsidR="00BB0B08" w:rsidRDefault="00BB0B08" w:rsidP="00EF19AC">
      <w:pPr>
        <w:spacing w:after="0" w:line="240" w:lineRule="auto"/>
      </w:pPr>
      <w:r>
        <w:separator/>
      </w:r>
    </w:p>
  </w:endnote>
  <w:endnote w:type="continuationSeparator" w:id="0">
    <w:p w14:paraId="2C383FC0" w14:textId="77777777" w:rsidR="00BB0B08" w:rsidRDefault="00BB0B08" w:rsidP="00EF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7375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DF0A4C" w14:textId="67D7E5DC" w:rsidR="00EF19AC" w:rsidRPr="00837A0E" w:rsidRDefault="00EF19AC">
        <w:pPr>
          <w:pStyle w:val="Fuzeile"/>
          <w:jc w:val="right"/>
          <w:rPr>
            <w:rFonts w:ascii="Times New Roman" w:hAnsi="Times New Roman" w:cs="Times New Roman"/>
          </w:rPr>
        </w:pPr>
        <w:r w:rsidRPr="00837A0E">
          <w:rPr>
            <w:rFonts w:ascii="Times New Roman" w:hAnsi="Times New Roman" w:cs="Times New Roman"/>
          </w:rPr>
          <w:fldChar w:fldCharType="begin"/>
        </w:r>
        <w:r w:rsidRPr="00837A0E">
          <w:rPr>
            <w:rFonts w:ascii="Times New Roman" w:hAnsi="Times New Roman" w:cs="Times New Roman"/>
          </w:rPr>
          <w:instrText>PAGE   \* MERGEFORMAT</w:instrText>
        </w:r>
        <w:r w:rsidRPr="00837A0E">
          <w:rPr>
            <w:rFonts w:ascii="Times New Roman" w:hAnsi="Times New Roman" w:cs="Times New Roman"/>
          </w:rPr>
          <w:fldChar w:fldCharType="separate"/>
        </w:r>
        <w:r w:rsidR="00137E76">
          <w:rPr>
            <w:rFonts w:ascii="Times New Roman" w:hAnsi="Times New Roman" w:cs="Times New Roman"/>
            <w:noProof/>
          </w:rPr>
          <w:t>13</w:t>
        </w:r>
        <w:r w:rsidRPr="00837A0E">
          <w:rPr>
            <w:rFonts w:ascii="Times New Roman" w:hAnsi="Times New Roman" w:cs="Times New Roman"/>
          </w:rPr>
          <w:fldChar w:fldCharType="end"/>
        </w:r>
      </w:p>
    </w:sdtContent>
  </w:sdt>
  <w:p w14:paraId="7DCB7F43" w14:textId="77777777" w:rsidR="00EF19AC" w:rsidRDefault="00EF19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92E5" w14:textId="77777777" w:rsidR="00BB0B08" w:rsidRDefault="00BB0B08" w:rsidP="00EF19AC">
      <w:pPr>
        <w:spacing w:after="0" w:line="240" w:lineRule="auto"/>
      </w:pPr>
      <w:r>
        <w:separator/>
      </w:r>
    </w:p>
  </w:footnote>
  <w:footnote w:type="continuationSeparator" w:id="0">
    <w:p w14:paraId="02529EBA" w14:textId="77777777" w:rsidR="00BB0B08" w:rsidRDefault="00BB0B08" w:rsidP="00EF1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2770"/>
    <w:multiLevelType w:val="hybridMultilevel"/>
    <w:tmpl w:val="4D589224"/>
    <w:lvl w:ilvl="0" w:tplc="899EDA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754653"/>
    <w:rsid w:val="00000736"/>
    <w:rsid w:val="00011575"/>
    <w:rsid w:val="000163E9"/>
    <w:rsid w:val="00026B69"/>
    <w:rsid w:val="00027D42"/>
    <w:rsid w:val="00040CC8"/>
    <w:rsid w:val="00044444"/>
    <w:rsid w:val="0005205B"/>
    <w:rsid w:val="00055AC7"/>
    <w:rsid w:val="00067DFE"/>
    <w:rsid w:val="00073B96"/>
    <w:rsid w:val="000834C6"/>
    <w:rsid w:val="000846C2"/>
    <w:rsid w:val="000936ED"/>
    <w:rsid w:val="000A0D14"/>
    <w:rsid w:val="000A0D92"/>
    <w:rsid w:val="000B023D"/>
    <w:rsid w:val="000B238F"/>
    <w:rsid w:val="000C43E2"/>
    <w:rsid w:val="000C7645"/>
    <w:rsid w:val="000C7937"/>
    <w:rsid w:val="000D338E"/>
    <w:rsid w:val="000F65AB"/>
    <w:rsid w:val="00101584"/>
    <w:rsid w:val="0010542C"/>
    <w:rsid w:val="00107D48"/>
    <w:rsid w:val="001101AF"/>
    <w:rsid w:val="00112EEB"/>
    <w:rsid w:val="0012047C"/>
    <w:rsid w:val="00126633"/>
    <w:rsid w:val="001267FE"/>
    <w:rsid w:val="00132467"/>
    <w:rsid w:val="00137E76"/>
    <w:rsid w:val="00142065"/>
    <w:rsid w:val="00170F6A"/>
    <w:rsid w:val="0019241D"/>
    <w:rsid w:val="00192A0E"/>
    <w:rsid w:val="001A70BB"/>
    <w:rsid w:val="001C7E2C"/>
    <w:rsid w:val="001D4E74"/>
    <w:rsid w:val="001E2430"/>
    <w:rsid w:val="001E5BDE"/>
    <w:rsid w:val="001F01A7"/>
    <w:rsid w:val="001F47B6"/>
    <w:rsid w:val="002022CD"/>
    <w:rsid w:val="00203945"/>
    <w:rsid w:val="00207BC8"/>
    <w:rsid w:val="002138EF"/>
    <w:rsid w:val="00215F0E"/>
    <w:rsid w:val="00216762"/>
    <w:rsid w:val="002278DB"/>
    <w:rsid w:val="002317F8"/>
    <w:rsid w:val="002375B5"/>
    <w:rsid w:val="00246B8C"/>
    <w:rsid w:val="00247866"/>
    <w:rsid w:val="002507CE"/>
    <w:rsid w:val="002556BE"/>
    <w:rsid w:val="0026234D"/>
    <w:rsid w:val="002A55F5"/>
    <w:rsid w:val="002A6BC5"/>
    <w:rsid w:val="002A6C2F"/>
    <w:rsid w:val="002A7B8C"/>
    <w:rsid w:val="002B393B"/>
    <w:rsid w:val="002B579E"/>
    <w:rsid w:val="002C1905"/>
    <w:rsid w:val="002E4105"/>
    <w:rsid w:val="002E45E8"/>
    <w:rsid w:val="002F448D"/>
    <w:rsid w:val="002F758F"/>
    <w:rsid w:val="00301B3A"/>
    <w:rsid w:val="00304C9C"/>
    <w:rsid w:val="0031061E"/>
    <w:rsid w:val="00320690"/>
    <w:rsid w:val="00320D9D"/>
    <w:rsid w:val="0033163E"/>
    <w:rsid w:val="00332BE3"/>
    <w:rsid w:val="00334574"/>
    <w:rsid w:val="003353B7"/>
    <w:rsid w:val="00347543"/>
    <w:rsid w:val="0035168A"/>
    <w:rsid w:val="00364EF7"/>
    <w:rsid w:val="00367948"/>
    <w:rsid w:val="0037179F"/>
    <w:rsid w:val="00373540"/>
    <w:rsid w:val="003774BD"/>
    <w:rsid w:val="00396E3A"/>
    <w:rsid w:val="003A5977"/>
    <w:rsid w:val="003B497B"/>
    <w:rsid w:val="003E75F4"/>
    <w:rsid w:val="003F1641"/>
    <w:rsid w:val="003F4768"/>
    <w:rsid w:val="003F5567"/>
    <w:rsid w:val="00421D54"/>
    <w:rsid w:val="00431AC9"/>
    <w:rsid w:val="00444E70"/>
    <w:rsid w:val="00446355"/>
    <w:rsid w:val="00452B0A"/>
    <w:rsid w:val="00453B35"/>
    <w:rsid w:val="00456A2F"/>
    <w:rsid w:val="00457C03"/>
    <w:rsid w:val="0046206A"/>
    <w:rsid w:val="004627CF"/>
    <w:rsid w:val="0046696B"/>
    <w:rsid w:val="004675E3"/>
    <w:rsid w:val="00494039"/>
    <w:rsid w:val="00497FD3"/>
    <w:rsid w:val="004A1A27"/>
    <w:rsid w:val="004A6977"/>
    <w:rsid w:val="004B10AB"/>
    <w:rsid w:val="004C4852"/>
    <w:rsid w:val="004C7EDC"/>
    <w:rsid w:val="004D6041"/>
    <w:rsid w:val="0050064E"/>
    <w:rsid w:val="00501C7C"/>
    <w:rsid w:val="00501F5E"/>
    <w:rsid w:val="00512C74"/>
    <w:rsid w:val="0051385F"/>
    <w:rsid w:val="00521F63"/>
    <w:rsid w:val="00526183"/>
    <w:rsid w:val="00526B50"/>
    <w:rsid w:val="00530413"/>
    <w:rsid w:val="00531695"/>
    <w:rsid w:val="00546A2C"/>
    <w:rsid w:val="00550197"/>
    <w:rsid w:val="00551310"/>
    <w:rsid w:val="00553202"/>
    <w:rsid w:val="00554CE8"/>
    <w:rsid w:val="0056028B"/>
    <w:rsid w:val="00562740"/>
    <w:rsid w:val="00572011"/>
    <w:rsid w:val="00576AE3"/>
    <w:rsid w:val="0058666B"/>
    <w:rsid w:val="00586B62"/>
    <w:rsid w:val="00587AA0"/>
    <w:rsid w:val="00596768"/>
    <w:rsid w:val="005A239F"/>
    <w:rsid w:val="005B1CF9"/>
    <w:rsid w:val="005B4031"/>
    <w:rsid w:val="005B7682"/>
    <w:rsid w:val="005B7A8E"/>
    <w:rsid w:val="005C2980"/>
    <w:rsid w:val="005C3280"/>
    <w:rsid w:val="005C4B56"/>
    <w:rsid w:val="005D2DA1"/>
    <w:rsid w:val="005D752D"/>
    <w:rsid w:val="005E2151"/>
    <w:rsid w:val="005F2FCB"/>
    <w:rsid w:val="0060113A"/>
    <w:rsid w:val="00613FF6"/>
    <w:rsid w:val="00623EC7"/>
    <w:rsid w:val="00631BB0"/>
    <w:rsid w:val="006325BD"/>
    <w:rsid w:val="0063402C"/>
    <w:rsid w:val="0064517D"/>
    <w:rsid w:val="0064667F"/>
    <w:rsid w:val="00655DAD"/>
    <w:rsid w:val="00664B88"/>
    <w:rsid w:val="00666269"/>
    <w:rsid w:val="006743DB"/>
    <w:rsid w:val="00675B7A"/>
    <w:rsid w:val="00691673"/>
    <w:rsid w:val="006954BC"/>
    <w:rsid w:val="006962D1"/>
    <w:rsid w:val="006A6859"/>
    <w:rsid w:val="006A7305"/>
    <w:rsid w:val="006B1267"/>
    <w:rsid w:val="006B69BD"/>
    <w:rsid w:val="006C4840"/>
    <w:rsid w:val="006D1372"/>
    <w:rsid w:val="006D6FCB"/>
    <w:rsid w:val="0072272A"/>
    <w:rsid w:val="00723D2C"/>
    <w:rsid w:val="007243D3"/>
    <w:rsid w:val="00726801"/>
    <w:rsid w:val="00731E34"/>
    <w:rsid w:val="0074593C"/>
    <w:rsid w:val="00752D3C"/>
    <w:rsid w:val="00754653"/>
    <w:rsid w:val="0076268A"/>
    <w:rsid w:val="0077711B"/>
    <w:rsid w:val="007777EF"/>
    <w:rsid w:val="00791A5F"/>
    <w:rsid w:val="00793477"/>
    <w:rsid w:val="007949A9"/>
    <w:rsid w:val="00794AD3"/>
    <w:rsid w:val="007A1D31"/>
    <w:rsid w:val="007A3A78"/>
    <w:rsid w:val="007B011D"/>
    <w:rsid w:val="007B330D"/>
    <w:rsid w:val="007D18F2"/>
    <w:rsid w:val="007D585C"/>
    <w:rsid w:val="007D6381"/>
    <w:rsid w:val="007E31B5"/>
    <w:rsid w:val="007E619E"/>
    <w:rsid w:val="007E7A07"/>
    <w:rsid w:val="00803429"/>
    <w:rsid w:val="00811864"/>
    <w:rsid w:val="008130DB"/>
    <w:rsid w:val="0081399B"/>
    <w:rsid w:val="00822346"/>
    <w:rsid w:val="0083211C"/>
    <w:rsid w:val="00833E48"/>
    <w:rsid w:val="00837A0E"/>
    <w:rsid w:val="00840904"/>
    <w:rsid w:val="008414C2"/>
    <w:rsid w:val="0084218F"/>
    <w:rsid w:val="00844E99"/>
    <w:rsid w:val="00851D3F"/>
    <w:rsid w:val="00860861"/>
    <w:rsid w:val="008628F1"/>
    <w:rsid w:val="00863263"/>
    <w:rsid w:val="008674B4"/>
    <w:rsid w:val="0087383B"/>
    <w:rsid w:val="00873E09"/>
    <w:rsid w:val="008A35E9"/>
    <w:rsid w:val="008A3FAD"/>
    <w:rsid w:val="008A4F2F"/>
    <w:rsid w:val="008A7332"/>
    <w:rsid w:val="008B0AB0"/>
    <w:rsid w:val="008B3968"/>
    <w:rsid w:val="008C0B18"/>
    <w:rsid w:val="008D1636"/>
    <w:rsid w:val="008D22D3"/>
    <w:rsid w:val="008F294D"/>
    <w:rsid w:val="0090164E"/>
    <w:rsid w:val="0090725A"/>
    <w:rsid w:val="00911E2C"/>
    <w:rsid w:val="009179F5"/>
    <w:rsid w:val="00945690"/>
    <w:rsid w:val="009503CE"/>
    <w:rsid w:val="0095067F"/>
    <w:rsid w:val="00954252"/>
    <w:rsid w:val="00956BD3"/>
    <w:rsid w:val="00971E58"/>
    <w:rsid w:val="009815E9"/>
    <w:rsid w:val="00984D1C"/>
    <w:rsid w:val="009938FA"/>
    <w:rsid w:val="009A1A1D"/>
    <w:rsid w:val="009A5426"/>
    <w:rsid w:val="009B1128"/>
    <w:rsid w:val="009B53DB"/>
    <w:rsid w:val="009C32DF"/>
    <w:rsid w:val="009D6463"/>
    <w:rsid w:val="009D64C9"/>
    <w:rsid w:val="009E1D1C"/>
    <w:rsid w:val="009E6A4C"/>
    <w:rsid w:val="009F37F4"/>
    <w:rsid w:val="00A07337"/>
    <w:rsid w:val="00A20611"/>
    <w:rsid w:val="00A2258C"/>
    <w:rsid w:val="00A2607B"/>
    <w:rsid w:val="00A40D16"/>
    <w:rsid w:val="00A4248B"/>
    <w:rsid w:val="00A47DD7"/>
    <w:rsid w:val="00A56CD4"/>
    <w:rsid w:val="00A6236C"/>
    <w:rsid w:val="00A649AD"/>
    <w:rsid w:val="00A67817"/>
    <w:rsid w:val="00A71013"/>
    <w:rsid w:val="00A852F5"/>
    <w:rsid w:val="00A90034"/>
    <w:rsid w:val="00A93427"/>
    <w:rsid w:val="00A94C77"/>
    <w:rsid w:val="00AA5764"/>
    <w:rsid w:val="00AB1E31"/>
    <w:rsid w:val="00AB2C91"/>
    <w:rsid w:val="00AC356A"/>
    <w:rsid w:val="00AC3A01"/>
    <w:rsid w:val="00AC52ED"/>
    <w:rsid w:val="00AD2A9D"/>
    <w:rsid w:val="00AE5D38"/>
    <w:rsid w:val="00AF47C9"/>
    <w:rsid w:val="00AF7DB8"/>
    <w:rsid w:val="00B03884"/>
    <w:rsid w:val="00B1089A"/>
    <w:rsid w:val="00B10904"/>
    <w:rsid w:val="00B1516F"/>
    <w:rsid w:val="00B210EE"/>
    <w:rsid w:val="00B241CE"/>
    <w:rsid w:val="00B267E8"/>
    <w:rsid w:val="00B3310C"/>
    <w:rsid w:val="00B46330"/>
    <w:rsid w:val="00B5151D"/>
    <w:rsid w:val="00B51973"/>
    <w:rsid w:val="00B52A00"/>
    <w:rsid w:val="00B66ABA"/>
    <w:rsid w:val="00B874EB"/>
    <w:rsid w:val="00B97103"/>
    <w:rsid w:val="00BA1CD8"/>
    <w:rsid w:val="00BA58FF"/>
    <w:rsid w:val="00BB0B08"/>
    <w:rsid w:val="00BB5640"/>
    <w:rsid w:val="00BC409E"/>
    <w:rsid w:val="00BC5394"/>
    <w:rsid w:val="00BD3AD1"/>
    <w:rsid w:val="00BE4FCD"/>
    <w:rsid w:val="00BE7774"/>
    <w:rsid w:val="00BF25D3"/>
    <w:rsid w:val="00BF5C9E"/>
    <w:rsid w:val="00BF70F4"/>
    <w:rsid w:val="00C00102"/>
    <w:rsid w:val="00C025A0"/>
    <w:rsid w:val="00C048D7"/>
    <w:rsid w:val="00C052A9"/>
    <w:rsid w:val="00C142F4"/>
    <w:rsid w:val="00C144EA"/>
    <w:rsid w:val="00C201CB"/>
    <w:rsid w:val="00C234BC"/>
    <w:rsid w:val="00C23A87"/>
    <w:rsid w:val="00C400DD"/>
    <w:rsid w:val="00C4637D"/>
    <w:rsid w:val="00C46625"/>
    <w:rsid w:val="00C522C4"/>
    <w:rsid w:val="00C56243"/>
    <w:rsid w:val="00C60205"/>
    <w:rsid w:val="00C632DC"/>
    <w:rsid w:val="00C7765B"/>
    <w:rsid w:val="00C92B46"/>
    <w:rsid w:val="00CA3CA3"/>
    <w:rsid w:val="00CB62BF"/>
    <w:rsid w:val="00CD70D3"/>
    <w:rsid w:val="00CE5E2B"/>
    <w:rsid w:val="00CF737E"/>
    <w:rsid w:val="00D02651"/>
    <w:rsid w:val="00D034E3"/>
    <w:rsid w:val="00D1767A"/>
    <w:rsid w:val="00D22AEB"/>
    <w:rsid w:val="00D277D1"/>
    <w:rsid w:val="00D31070"/>
    <w:rsid w:val="00D377AF"/>
    <w:rsid w:val="00D40AEE"/>
    <w:rsid w:val="00D433A9"/>
    <w:rsid w:val="00D72A02"/>
    <w:rsid w:val="00D86EC8"/>
    <w:rsid w:val="00D87FCC"/>
    <w:rsid w:val="00D90004"/>
    <w:rsid w:val="00D91E83"/>
    <w:rsid w:val="00D943B8"/>
    <w:rsid w:val="00D96E4B"/>
    <w:rsid w:val="00DA36D5"/>
    <w:rsid w:val="00DB02C9"/>
    <w:rsid w:val="00DD1DF1"/>
    <w:rsid w:val="00DD361A"/>
    <w:rsid w:val="00DE63F5"/>
    <w:rsid w:val="00DF5EAB"/>
    <w:rsid w:val="00DF6964"/>
    <w:rsid w:val="00E06B90"/>
    <w:rsid w:val="00E16BB8"/>
    <w:rsid w:val="00E338D9"/>
    <w:rsid w:val="00E35372"/>
    <w:rsid w:val="00E4272B"/>
    <w:rsid w:val="00E45DDF"/>
    <w:rsid w:val="00E515F4"/>
    <w:rsid w:val="00E51A5B"/>
    <w:rsid w:val="00E51E1D"/>
    <w:rsid w:val="00E52545"/>
    <w:rsid w:val="00E6744B"/>
    <w:rsid w:val="00E72A97"/>
    <w:rsid w:val="00E76025"/>
    <w:rsid w:val="00E82103"/>
    <w:rsid w:val="00E91004"/>
    <w:rsid w:val="00E92A62"/>
    <w:rsid w:val="00E943DF"/>
    <w:rsid w:val="00E96933"/>
    <w:rsid w:val="00EA116A"/>
    <w:rsid w:val="00EA177D"/>
    <w:rsid w:val="00EA3FA3"/>
    <w:rsid w:val="00EB0D6A"/>
    <w:rsid w:val="00EC42CA"/>
    <w:rsid w:val="00EC74CA"/>
    <w:rsid w:val="00EE0A6A"/>
    <w:rsid w:val="00EE7B4B"/>
    <w:rsid w:val="00EF09AA"/>
    <w:rsid w:val="00EF19AC"/>
    <w:rsid w:val="00F01737"/>
    <w:rsid w:val="00F06A0F"/>
    <w:rsid w:val="00F14A04"/>
    <w:rsid w:val="00F2061B"/>
    <w:rsid w:val="00F22B16"/>
    <w:rsid w:val="00F341B1"/>
    <w:rsid w:val="00F403C0"/>
    <w:rsid w:val="00F4207F"/>
    <w:rsid w:val="00F43B94"/>
    <w:rsid w:val="00F44CCC"/>
    <w:rsid w:val="00F4669E"/>
    <w:rsid w:val="00F51331"/>
    <w:rsid w:val="00F555D7"/>
    <w:rsid w:val="00F60A97"/>
    <w:rsid w:val="00F664BD"/>
    <w:rsid w:val="00F7102F"/>
    <w:rsid w:val="00F8540E"/>
    <w:rsid w:val="00F94BD7"/>
    <w:rsid w:val="00F97771"/>
    <w:rsid w:val="00FA2F7D"/>
    <w:rsid w:val="00FC0612"/>
    <w:rsid w:val="00FC2A33"/>
    <w:rsid w:val="00FD256C"/>
    <w:rsid w:val="00FD4CC7"/>
    <w:rsid w:val="00FE7F4E"/>
    <w:rsid w:val="00FF114A"/>
    <w:rsid w:val="00FF40A1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FA31"/>
  <w15:chartTrackingRefBased/>
  <w15:docId w15:val="{F70E19E3-1BBC-4213-9AD0-01006F1A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46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6A6859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A6859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6A6859"/>
    <w:pPr>
      <w:spacing w:line="48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6A6859"/>
    <w:rPr>
      <w:rFonts w:ascii="Times New Roman" w:hAnsi="Times New Roman" w:cs="Times New Roman"/>
      <w:noProof/>
      <w:sz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76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AC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234BC"/>
    <w:pPr>
      <w:ind w:left="720"/>
      <w:contextualSpacing/>
    </w:pPr>
  </w:style>
  <w:style w:type="paragraph" w:customStyle="1" w:styleId="bibcit">
    <w:name w:val="bibcit"/>
    <w:basedOn w:val="Standard"/>
    <w:link w:val="bibcitZchn"/>
    <w:rsid w:val="00851D3F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ibcitZchn">
    <w:name w:val="bibcit Zchn"/>
    <w:basedOn w:val="Absatz-Standardschriftart"/>
    <w:link w:val="bibcit"/>
    <w:rsid w:val="00851D3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64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64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64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64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64C9"/>
    <w:rPr>
      <w:b/>
      <w:bCs/>
      <w:sz w:val="20"/>
      <w:szCs w:val="20"/>
    </w:rPr>
  </w:style>
  <w:style w:type="table" w:customStyle="1" w:styleId="EinfacheTabelle11">
    <w:name w:val="Einfache Tabelle 11"/>
    <w:basedOn w:val="NormaleTabelle"/>
    <w:uiPriority w:val="41"/>
    <w:rsid w:val="00D96E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einLeerraum">
    <w:name w:val="No Spacing"/>
    <w:link w:val="KeinLeerraumZchn"/>
    <w:uiPriority w:val="1"/>
    <w:qFormat/>
    <w:rsid w:val="00D96E4B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D96E4B"/>
  </w:style>
  <w:style w:type="paragraph" w:styleId="StandardWeb">
    <w:name w:val="Normal (Web)"/>
    <w:basedOn w:val="Standard"/>
    <w:uiPriority w:val="99"/>
    <w:unhideWhenUsed/>
    <w:rsid w:val="00D9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F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19AC"/>
  </w:style>
  <w:style w:type="paragraph" w:styleId="Fuzeile">
    <w:name w:val="footer"/>
    <w:basedOn w:val="Standard"/>
    <w:link w:val="FuzeileZchn"/>
    <w:uiPriority w:val="99"/>
    <w:unhideWhenUsed/>
    <w:rsid w:val="00EF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19AC"/>
  </w:style>
  <w:style w:type="character" w:customStyle="1" w:styleId="citation-part">
    <w:name w:val="citation-part"/>
    <w:basedOn w:val="Absatz-Standardschriftart"/>
    <w:rsid w:val="00E51E1D"/>
  </w:style>
  <w:style w:type="character" w:customStyle="1" w:styleId="docsum-pmid">
    <w:name w:val="docsum-pmid"/>
    <w:basedOn w:val="Absatz-Standardschriftart"/>
    <w:rsid w:val="00E51E1D"/>
  </w:style>
  <w:style w:type="character" w:styleId="Fett">
    <w:name w:val="Strong"/>
    <w:basedOn w:val="Absatz-Standardschriftart"/>
    <w:uiPriority w:val="22"/>
    <w:qFormat/>
    <w:rsid w:val="009A5426"/>
    <w:rPr>
      <w:b/>
      <w:bCs/>
    </w:rPr>
  </w:style>
  <w:style w:type="character" w:styleId="Zeilennummer">
    <w:name w:val="line number"/>
    <w:basedOn w:val="Absatz-Standardschriftart"/>
    <w:uiPriority w:val="99"/>
    <w:semiHidden/>
    <w:unhideWhenUsed/>
    <w:rsid w:val="004C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Schlein</dc:creator>
  <cp:keywords/>
  <dc:description/>
  <cp:lastModifiedBy>Christian Schlein</cp:lastModifiedBy>
  <cp:revision>3</cp:revision>
  <dcterms:created xsi:type="dcterms:W3CDTF">2021-10-22T14:56:00Z</dcterms:created>
  <dcterms:modified xsi:type="dcterms:W3CDTF">2021-10-22T15:02:00Z</dcterms:modified>
</cp:coreProperties>
</file>