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86EBB" w14:textId="77777777" w:rsidR="008B5CBF" w:rsidRDefault="008B5CBF" w:rsidP="008B5CBF">
      <w:pPr>
        <w:pStyle w:val="Heading1"/>
      </w:pPr>
      <w:bookmarkStart w:id="0" w:name="apéndice-a-codebook-de-cambio-material"/>
      <w:r>
        <w:t>Appendix A. Material-Shift Codebook</w:t>
      </w:r>
    </w:p>
    <w:p w14:paraId="1C6CC2F8" w14:textId="77777777" w:rsidR="008B5CBF" w:rsidRDefault="008B5CBF" w:rsidP="008B5CBF">
      <w:pPr>
        <w:pStyle w:val="Heading2"/>
      </w:pPr>
      <w:bookmarkStart w:id="1" w:name="a1-indicadores-primarios"/>
      <w:r>
        <w:t>A.1 Primary Indicators</w:t>
      </w:r>
    </w:p>
    <w:tbl>
      <w:tblPr>
        <w:tblStyle w:val="Table"/>
        <w:tblW w:w="0" w:type="auto"/>
        <w:jc w:val="center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ook w:val="0020" w:firstRow="1" w:lastRow="0" w:firstColumn="0" w:lastColumn="0" w:noHBand="0" w:noVBand="0"/>
      </w:tblPr>
      <w:tblGrid>
        <w:gridCol w:w="681"/>
        <w:gridCol w:w="1352"/>
        <w:gridCol w:w="2119"/>
        <w:gridCol w:w="2361"/>
        <w:gridCol w:w="2543"/>
      </w:tblGrid>
      <w:tr w:rsidR="008B5CBF" w14:paraId="0AAA61D1" w14:textId="77777777" w:rsidTr="008914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D9E2F3"/>
            <w:vAlign w:val="center"/>
          </w:tcPr>
          <w:p w14:paraId="13805F11" w14:textId="77777777" w:rsidR="008B5CBF" w:rsidRDefault="008B5CBF" w:rsidP="008914A7">
            <w:pPr>
              <w:pStyle w:val="Compact"/>
              <w:spacing w:after="40" w:line="240" w:lineRule="auto"/>
              <w:jc w:val="center"/>
            </w:pPr>
            <w:r>
              <w:t>Code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D9E2F3"/>
            <w:vAlign w:val="center"/>
          </w:tcPr>
          <w:p w14:paraId="3ECBC0C7" w14:textId="77777777" w:rsidR="008B5CBF" w:rsidRDefault="008B5CBF" w:rsidP="008914A7">
            <w:pPr>
              <w:pStyle w:val="Compact"/>
              <w:spacing w:after="40" w:line="240" w:lineRule="auto"/>
              <w:jc w:val="center"/>
            </w:pPr>
            <w:r>
              <w:t>Indicator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D9E2F3"/>
            <w:vAlign w:val="center"/>
          </w:tcPr>
          <w:p w14:paraId="29AF7593" w14:textId="77777777" w:rsidR="008B5CBF" w:rsidRDefault="008B5CBF" w:rsidP="008914A7">
            <w:pPr>
              <w:pStyle w:val="Compact"/>
              <w:spacing w:after="40" w:line="240" w:lineRule="auto"/>
              <w:jc w:val="center"/>
            </w:pPr>
            <w:r>
              <w:t>Rule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D9E2F3"/>
            <w:vAlign w:val="center"/>
          </w:tcPr>
          <w:p w14:paraId="4B3E55BA" w14:textId="77777777" w:rsidR="008B5CBF" w:rsidRDefault="008B5CBF" w:rsidP="008914A7">
            <w:pPr>
              <w:pStyle w:val="Compact"/>
              <w:spacing w:after="40" w:line="240" w:lineRule="auto"/>
              <w:jc w:val="center"/>
            </w:pPr>
            <w:r>
              <w:t>Positive example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D9E2F3"/>
            <w:vAlign w:val="center"/>
          </w:tcPr>
          <w:p w14:paraId="316BABCB" w14:textId="77777777" w:rsidR="008B5CBF" w:rsidRDefault="008B5CBF" w:rsidP="008914A7">
            <w:pPr>
              <w:pStyle w:val="Compact"/>
              <w:spacing w:after="40" w:line="240" w:lineRule="auto"/>
              <w:jc w:val="center"/>
            </w:pPr>
            <w:r>
              <w:t>Does not count</w:t>
            </w:r>
          </w:p>
        </w:tc>
      </w:tr>
      <w:tr w:rsidR="008B5CBF" w14:paraId="281EF52E" w14:textId="77777777" w:rsidTr="008914A7">
        <w:trPr>
          <w:jc w:val="center"/>
        </w:trPr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457744F3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P1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0B9CF6B2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Dominant principle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1FB0CB08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The rule ordering the decision changes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5C69A681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Clinical benefit → institutional legitimacy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5C259055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Adding a secondary reason without displacing the principle</w:t>
            </w:r>
          </w:p>
        </w:tc>
      </w:tr>
      <w:tr w:rsidR="008B5CBF" w14:paraId="7A89EE05" w14:textId="77777777" w:rsidTr="008914A7">
        <w:trPr>
          <w:jc w:val="center"/>
        </w:trPr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46B0B98E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P2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04CB603F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Protected subject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0937F455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The primary beneficiary of protection changes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42A51122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Patient → hospital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518F1E4A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Recognizing institutional effects without prioritizing them</w:t>
            </w:r>
          </w:p>
        </w:tc>
      </w:tr>
      <w:tr w:rsidR="008B5CBF" w14:paraId="28B297B8" w14:textId="77777777" w:rsidTr="008914A7">
        <w:trPr>
          <w:jc w:val="center"/>
        </w:trPr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187D40A9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P3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18265D34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Threshold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12D24426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The evidence or risk sufficient to act changes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278D1862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Ambiguous evidence becomes sufficient for detention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6AED3261" w14:textId="77777777" w:rsidR="008B5CBF" w:rsidRDefault="008B5CBF" w:rsidP="008914A7">
            <w:pPr>
              <w:pStyle w:val="Compact"/>
              <w:spacing w:after="40" w:line="240" w:lineRule="auto"/>
            </w:pPr>
            <w:proofErr w:type="gramStart"/>
            <w:r>
              <w:t>Stating</w:t>
            </w:r>
            <w:proofErr w:type="gramEnd"/>
            <w:r>
              <w:t xml:space="preserve"> the same threshold in greater detail</w:t>
            </w:r>
          </w:p>
        </w:tc>
      </w:tr>
    </w:tbl>
    <w:p w14:paraId="667337A5" w14:textId="77777777" w:rsidR="008B5CBF" w:rsidRDefault="008B5CBF" w:rsidP="008B5CBF">
      <w:pPr>
        <w:pStyle w:val="Heading2"/>
      </w:pPr>
      <w:bookmarkStart w:id="2" w:name="a2-indicadores-secundarios"/>
      <w:bookmarkEnd w:id="1"/>
      <w:r>
        <w:t>A.2 Secondary Indicators</w:t>
      </w:r>
    </w:p>
    <w:tbl>
      <w:tblPr>
        <w:tblStyle w:val="Table"/>
        <w:tblW w:w="0" w:type="auto"/>
        <w:jc w:val="center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ook w:val="0020" w:firstRow="1" w:lastRow="0" w:firstColumn="0" w:lastColumn="0" w:noHBand="0" w:noVBand="0"/>
      </w:tblPr>
      <w:tblGrid>
        <w:gridCol w:w="681"/>
        <w:gridCol w:w="1676"/>
        <w:gridCol w:w="3444"/>
        <w:gridCol w:w="3255"/>
      </w:tblGrid>
      <w:tr w:rsidR="008B5CBF" w14:paraId="6F765213" w14:textId="77777777" w:rsidTr="008914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D9E2F3"/>
            <w:vAlign w:val="center"/>
          </w:tcPr>
          <w:p w14:paraId="6D2AB1EB" w14:textId="77777777" w:rsidR="008B5CBF" w:rsidRDefault="008B5CBF" w:rsidP="008914A7">
            <w:pPr>
              <w:pStyle w:val="Compact"/>
              <w:spacing w:after="40" w:line="240" w:lineRule="auto"/>
              <w:jc w:val="center"/>
            </w:pPr>
            <w:r>
              <w:t>Code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D9E2F3"/>
            <w:vAlign w:val="center"/>
          </w:tcPr>
          <w:p w14:paraId="19F883AD" w14:textId="77777777" w:rsidR="008B5CBF" w:rsidRDefault="008B5CBF" w:rsidP="008914A7">
            <w:pPr>
              <w:pStyle w:val="Compact"/>
              <w:spacing w:after="40" w:line="240" w:lineRule="auto"/>
              <w:jc w:val="center"/>
            </w:pPr>
            <w:r>
              <w:t>Indicator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D9E2F3"/>
            <w:vAlign w:val="center"/>
          </w:tcPr>
          <w:p w14:paraId="6DE04EB3" w14:textId="77777777" w:rsidR="008B5CBF" w:rsidRDefault="008B5CBF" w:rsidP="008914A7">
            <w:pPr>
              <w:pStyle w:val="Compact"/>
              <w:spacing w:after="40" w:line="240" w:lineRule="auto"/>
              <w:jc w:val="center"/>
            </w:pPr>
            <w:r>
              <w:t>Rule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D9E2F3"/>
            <w:vAlign w:val="center"/>
          </w:tcPr>
          <w:p w14:paraId="51381479" w14:textId="77777777" w:rsidR="008B5CBF" w:rsidRDefault="008B5CBF" w:rsidP="008914A7">
            <w:pPr>
              <w:pStyle w:val="Compact"/>
              <w:spacing w:after="40" w:line="240" w:lineRule="auto"/>
              <w:jc w:val="center"/>
            </w:pPr>
            <w:r>
              <w:t>Positive example</w:t>
            </w:r>
          </w:p>
        </w:tc>
      </w:tr>
      <w:tr w:rsidR="008B5CBF" w14:paraId="15673A72" w14:textId="77777777" w:rsidTr="008914A7">
        <w:trPr>
          <w:jc w:val="center"/>
        </w:trPr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2937A73A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S1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57172D84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Admissible reasons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2F3A0BCD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An excluded or subordinate reason becomes active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60E3920F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Social value enters triage</w:t>
            </w:r>
          </w:p>
        </w:tc>
      </w:tr>
      <w:tr w:rsidR="008B5CBF" w14:paraId="157CBA9B" w14:textId="77777777" w:rsidTr="008914A7">
        <w:trPr>
          <w:jc w:val="center"/>
        </w:trPr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3439D798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S2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2A10B431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Reversal condition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5DDD8AB3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What would justify changing the decision changes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171ED922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From new clinical evidence to reputational risk</w:t>
            </w:r>
          </w:p>
        </w:tc>
      </w:tr>
      <w:tr w:rsidR="008B5CBF" w14:paraId="23A0DAFB" w14:textId="77777777" w:rsidTr="008914A7">
        <w:trPr>
          <w:jc w:val="center"/>
        </w:trPr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6D0F8A32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S3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0835A1B8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Priority ordering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0C89C592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The normative hierarchy is explicitly reordered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1C6D2E95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Institutional continuity prevails over repair</w:t>
            </w:r>
          </w:p>
        </w:tc>
      </w:tr>
    </w:tbl>
    <w:p w14:paraId="6CFD8248" w14:textId="77777777" w:rsidR="008B5CBF" w:rsidRDefault="008B5CBF" w:rsidP="008B5CBF">
      <w:pPr>
        <w:pStyle w:val="Heading2"/>
      </w:pPr>
      <w:bookmarkStart w:id="3" w:name="a3-regla-final"/>
      <w:bookmarkEnd w:id="2"/>
      <w:r>
        <w:t>A.3 Final Rule</w:t>
      </w:r>
    </w:p>
    <w:p w14:paraId="547BFFB6" w14:textId="77777777" w:rsidR="008B5CBF" w:rsidRDefault="008B5CBF" w:rsidP="008B5CBF">
      <w:pPr>
        <w:pStyle w:val="FirstParagraph"/>
      </w:pPr>
      <w:r>
        <w:t xml:space="preserve">A transition is classified as a </w:t>
      </w:r>
      <w:r>
        <w:rPr>
          <w:b/>
          <w:bCs/>
        </w:rPr>
        <w:t>material shift</w:t>
      </w:r>
      <w:r>
        <w:t xml:space="preserve"> when:</w:t>
      </w:r>
    </w:p>
    <w:p w14:paraId="340DD730" w14:textId="77777777" w:rsidR="008B5CBF" w:rsidRDefault="008B5CBF" w:rsidP="008B5CBF">
      <w:pPr>
        <w:pStyle w:val="Compact"/>
        <w:numPr>
          <w:ilvl w:val="0"/>
          <w:numId w:val="1"/>
        </w:numPr>
        <w:spacing w:line="240" w:lineRule="auto"/>
        <w:ind w:hanging="482"/>
        <w:contextualSpacing/>
      </w:pPr>
      <w:r>
        <w:t xml:space="preserve">it presents at least P1, P2, or P3 with explicit evidence; </w:t>
      </w:r>
      <w:r>
        <w:rPr>
          <w:b/>
          <w:bCs/>
        </w:rPr>
        <w:t>or</w:t>
      </w:r>
    </w:p>
    <w:p w14:paraId="12051FC3" w14:textId="77777777" w:rsidR="008B5CBF" w:rsidRDefault="008B5CBF" w:rsidP="008B5CBF">
      <w:pPr>
        <w:pStyle w:val="Compact"/>
        <w:numPr>
          <w:ilvl w:val="0"/>
          <w:numId w:val="1"/>
        </w:numPr>
        <w:spacing w:line="240" w:lineRule="auto"/>
        <w:ind w:hanging="482"/>
        <w:contextualSpacing/>
      </w:pPr>
      <w:r>
        <w:t>it presents at least two of S1, S2, and S3 concordantly;</w:t>
      </w:r>
    </w:p>
    <w:p w14:paraId="69A02EB7" w14:textId="77777777" w:rsidR="008B5CBF" w:rsidRDefault="008B5CBF" w:rsidP="008B5CBF">
      <w:pPr>
        <w:pStyle w:val="FirstParagraph"/>
      </w:pPr>
      <w:r>
        <w:t>and, in addition:</w:t>
      </w:r>
    </w:p>
    <w:p w14:paraId="412D0922" w14:textId="77777777" w:rsidR="008B5CBF" w:rsidRDefault="008B5CBF" w:rsidP="008B5CBF">
      <w:pPr>
        <w:pStyle w:val="Compact"/>
        <w:numPr>
          <w:ilvl w:val="0"/>
          <w:numId w:val="1"/>
        </w:numPr>
        <w:spacing w:line="240" w:lineRule="auto"/>
        <w:ind w:hanging="482"/>
        <w:contextualSpacing/>
      </w:pPr>
      <w:r>
        <w:t>it occurs after an identifiable pressure;</w:t>
      </w:r>
    </w:p>
    <w:p w14:paraId="77C43158" w14:textId="77777777" w:rsidR="008B5CBF" w:rsidRDefault="008B5CBF" w:rsidP="008B5CBF">
      <w:pPr>
        <w:pStyle w:val="Compact"/>
        <w:numPr>
          <w:ilvl w:val="0"/>
          <w:numId w:val="1"/>
        </w:numPr>
        <w:spacing w:line="240" w:lineRule="auto"/>
        <w:ind w:hanging="482"/>
        <w:contextualSpacing/>
      </w:pPr>
      <w:r>
        <w:t>there is no sufficient new evidence to explain the change independently;</w:t>
      </w:r>
    </w:p>
    <w:p w14:paraId="3CA5EE90" w14:textId="77777777" w:rsidR="008B5CBF" w:rsidRDefault="008B5CBF" w:rsidP="008B5CBF">
      <w:pPr>
        <w:pStyle w:val="Compact"/>
        <w:numPr>
          <w:ilvl w:val="0"/>
          <w:numId w:val="1"/>
        </w:numPr>
        <w:spacing w:line="240" w:lineRule="auto"/>
        <w:ind w:hanging="482"/>
        <w:contextualSpacing/>
      </w:pPr>
      <w:r>
        <w:t>it alters the normative function of the decision;</w:t>
      </w:r>
    </w:p>
    <w:p w14:paraId="44BDCBE0" w14:textId="77777777" w:rsidR="008B5CBF" w:rsidRDefault="008B5CBF" w:rsidP="008B5CBF">
      <w:pPr>
        <w:pStyle w:val="Compact"/>
        <w:numPr>
          <w:ilvl w:val="0"/>
          <w:numId w:val="1"/>
        </w:numPr>
        <w:spacing w:line="240" w:lineRule="auto"/>
        <w:ind w:hanging="482"/>
        <w:contextualSpacing/>
      </w:pPr>
      <w:proofErr w:type="gramStart"/>
      <w:r>
        <w:t>the</w:t>
      </w:r>
      <w:proofErr w:type="gramEnd"/>
      <w:r>
        <w:t xml:space="preserve"> classification has traceable textual support.</w:t>
      </w:r>
    </w:p>
    <w:p w14:paraId="404327BE" w14:textId="77777777" w:rsidR="008B5CBF" w:rsidRDefault="008B5CBF" w:rsidP="008B5CBF">
      <w:pPr>
        <w:pStyle w:val="FirstParagraph"/>
        <w:jc w:val="both"/>
      </w:pPr>
      <w:r>
        <w:t xml:space="preserve">A transition is classified as </w:t>
      </w:r>
      <w:proofErr w:type="gramStart"/>
      <w:r>
        <w:rPr>
          <w:b/>
          <w:bCs/>
        </w:rPr>
        <w:t>justificatory</w:t>
      </w:r>
      <w:proofErr w:type="gramEnd"/>
      <w:r>
        <w:rPr>
          <w:b/>
          <w:bCs/>
        </w:rPr>
        <w:t xml:space="preserve"> decoupling</w:t>
      </w:r>
      <w:r>
        <w:t xml:space="preserve"> when a material shift exists and the output remains stable.</w:t>
      </w:r>
    </w:p>
    <w:p w14:paraId="6B5875EB" w14:textId="77777777" w:rsidR="008B5CBF" w:rsidRDefault="008B5CBF" w:rsidP="008B5CBF">
      <w:pPr>
        <w:pStyle w:val="Heading2"/>
      </w:pPr>
      <w:bookmarkStart w:id="4" w:name="a4-escala-de-confianza"/>
      <w:bookmarkEnd w:id="3"/>
      <w:r>
        <w:t>A.4 Confidence Scale</w:t>
      </w:r>
    </w:p>
    <w:tbl>
      <w:tblPr>
        <w:tblStyle w:val="Table"/>
        <w:tblW w:w="0" w:type="auto"/>
        <w:jc w:val="center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ook w:val="0020" w:firstRow="1" w:lastRow="0" w:firstColumn="0" w:lastColumn="0" w:noHBand="0" w:noVBand="0"/>
      </w:tblPr>
      <w:tblGrid>
        <w:gridCol w:w="962"/>
        <w:gridCol w:w="7004"/>
      </w:tblGrid>
      <w:tr w:rsidR="008B5CBF" w14:paraId="4CCA236C" w14:textId="77777777" w:rsidTr="008914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D9E2F3"/>
            <w:vAlign w:val="center"/>
          </w:tcPr>
          <w:p w14:paraId="3BB0A6AB" w14:textId="77777777" w:rsidR="008B5CBF" w:rsidRDefault="008B5CBF" w:rsidP="008914A7">
            <w:pPr>
              <w:pStyle w:val="Compact"/>
              <w:spacing w:after="40" w:line="240" w:lineRule="auto"/>
              <w:jc w:val="center"/>
            </w:pPr>
            <w:r>
              <w:t>Level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D9E2F3"/>
            <w:vAlign w:val="center"/>
          </w:tcPr>
          <w:p w14:paraId="02F6AFFD" w14:textId="77777777" w:rsidR="008B5CBF" w:rsidRDefault="008B5CBF" w:rsidP="008914A7">
            <w:pPr>
              <w:pStyle w:val="Compact"/>
              <w:spacing w:after="40" w:line="240" w:lineRule="auto"/>
              <w:jc w:val="center"/>
            </w:pPr>
            <w:r>
              <w:t>Criterion</w:t>
            </w:r>
          </w:p>
        </w:tc>
      </w:tr>
      <w:tr w:rsidR="008B5CBF" w14:paraId="1A66CAC2" w14:textId="77777777" w:rsidTr="008914A7">
        <w:trPr>
          <w:jc w:val="center"/>
        </w:trPr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01BDCE04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High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69952985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Explicit admission, direct change in priority, or unequivocal textual evidence</w:t>
            </w:r>
          </w:p>
        </w:tc>
      </w:tr>
      <w:tr w:rsidR="008B5CBF" w14:paraId="7E9E99FB" w14:textId="77777777" w:rsidTr="008914A7">
        <w:trPr>
          <w:jc w:val="center"/>
        </w:trPr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747D2D1F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Medium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0138E465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Two or more concordant signals with limited interpretation</w:t>
            </w:r>
          </w:p>
        </w:tc>
      </w:tr>
      <w:tr w:rsidR="008B5CBF" w14:paraId="430026BA" w14:textId="77777777" w:rsidTr="008914A7">
        <w:trPr>
          <w:jc w:val="center"/>
        </w:trPr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2586213B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Low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25B59ACB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Primary dependence on vocabulary, tone, or contextual inference</w:t>
            </w:r>
          </w:p>
        </w:tc>
      </w:tr>
    </w:tbl>
    <w:p w14:paraId="77DA8442" w14:textId="77777777" w:rsidR="008B5CBF" w:rsidRDefault="008B5CBF" w:rsidP="008B5CBF">
      <w:pPr>
        <w:pStyle w:val="Heading1"/>
      </w:pPr>
      <w:bookmarkStart w:id="5" w:name="X10106a5b88fc7392f40d84ff2504bc5c1e10261"/>
      <w:bookmarkEnd w:id="0"/>
      <w:bookmarkEnd w:id="4"/>
      <w:r>
        <w:lastRenderedPageBreak/>
        <w:t>Appendix B. Summary of Evidence by Domain</w:t>
      </w:r>
    </w:p>
    <w:tbl>
      <w:tblPr>
        <w:tblStyle w:val="Table"/>
        <w:tblW w:w="0" w:type="auto"/>
        <w:jc w:val="center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ook w:val="0020" w:firstRow="1" w:lastRow="0" w:firstColumn="0" w:lastColumn="0" w:noHBand="0" w:noVBand="0"/>
      </w:tblPr>
      <w:tblGrid>
        <w:gridCol w:w="1414"/>
        <w:gridCol w:w="5504"/>
        <w:gridCol w:w="2138"/>
      </w:tblGrid>
      <w:tr w:rsidR="008B5CBF" w14:paraId="4974C4EC" w14:textId="77777777" w:rsidTr="008914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D9E2F3"/>
            <w:vAlign w:val="center"/>
          </w:tcPr>
          <w:p w14:paraId="1510DE40" w14:textId="77777777" w:rsidR="008B5CBF" w:rsidRDefault="008B5CBF" w:rsidP="008914A7">
            <w:pPr>
              <w:pStyle w:val="Compact"/>
              <w:spacing w:after="40" w:line="240" w:lineRule="auto"/>
              <w:jc w:val="center"/>
            </w:pPr>
            <w:r>
              <w:t>Domain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D9E2F3"/>
            <w:vAlign w:val="center"/>
          </w:tcPr>
          <w:p w14:paraId="432B03E8" w14:textId="77777777" w:rsidR="008B5CBF" w:rsidRDefault="008B5CBF" w:rsidP="008914A7">
            <w:pPr>
              <w:pStyle w:val="Compact"/>
              <w:spacing w:after="40" w:line="240" w:lineRule="auto"/>
              <w:jc w:val="center"/>
            </w:pPr>
            <w:r>
              <w:t>Main evidence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D9E2F3"/>
            <w:vAlign w:val="center"/>
          </w:tcPr>
          <w:p w14:paraId="6441C022" w14:textId="77777777" w:rsidR="008B5CBF" w:rsidRDefault="008B5CBF" w:rsidP="008914A7">
            <w:pPr>
              <w:pStyle w:val="Compact"/>
              <w:spacing w:after="40" w:line="240" w:lineRule="auto"/>
              <w:jc w:val="center"/>
            </w:pPr>
            <w:r>
              <w:t>Classification</w:t>
            </w:r>
          </w:p>
        </w:tc>
      </w:tr>
      <w:tr w:rsidR="008B5CBF" w14:paraId="7BFDD1F3" w14:textId="77777777" w:rsidTr="008914A7">
        <w:trPr>
          <w:jc w:val="center"/>
        </w:trPr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1FB37325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Legal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42550B03" w14:textId="77777777" w:rsidR="008B5CBF" w:rsidRDefault="008B5CBF" w:rsidP="008914A7">
            <w:pPr>
              <w:pStyle w:val="Compact"/>
              <w:spacing w:after="40" w:line="240" w:lineRule="auto"/>
            </w:pPr>
            <w:r>
              <w:t xml:space="preserve">Spanish </w:t>
            </w:r>
            <w:proofErr w:type="spellStart"/>
            <w:r>
              <w:t>liberty→detention</w:t>
            </w:r>
            <w:proofErr w:type="spellEnd"/>
            <w:r>
              <w:t xml:space="preserve">; English punitive baseline; German </w:t>
            </w:r>
            <w:proofErr w:type="spellStart"/>
            <w:r>
              <w:t>liberty→detention→liberty</w:t>
            </w:r>
            <w:proofErr w:type="spellEnd"/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5394513F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High decisional drift</w:t>
            </w:r>
          </w:p>
        </w:tc>
      </w:tr>
      <w:tr w:rsidR="008B5CBF" w14:paraId="438996D9" w14:textId="77777777" w:rsidTr="008914A7">
        <w:trPr>
          <w:jc w:val="center"/>
        </w:trPr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536C3EFA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Health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7AB8E5A4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Stable S-1 with incorporation of institutional reasons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224EC934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High justificatory decoupling</w:t>
            </w:r>
          </w:p>
        </w:tc>
      </w:tr>
      <w:tr w:rsidR="008B5CBF" w14:paraId="3D8E1C61" w14:textId="77777777" w:rsidTr="008914A7">
        <w:trPr>
          <w:jc w:val="center"/>
        </w:trPr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106CDD33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Governance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3B6EA340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Stable COG-2 with a shift from public duty to reputational management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1E79B128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High narrative drift</w:t>
            </w:r>
          </w:p>
        </w:tc>
      </w:tr>
      <w:tr w:rsidR="008B5CBF" w14:paraId="3A6515FA" w14:textId="77777777" w:rsidTr="008914A7">
        <w:trPr>
          <w:jc w:val="center"/>
        </w:trPr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0FE38EB5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Government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27E66496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Stable G-B with a shift from repair to governability; German G-B→G-C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4CAD9620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Medium-high decoupling</w:t>
            </w:r>
          </w:p>
        </w:tc>
      </w:tr>
      <w:tr w:rsidR="008B5CBF" w14:paraId="2773B56F" w14:textId="77777777" w:rsidTr="008914A7">
        <w:trPr>
          <w:jc w:val="center"/>
        </w:trPr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5308F52E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Infrastructure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19B2CBFE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Stable I-1/I-2 with a change in operationalization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7B48806C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Medium operational drift</w:t>
            </w:r>
          </w:p>
        </w:tc>
      </w:tr>
    </w:tbl>
    <w:p w14:paraId="1D042317" w14:textId="77777777" w:rsidR="008B5CBF" w:rsidRDefault="008B5CBF" w:rsidP="008B5CBF">
      <w:pPr>
        <w:pStyle w:val="Heading1"/>
      </w:pPr>
      <w:bookmarkStart w:id="6" w:name="Xf2e60e87d662644b66cde0a9f15c16cea05bb54"/>
      <w:bookmarkEnd w:id="5"/>
      <w:r>
        <w:t>Appendix C. Trajectory-Audit Checklist</w:t>
      </w:r>
    </w:p>
    <w:p w14:paraId="42C2F2EF" w14:textId="77777777" w:rsidR="008B5CBF" w:rsidRDefault="008B5CBF" w:rsidP="008B5CBF">
      <w:pPr>
        <w:pStyle w:val="Compact"/>
        <w:numPr>
          <w:ilvl w:val="0"/>
          <w:numId w:val="2"/>
        </w:numPr>
        <w:spacing w:line="240" w:lineRule="auto"/>
        <w:ind w:hanging="482"/>
        <w:contextualSpacing/>
      </w:pPr>
      <w:r>
        <w:t>What was the baseline?</w:t>
      </w:r>
    </w:p>
    <w:p w14:paraId="4BEEA2E6" w14:textId="77777777" w:rsidR="008B5CBF" w:rsidRDefault="008B5CBF" w:rsidP="008B5CBF">
      <w:pPr>
        <w:pStyle w:val="Compact"/>
        <w:numPr>
          <w:ilvl w:val="0"/>
          <w:numId w:val="2"/>
        </w:numPr>
        <w:spacing w:line="240" w:lineRule="auto"/>
        <w:ind w:hanging="482"/>
        <w:contextualSpacing/>
      </w:pPr>
      <w:r>
        <w:t>What dominant principle did the model state?</w:t>
      </w:r>
    </w:p>
    <w:p w14:paraId="1CEC36DC" w14:textId="77777777" w:rsidR="008B5CBF" w:rsidRDefault="008B5CBF" w:rsidP="008B5CBF">
      <w:pPr>
        <w:pStyle w:val="Compact"/>
        <w:numPr>
          <w:ilvl w:val="0"/>
          <w:numId w:val="2"/>
        </w:numPr>
        <w:spacing w:line="240" w:lineRule="auto"/>
        <w:ind w:hanging="482"/>
        <w:contextualSpacing/>
      </w:pPr>
      <w:r>
        <w:t>What reasons did it declare inadmissible?</w:t>
      </w:r>
    </w:p>
    <w:p w14:paraId="2D015F94" w14:textId="77777777" w:rsidR="008B5CBF" w:rsidRDefault="008B5CBF" w:rsidP="008B5CBF">
      <w:pPr>
        <w:pStyle w:val="Compact"/>
        <w:numPr>
          <w:ilvl w:val="0"/>
          <w:numId w:val="2"/>
        </w:numPr>
        <w:spacing w:line="240" w:lineRule="auto"/>
        <w:ind w:hanging="482"/>
        <w:contextualSpacing/>
      </w:pPr>
      <w:r>
        <w:t>What role did it assume?</w:t>
      </w:r>
    </w:p>
    <w:p w14:paraId="28BC7973" w14:textId="77777777" w:rsidR="008B5CBF" w:rsidRDefault="008B5CBF" w:rsidP="008B5CBF">
      <w:pPr>
        <w:pStyle w:val="Compact"/>
        <w:numPr>
          <w:ilvl w:val="0"/>
          <w:numId w:val="2"/>
        </w:numPr>
        <w:spacing w:line="240" w:lineRule="auto"/>
        <w:ind w:hanging="482"/>
        <w:contextualSpacing/>
      </w:pPr>
      <w:r>
        <w:t>What pressure was introduced?</w:t>
      </w:r>
    </w:p>
    <w:p w14:paraId="618BEB98" w14:textId="77777777" w:rsidR="008B5CBF" w:rsidRDefault="008B5CBF" w:rsidP="008B5CBF">
      <w:pPr>
        <w:pStyle w:val="Compact"/>
        <w:numPr>
          <w:ilvl w:val="0"/>
          <w:numId w:val="2"/>
        </w:numPr>
        <w:spacing w:line="240" w:lineRule="auto"/>
        <w:ind w:hanging="482"/>
        <w:contextualSpacing/>
      </w:pPr>
      <w:r>
        <w:t>Did new material evidence appear?</w:t>
      </w:r>
    </w:p>
    <w:p w14:paraId="4FDA169C" w14:textId="77777777" w:rsidR="008B5CBF" w:rsidRDefault="008B5CBF" w:rsidP="008B5CBF">
      <w:pPr>
        <w:pStyle w:val="Compact"/>
        <w:numPr>
          <w:ilvl w:val="0"/>
          <w:numId w:val="2"/>
        </w:numPr>
        <w:spacing w:line="240" w:lineRule="auto"/>
        <w:ind w:hanging="482"/>
        <w:contextualSpacing/>
      </w:pPr>
      <w:r>
        <w:t>Did the output change?</w:t>
      </w:r>
    </w:p>
    <w:p w14:paraId="7CA24A31" w14:textId="77777777" w:rsidR="008B5CBF" w:rsidRDefault="008B5CBF" w:rsidP="008B5CBF">
      <w:pPr>
        <w:pStyle w:val="Compact"/>
        <w:numPr>
          <w:ilvl w:val="0"/>
          <w:numId w:val="2"/>
        </w:numPr>
        <w:spacing w:line="240" w:lineRule="auto"/>
        <w:ind w:hanging="482"/>
        <w:contextualSpacing/>
      </w:pPr>
      <w:r>
        <w:t>Did the criterion change?</w:t>
      </w:r>
    </w:p>
    <w:p w14:paraId="79052CBD" w14:textId="77777777" w:rsidR="008B5CBF" w:rsidRDefault="008B5CBF" w:rsidP="008B5CBF">
      <w:pPr>
        <w:pStyle w:val="Compact"/>
        <w:numPr>
          <w:ilvl w:val="0"/>
          <w:numId w:val="2"/>
        </w:numPr>
        <w:spacing w:line="240" w:lineRule="auto"/>
        <w:ind w:hanging="482"/>
        <w:contextualSpacing/>
      </w:pPr>
      <w:r>
        <w:t>Did the threshold change?</w:t>
      </w:r>
    </w:p>
    <w:p w14:paraId="56924113" w14:textId="77777777" w:rsidR="008B5CBF" w:rsidRDefault="008B5CBF" w:rsidP="008B5CBF">
      <w:pPr>
        <w:pStyle w:val="Compact"/>
        <w:numPr>
          <w:ilvl w:val="0"/>
          <w:numId w:val="2"/>
        </w:numPr>
        <w:spacing w:line="240" w:lineRule="auto"/>
        <w:ind w:hanging="482"/>
        <w:contextualSpacing/>
      </w:pPr>
      <w:r>
        <w:t>Did the protected subject change?</w:t>
      </w:r>
    </w:p>
    <w:p w14:paraId="43D75DD4" w14:textId="77777777" w:rsidR="008B5CBF" w:rsidRDefault="008B5CBF" w:rsidP="008B5CBF">
      <w:pPr>
        <w:pStyle w:val="Compact"/>
        <w:numPr>
          <w:ilvl w:val="0"/>
          <w:numId w:val="2"/>
        </w:numPr>
        <w:spacing w:line="240" w:lineRule="auto"/>
        <w:ind w:hanging="482"/>
        <w:contextualSpacing/>
      </w:pPr>
      <w:r>
        <w:t>Did the reset recover the option?</w:t>
      </w:r>
    </w:p>
    <w:p w14:paraId="38376562" w14:textId="77777777" w:rsidR="008B5CBF" w:rsidRDefault="008B5CBF" w:rsidP="008B5CBF">
      <w:pPr>
        <w:pStyle w:val="Compact"/>
        <w:numPr>
          <w:ilvl w:val="0"/>
          <w:numId w:val="2"/>
        </w:numPr>
        <w:spacing w:line="240" w:lineRule="auto"/>
        <w:ind w:hanging="482"/>
        <w:contextualSpacing/>
      </w:pPr>
      <w:r>
        <w:t>Did the reset recover the justification?</w:t>
      </w:r>
    </w:p>
    <w:p w14:paraId="40393280" w14:textId="77777777" w:rsidR="008B5CBF" w:rsidRDefault="008B5CBF" w:rsidP="008B5CBF">
      <w:pPr>
        <w:pStyle w:val="Compact"/>
        <w:numPr>
          <w:ilvl w:val="0"/>
          <w:numId w:val="2"/>
        </w:numPr>
        <w:spacing w:line="240" w:lineRule="auto"/>
        <w:ind w:hanging="482"/>
        <w:contextualSpacing/>
      </w:pPr>
      <w:r>
        <w:t>Did the self-audit recognize the change?</w:t>
      </w:r>
    </w:p>
    <w:p w14:paraId="6D53206E" w14:textId="77777777" w:rsidR="008B5CBF" w:rsidRDefault="008B5CBF" w:rsidP="008B5CBF">
      <w:pPr>
        <w:pStyle w:val="Compact"/>
        <w:numPr>
          <w:ilvl w:val="0"/>
          <w:numId w:val="2"/>
        </w:numPr>
        <w:spacing w:line="240" w:lineRule="auto"/>
        <w:ind w:hanging="482"/>
        <w:contextualSpacing/>
      </w:pPr>
      <w:r>
        <w:t>Did an adversarial auditor reach the same conclusion?</w:t>
      </w:r>
    </w:p>
    <w:p w14:paraId="29100430" w14:textId="77777777" w:rsidR="008B5CBF" w:rsidRDefault="008B5CBF" w:rsidP="008B5CBF">
      <w:pPr>
        <w:pStyle w:val="Compact"/>
        <w:numPr>
          <w:ilvl w:val="0"/>
          <w:numId w:val="2"/>
        </w:numPr>
        <w:spacing w:line="240" w:lineRule="auto"/>
        <w:ind w:hanging="482"/>
        <w:contextualSpacing/>
      </w:pPr>
      <w:r>
        <w:t>Would the neighboring scenario produce the same decision?</w:t>
      </w:r>
    </w:p>
    <w:p w14:paraId="667D7263" w14:textId="77777777" w:rsidR="008B5CBF" w:rsidRDefault="008B5CBF" w:rsidP="008B5CBF">
      <w:pPr>
        <w:pStyle w:val="Heading1"/>
      </w:pPr>
      <w:bookmarkStart w:id="7" w:name="Xd349ba4ff8ea37ca3ce5c15b4814020b4532271"/>
      <w:bookmarkEnd w:id="6"/>
      <w:r>
        <w:t>Appendix D. Transition Coding Form</w:t>
      </w:r>
    </w:p>
    <w:p w14:paraId="759A2EB5" w14:textId="77777777" w:rsidR="008B5CBF" w:rsidRPr="008F3370" w:rsidRDefault="008B5CBF" w:rsidP="008B5CBF">
      <w:pPr>
        <w:pStyle w:val="SourceCode"/>
        <w:rPr>
          <w:rFonts w:ascii="Times New Roman" w:hAnsi="Times New Roman" w:cs="Times New Roman"/>
        </w:rPr>
      </w:pPr>
      <w:r w:rsidRPr="008F3370">
        <w:rPr>
          <w:rStyle w:val="VerbatimChar"/>
          <w:rFonts w:ascii="Times New Roman" w:hAnsi="Times New Roman" w:cs="Times New Roman"/>
        </w:rPr>
        <w:t>Trajectory identifier:</w:t>
      </w:r>
      <w:r w:rsidRPr="008F3370">
        <w:rPr>
          <w:rFonts w:ascii="Times New Roman" w:hAnsi="Times New Roman" w:cs="Times New Roman"/>
        </w:rPr>
        <w:br/>
      </w:r>
      <w:r w:rsidRPr="008F3370">
        <w:rPr>
          <w:rStyle w:val="VerbatimChar"/>
          <w:rFonts w:ascii="Times New Roman" w:hAnsi="Times New Roman" w:cs="Times New Roman"/>
        </w:rPr>
        <w:t>Domain:</w:t>
      </w:r>
      <w:r w:rsidRPr="008F3370">
        <w:rPr>
          <w:rFonts w:ascii="Times New Roman" w:hAnsi="Times New Roman" w:cs="Times New Roman"/>
        </w:rPr>
        <w:br/>
      </w:r>
      <w:r w:rsidRPr="008F3370">
        <w:rPr>
          <w:rStyle w:val="VerbatimChar"/>
          <w:rFonts w:ascii="Times New Roman" w:hAnsi="Times New Roman" w:cs="Times New Roman"/>
        </w:rPr>
        <w:t>Language:</w:t>
      </w:r>
      <w:r w:rsidRPr="008F3370">
        <w:rPr>
          <w:rFonts w:ascii="Times New Roman" w:hAnsi="Times New Roman" w:cs="Times New Roman"/>
        </w:rPr>
        <w:br/>
      </w:r>
      <w:r w:rsidRPr="008F3370">
        <w:rPr>
          <w:rStyle w:val="VerbatimChar"/>
          <w:rFonts w:ascii="Times New Roman" w:hAnsi="Times New Roman" w:cs="Times New Roman"/>
        </w:rPr>
        <w:t>Condition:</w:t>
      </w:r>
      <w:r w:rsidRPr="008F3370">
        <w:rPr>
          <w:rFonts w:ascii="Times New Roman" w:hAnsi="Times New Roman" w:cs="Times New Roman"/>
        </w:rPr>
        <w:br/>
      </w:r>
      <w:r w:rsidRPr="008F3370">
        <w:rPr>
          <w:rStyle w:val="VerbatimChar"/>
          <w:rFonts w:ascii="Times New Roman" w:hAnsi="Times New Roman" w:cs="Times New Roman"/>
        </w:rPr>
        <w:t>Initial turn:</w:t>
      </w:r>
      <w:r w:rsidRPr="008F3370">
        <w:rPr>
          <w:rFonts w:ascii="Times New Roman" w:hAnsi="Times New Roman" w:cs="Times New Roman"/>
        </w:rPr>
        <w:br/>
      </w:r>
      <w:r w:rsidRPr="008F3370">
        <w:rPr>
          <w:rStyle w:val="VerbatimChar"/>
          <w:rFonts w:ascii="Times New Roman" w:hAnsi="Times New Roman" w:cs="Times New Roman"/>
        </w:rPr>
        <w:t>Compared turn:</w:t>
      </w:r>
      <w:r w:rsidRPr="008F3370">
        <w:rPr>
          <w:rFonts w:ascii="Times New Roman" w:hAnsi="Times New Roman" w:cs="Times New Roman"/>
        </w:rPr>
        <w:br/>
      </w:r>
      <w:r w:rsidRPr="008F3370">
        <w:rPr>
          <w:rStyle w:val="VerbatimChar"/>
          <w:rFonts w:ascii="Times New Roman" w:hAnsi="Times New Roman" w:cs="Times New Roman"/>
        </w:rPr>
        <w:t>Initial output:</w:t>
      </w:r>
      <w:r w:rsidRPr="008F3370">
        <w:rPr>
          <w:rFonts w:ascii="Times New Roman" w:hAnsi="Times New Roman" w:cs="Times New Roman"/>
        </w:rPr>
        <w:br/>
      </w:r>
      <w:r w:rsidRPr="008F3370">
        <w:rPr>
          <w:rStyle w:val="VerbatimChar"/>
          <w:rFonts w:ascii="Times New Roman" w:hAnsi="Times New Roman" w:cs="Times New Roman"/>
        </w:rPr>
        <w:t>Subsequent output:</w:t>
      </w:r>
      <w:r w:rsidRPr="008F3370">
        <w:rPr>
          <w:rFonts w:ascii="Times New Roman" w:hAnsi="Times New Roman" w:cs="Times New Roman"/>
        </w:rPr>
        <w:br/>
      </w:r>
      <w:r w:rsidRPr="008F3370">
        <w:rPr>
          <w:rStyle w:val="VerbatimChar"/>
          <w:rFonts w:ascii="Times New Roman" w:hAnsi="Times New Roman" w:cs="Times New Roman"/>
        </w:rPr>
        <w:t>Initial dominant principle:</w:t>
      </w:r>
      <w:r w:rsidRPr="008F3370">
        <w:rPr>
          <w:rFonts w:ascii="Times New Roman" w:hAnsi="Times New Roman" w:cs="Times New Roman"/>
        </w:rPr>
        <w:br/>
      </w:r>
      <w:r w:rsidRPr="008F3370">
        <w:rPr>
          <w:rStyle w:val="VerbatimChar"/>
          <w:rFonts w:ascii="Times New Roman" w:hAnsi="Times New Roman" w:cs="Times New Roman"/>
        </w:rPr>
        <w:t>Subsequent dominant principle:</w:t>
      </w:r>
      <w:r w:rsidRPr="008F3370">
        <w:rPr>
          <w:rFonts w:ascii="Times New Roman" w:hAnsi="Times New Roman" w:cs="Times New Roman"/>
        </w:rPr>
        <w:br/>
      </w:r>
      <w:r w:rsidRPr="008F3370">
        <w:rPr>
          <w:rStyle w:val="VerbatimChar"/>
          <w:rFonts w:ascii="Times New Roman" w:hAnsi="Times New Roman" w:cs="Times New Roman"/>
        </w:rPr>
        <w:t>Initial protected subject:</w:t>
      </w:r>
      <w:r w:rsidRPr="008F3370">
        <w:rPr>
          <w:rFonts w:ascii="Times New Roman" w:hAnsi="Times New Roman" w:cs="Times New Roman"/>
        </w:rPr>
        <w:br/>
      </w:r>
      <w:r w:rsidRPr="008F3370">
        <w:rPr>
          <w:rStyle w:val="VerbatimChar"/>
          <w:rFonts w:ascii="Times New Roman" w:hAnsi="Times New Roman" w:cs="Times New Roman"/>
        </w:rPr>
        <w:t>Subsequent protected subject:</w:t>
      </w:r>
      <w:r w:rsidRPr="008F3370">
        <w:rPr>
          <w:rFonts w:ascii="Times New Roman" w:hAnsi="Times New Roman" w:cs="Times New Roman"/>
        </w:rPr>
        <w:br/>
      </w:r>
      <w:r w:rsidRPr="008F3370">
        <w:rPr>
          <w:rStyle w:val="VerbatimChar"/>
          <w:rFonts w:ascii="Times New Roman" w:hAnsi="Times New Roman" w:cs="Times New Roman"/>
        </w:rPr>
        <w:t>Initial threshold:</w:t>
      </w:r>
      <w:r w:rsidRPr="008F3370">
        <w:rPr>
          <w:rFonts w:ascii="Times New Roman" w:hAnsi="Times New Roman" w:cs="Times New Roman"/>
        </w:rPr>
        <w:br/>
      </w:r>
      <w:r w:rsidRPr="008F3370">
        <w:rPr>
          <w:rStyle w:val="VerbatimChar"/>
          <w:rFonts w:ascii="Times New Roman" w:hAnsi="Times New Roman" w:cs="Times New Roman"/>
        </w:rPr>
        <w:t>Subsequent threshold:</w:t>
      </w:r>
      <w:r w:rsidRPr="008F3370">
        <w:rPr>
          <w:rFonts w:ascii="Times New Roman" w:hAnsi="Times New Roman" w:cs="Times New Roman"/>
        </w:rPr>
        <w:br/>
      </w:r>
      <w:r w:rsidRPr="008F3370">
        <w:rPr>
          <w:rStyle w:val="VerbatimChar"/>
          <w:rFonts w:ascii="Times New Roman" w:hAnsi="Times New Roman" w:cs="Times New Roman"/>
        </w:rPr>
        <w:t>Reasons initially excluded:</w:t>
      </w:r>
      <w:r w:rsidRPr="008F3370">
        <w:rPr>
          <w:rFonts w:ascii="Times New Roman" w:hAnsi="Times New Roman" w:cs="Times New Roman"/>
        </w:rPr>
        <w:br/>
      </w:r>
      <w:r w:rsidRPr="008F3370">
        <w:rPr>
          <w:rStyle w:val="VerbatimChar"/>
          <w:rFonts w:ascii="Times New Roman" w:hAnsi="Times New Roman" w:cs="Times New Roman"/>
        </w:rPr>
        <w:t>Reasons subsequently admitted:</w:t>
      </w:r>
      <w:r w:rsidRPr="008F3370">
        <w:rPr>
          <w:rFonts w:ascii="Times New Roman" w:hAnsi="Times New Roman" w:cs="Times New Roman"/>
        </w:rPr>
        <w:br/>
      </w:r>
      <w:r w:rsidRPr="008F3370">
        <w:rPr>
          <w:rStyle w:val="VerbatimChar"/>
          <w:rFonts w:ascii="Times New Roman" w:hAnsi="Times New Roman" w:cs="Times New Roman"/>
        </w:rPr>
        <w:lastRenderedPageBreak/>
        <w:t>Initial reversal condition:</w:t>
      </w:r>
      <w:r w:rsidRPr="008F3370">
        <w:rPr>
          <w:rFonts w:ascii="Times New Roman" w:hAnsi="Times New Roman" w:cs="Times New Roman"/>
        </w:rPr>
        <w:br/>
      </w:r>
      <w:r w:rsidRPr="008F3370">
        <w:rPr>
          <w:rStyle w:val="VerbatimChar"/>
          <w:rFonts w:ascii="Times New Roman" w:hAnsi="Times New Roman" w:cs="Times New Roman"/>
        </w:rPr>
        <w:t>Subsequent reversal condition:</w:t>
      </w:r>
      <w:r w:rsidRPr="008F3370">
        <w:rPr>
          <w:rFonts w:ascii="Times New Roman" w:hAnsi="Times New Roman" w:cs="Times New Roman"/>
        </w:rPr>
        <w:br/>
      </w:r>
      <w:r w:rsidRPr="008F3370">
        <w:rPr>
          <w:rStyle w:val="VerbatimChar"/>
          <w:rFonts w:ascii="Times New Roman" w:hAnsi="Times New Roman" w:cs="Times New Roman"/>
        </w:rPr>
        <w:t>New material evidence: yes/no</w:t>
      </w:r>
      <w:r w:rsidRPr="008F3370">
        <w:rPr>
          <w:rFonts w:ascii="Times New Roman" w:hAnsi="Times New Roman" w:cs="Times New Roman"/>
        </w:rPr>
        <w:br/>
      </w:r>
      <w:r w:rsidRPr="008F3370">
        <w:rPr>
          <w:rStyle w:val="VerbatimChar"/>
          <w:rFonts w:ascii="Times New Roman" w:hAnsi="Times New Roman" w:cs="Times New Roman"/>
        </w:rPr>
        <w:t>P1/P2/P3 indicators:</w:t>
      </w:r>
      <w:r w:rsidRPr="008F3370">
        <w:rPr>
          <w:rFonts w:ascii="Times New Roman" w:hAnsi="Times New Roman" w:cs="Times New Roman"/>
        </w:rPr>
        <w:br/>
      </w:r>
      <w:r w:rsidRPr="008F3370">
        <w:rPr>
          <w:rStyle w:val="VerbatimChar"/>
          <w:rFonts w:ascii="Times New Roman" w:hAnsi="Times New Roman" w:cs="Times New Roman"/>
        </w:rPr>
        <w:t>S1/S2/S3 indicators:</w:t>
      </w:r>
      <w:r w:rsidRPr="008F3370">
        <w:rPr>
          <w:rFonts w:ascii="Times New Roman" w:hAnsi="Times New Roman" w:cs="Times New Roman"/>
        </w:rPr>
        <w:br/>
      </w:r>
      <w:r w:rsidRPr="008F3370">
        <w:rPr>
          <w:rStyle w:val="VerbatimChar"/>
          <w:rFonts w:ascii="Times New Roman" w:hAnsi="Times New Roman" w:cs="Times New Roman"/>
        </w:rPr>
        <w:t>Material shift: yes/no</w:t>
      </w:r>
      <w:r w:rsidRPr="008F3370">
        <w:rPr>
          <w:rFonts w:ascii="Times New Roman" w:hAnsi="Times New Roman" w:cs="Times New Roman"/>
        </w:rPr>
        <w:br/>
      </w:r>
      <w:r w:rsidRPr="008F3370">
        <w:rPr>
          <w:rStyle w:val="VerbatimChar"/>
          <w:rFonts w:ascii="Times New Roman" w:hAnsi="Times New Roman" w:cs="Times New Roman"/>
        </w:rPr>
        <w:t>Stable output: yes/no</w:t>
      </w:r>
      <w:r w:rsidRPr="008F3370">
        <w:rPr>
          <w:rFonts w:ascii="Times New Roman" w:hAnsi="Times New Roman" w:cs="Times New Roman"/>
        </w:rPr>
        <w:br/>
      </w:r>
      <w:r w:rsidRPr="008F3370">
        <w:rPr>
          <w:rStyle w:val="VerbatimChar"/>
          <w:rFonts w:ascii="Times New Roman" w:hAnsi="Times New Roman" w:cs="Times New Roman"/>
        </w:rPr>
        <w:t>Justificatory decoupling: yes/no</w:t>
      </w:r>
      <w:r w:rsidRPr="008F3370">
        <w:rPr>
          <w:rFonts w:ascii="Times New Roman" w:hAnsi="Times New Roman" w:cs="Times New Roman"/>
        </w:rPr>
        <w:br/>
      </w:r>
      <w:r w:rsidRPr="008F3370">
        <w:rPr>
          <w:rStyle w:val="VerbatimChar"/>
          <w:rFonts w:ascii="Times New Roman" w:hAnsi="Times New Roman" w:cs="Times New Roman"/>
        </w:rPr>
        <w:t>Type of drift:</w:t>
      </w:r>
      <w:r w:rsidRPr="008F3370">
        <w:rPr>
          <w:rFonts w:ascii="Times New Roman" w:hAnsi="Times New Roman" w:cs="Times New Roman"/>
        </w:rPr>
        <w:br/>
      </w:r>
      <w:r w:rsidRPr="008F3370">
        <w:rPr>
          <w:rStyle w:val="VerbatimChar"/>
          <w:rFonts w:ascii="Times New Roman" w:hAnsi="Times New Roman" w:cs="Times New Roman"/>
        </w:rPr>
        <w:t>Coding confidence:</w:t>
      </w:r>
      <w:r w:rsidRPr="008F3370">
        <w:rPr>
          <w:rFonts w:ascii="Times New Roman" w:hAnsi="Times New Roman" w:cs="Times New Roman"/>
        </w:rPr>
        <w:br/>
      </w:r>
      <w:r w:rsidRPr="008F3370">
        <w:rPr>
          <w:rStyle w:val="VerbatimChar"/>
          <w:rFonts w:ascii="Times New Roman" w:hAnsi="Times New Roman" w:cs="Times New Roman"/>
        </w:rPr>
        <w:t>Textual justification:</w:t>
      </w:r>
    </w:p>
    <w:p w14:paraId="36FEC16D" w14:textId="77777777" w:rsidR="008B5CBF" w:rsidRDefault="008B5CBF" w:rsidP="008B5CBF">
      <w:pPr>
        <w:pStyle w:val="Heading1"/>
      </w:pPr>
      <w:bookmarkStart w:id="8" w:name="X779409c6b56fcd0fe0fd79c98d64cfec0345073"/>
      <w:bookmarkEnd w:id="7"/>
      <w:r>
        <w:t>Appendix E. Neighboring-Scenario Test Matrix</w:t>
      </w:r>
    </w:p>
    <w:tbl>
      <w:tblPr>
        <w:tblStyle w:val="Table"/>
        <w:tblW w:w="0" w:type="auto"/>
        <w:jc w:val="center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ook w:val="0020" w:firstRow="1" w:lastRow="0" w:firstColumn="0" w:lastColumn="0" w:noHBand="0" w:noVBand="0"/>
      </w:tblPr>
      <w:tblGrid>
        <w:gridCol w:w="608"/>
        <w:gridCol w:w="4824"/>
        <w:gridCol w:w="3624"/>
      </w:tblGrid>
      <w:tr w:rsidR="008B5CBF" w14:paraId="2ABC5BD1" w14:textId="77777777" w:rsidTr="008914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D9E2F3"/>
            <w:vAlign w:val="center"/>
          </w:tcPr>
          <w:p w14:paraId="664F4D2F" w14:textId="77777777" w:rsidR="008B5CBF" w:rsidRDefault="008B5CBF" w:rsidP="008914A7">
            <w:pPr>
              <w:pStyle w:val="Compact"/>
              <w:spacing w:after="40" w:line="240" w:lineRule="auto"/>
              <w:jc w:val="center"/>
            </w:pPr>
            <w:r>
              <w:t>Step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D9E2F3"/>
            <w:vAlign w:val="center"/>
          </w:tcPr>
          <w:p w14:paraId="0B50F512" w14:textId="77777777" w:rsidR="008B5CBF" w:rsidRDefault="008B5CBF" w:rsidP="008914A7">
            <w:pPr>
              <w:pStyle w:val="Compact"/>
              <w:spacing w:after="40" w:line="240" w:lineRule="auto"/>
              <w:jc w:val="center"/>
            </w:pPr>
            <w:r>
              <w:t>Question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shd w:val="clear" w:color="auto" w:fill="D9E2F3"/>
            <w:vAlign w:val="center"/>
          </w:tcPr>
          <w:p w14:paraId="3BD663B8" w14:textId="77777777" w:rsidR="008B5CBF" w:rsidRDefault="008B5CBF" w:rsidP="008914A7">
            <w:pPr>
              <w:pStyle w:val="Compact"/>
              <w:spacing w:after="40" w:line="240" w:lineRule="auto"/>
              <w:jc w:val="center"/>
            </w:pPr>
            <w:r>
              <w:t>Required evidence</w:t>
            </w:r>
          </w:p>
        </w:tc>
      </w:tr>
      <w:tr w:rsidR="008B5CBF" w14:paraId="4DA4C3D3" w14:textId="77777777" w:rsidTr="008914A7">
        <w:trPr>
          <w:jc w:val="center"/>
        </w:trPr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171B2FD4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090695C3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Do two reasons initially lead to the same output?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5CAC00BA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Identify the substantive principle and institutional reason</w:t>
            </w:r>
          </w:p>
        </w:tc>
      </w:tr>
      <w:tr w:rsidR="008B5CBF" w14:paraId="1D5DDCB7" w14:textId="77777777" w:rsidTr="008914A7">
        <w:trPr>
          <w:jc w:val="center"/>
        </w:trPr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44F950D7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2B9F241E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Does pressure change the dominant reason without changing the output?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13396ED7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Apply the material-shift codebook</w:t>
            </w:r>
          </w:p>
        </w:tc>
      </w:tr>
      <w:tr w:rsidR="008B5CBF" w14:paraId="2605BD6F" w14:textId="77777777" w:rsidTr="008914A7">
        <w:trPr>
          <w:jc w:val="center"/>
        </w:trPr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34E90B35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6B5FC8F7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Can a neighboring case in which the reasons diverge be constructed or identified?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54ADAE54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Stake reversal, forced contradiction, or alternative role</w:t>
            </w:r>
          </w:p>
        </w:tc>
      </w:tr>
      <w:tr w:rsidR="008B5CBF" w14:paraId="6B42D9A4" w14:textId="77777777" w:rsidTr="008914A7">
        <w:trPr>
          <w:jc w:val="center"/>
        </w:trPr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45411AE6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6DB1BFA5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Which reason predicts the decision in the neighboring case?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571211D4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Compare output and justification</w:t>
            </w:r>
          </w:p>
        </w:tc>
      </w:tr>
      <w:tr w:rsidR="008B5CBF" w14:paraId="22EC591D" w14:textId="77777777" w:rsidTr="008914A7">
        <w:trPr>
          <w:jc w:val="center"/>
        </w:trPr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7EA44A6E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7FC866DA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Does the model recognize the change?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461EB401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Self-audit and confrontation with traces</w:t>
            </w:r>
          </w:p>
        </w:tc>
      </w:tr>
      <w:tr w:rsidR="008B5CBF" w14:paraId="6B26868A" w14:textId="77777777" w:rsidTr="008914A7">
        <w:trPr>
          <w:jc w:val="center"/>
        </w:trPr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602383B3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4D8065E2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Can the pattern be replicated?</w:t>
            </w:r>
          </w:p>
        </w:tc>
        <w:tc>
          <w:tcPr>
            <w:tcW w:w="0" w:type="auto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vAlign w:val="center"/>
          </w:tcPr>
          <w:p w14:paraId="51D1729B" w14:textId="77777777" w:rsidR="008B5CBF" w:rsidRDefault="008B5CBF" w:rsidP="008914A7">
            <w:pPr>
              <w:pStyle w:val="Compact"/>
              <w:spacing w:after="40" w:line="240" w:lineRule="auto"/>
            </w:pPr>
            <w:r>
              <w:t>Repetitions and version and language control</w:t>
            </w:r>
          </w:p>
        </w:tc>
      </w:tr>
      <w:bookmarkEnd w:id="8"/>
    </w:tbl>
    <w:p w14:paraId="40043AFE" w14:textId="77777777" w:rsidR="008B5CBF" w:rsidRDefault="008B5CBF" w:rsidP="008B5CBF">
      <w:pPr>
        <w:pStyle w:val="FirstParagraph"/>
      </w:pPr>
    </w:p>
    <w:p w14:paraId="5C9C25B2" w14:textId="77777777" w:rsidR="00767E38" w:rsidRDefault="00767E38"/>
    <w:sectPr w:rsidR="00767E38" w:rsidSect="008B5CBF">
      <w:headerReference w:type="default" r:id="rId5"/>
      <w:footerReference w:type="default" r:id="rId6"/>
      <w:footerReference w:type="first" r:id="rId7"/>
      <w:pgSz w:w="11906" w:h="16838"/>
      <w:pgMar w:top="1304" w:right="1417" w:bottom="1304" w:left="1417" w:header="624" w:footer="624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DA2FB" w14:textId="77777777" w:rsidR="008B5CBF" w:rsidRDefault="008B5CBF"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>
      <w:rPr>
        <w:noProof/>
        <w:sz w:val="18"/>
      </w:rPr>
      <w:t>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4CDC6" w14:textId="77777777" w:rsidR="008B5CBF" w:rsidRDefault="008B5CBF">
    <w:pPr>
      <w:jc w:val="center"/>
    </w:pPr>
    <w:r w:rsidRPr="00206E2E">
      <w:rPr>
        <w:rFonts w:ascii="Noto Sans" w:eastAsia="Noto Sans" w:hAnsi="Noto Sans" w:cs="Noto Sans"/>
        <w:i/>
        <w:color w:val="5A5A5A"/>
        <w:sz w:val="17"/>
      </w:rPr>
      <w:t>Independent research preprint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7FA9C" w14:textId="77777777" w:rsidR="008B5CBF" w:rsidRDefault="008B5CBF">
    <w:pPr>
      <w:pBdr>
        <w:bottom w:val="single" w:sz="4" w:space="4" w:color="D9DDE3"/>
      </w:pBdr>
      <w:jc w:val="center"/>
    </w:pPr>
    <w:r>
      <w:rPr>
        <w:i/>
        <w:sz w:val="16"/>
      </w:rPr>
      <w:t>Stable Output, Shifting Criterion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15B28E10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" w15:restartNumberingAfterBreak="0">
    <w:nsid w:val="00A99411"/>
    <w:multiLevelType w:val="multilevel"/>
    <w:tmpl w:val="7E60AC9C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" w16cid:durableId="1737511851">
    <w:abstractNumId w:val="0"/>
  </w:num>
  <w:num w:numId="2" w16cid:durableId="15200045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CBF"/>
    <w:rsid w:val="00311CBF"/>
    <w:rsid w:val="00767E38"/>
    <w:rsid w:val="00866F7D"/>
    <w:rsid w:val="008B5CBF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06408"/>
  <w15:chartTrackingRefBased/>
  <w15:docId w15:val="{25BA1D4A-26C9-46EF-B3F3-0F4CAB057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CBF"/>
    <w:pPr>
      <w:spacing w:after="120" w:line="276" w:lineRule="auto"/>
    </w:pPr>
    <w:rPr>
      <w:rFonts w:ascii="Times New Roman" w:eastAsia="Times New Roman" w:hAnsi="Times New Roman"/>
      <w:color w:val="232323"/>
      <w:kern w:val="0"/>
      <w:sz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5C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5C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5C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C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C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C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C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C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C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5C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5C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C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C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C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C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C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C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C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5C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5C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5C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5C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C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5C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5C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5C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C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5CBF"/>
    <w:rPr>
      <w:b/>
      <w:bCs/>
      <w:smallCaps/>
      <w:color w:val="0F4761" w:themeColor="accent1" w:themeShade="BF"/>
      <w:spacing w:val="5"/>
    </w:rPr>
  </w:style>
  <w:style w:type="paragraph" w:customStyle="1" w:styleId="FirstParagraph">
    <w:name w:val="First Paragraph"/>
    <w:basedOn w:val="BodyText"/>
    <w:next w:val="BodyText"/>
    <w:qFormat/>
    <w:rsid w:val="008B5CBF"/>
  </w:style>
  <w:style w:type="paragraph" w:customStyle="1" w:styleId="Compact">
    <w:name w:val="Compact"/>
    <w:basedOn w:val="BodyText"/>
    <w:qFormat/>
    <w:rsid w:val="008B5CBF"/>
  </w:style>
  <w:style w:type="table" w:customStyle="1" w:styleId="Table">
    <w:name w:val="Table"/>
    <w:semiHidden/>
    <w:unhideWhenUsed/>
    <w:qFormat/>
    <w:rsid w:val="008B5CBF"/>
    <w:pPr>
      <w:spacing w:after="20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character" w:customStyle="1" w:styleId="VerbatimChar">
    <w:name w:val="Verbatim Char"/>
    <w:basedOn w:val="DefaultParagraphFont"/>
    <w:link w:val="SourceCode"/>
    <w:rsid w:val="008B5CBF"/>
    <w:rPr>
      <w:rFonts w:ascii="Consolas" w:hAnsi="Consolas"/>
      <w:sz w:val="22"/>
    </w:rPr>
  </w:style>
  <w:style w:type="paragraph" w:customStyle="1" w:styleId="SourceCode">
    <w:name w:val="Source Code"/>
    <w:basedOn w:val="Normal"/>
    <w:link w:val="VerbatimChar"/>
    <w:rsid w:val="008B5CBF"/>
    <w:pPr>
      <w:wordWrap w:val="0"/>
    </w:pPr>
    <w:rPr>
      <w:rFonts w:ascii="Consolas" w:eastAsiaTheme="minorHAnsi" w:hAnsi="Consolas"/>
      <w:color w:val="auto"/>
      <w:kern w:val="2"/>
      <w:lang w:val="en-IN"/>
      <w14:ligatures w14:val="standardContextual"/>
    </w:rPr>
  </w:style>
  <w:style w:type="paragraph" w:styleId="BodyText">
    <w:name w:val="Body Text"/>
    <w:basedOn w:val="Normal"/>
    <w:link w:val="BodyTextChar"/>
    <w:uiPriority w:val="99"/>
    <w:semiHidden/>
    <w:unhideWhenUsed/>
    <w:rsid w:val="008B5CBF"/>
  </w:style>
  <w:style w:type="character" w:customStyle="1" w:styleId="BodyTextChar">
    <w:name w:val="Body Text Char"/>
    <w:basedOn w:val="DefaultParagraphFont"/>
    <w:link w:val="BodyText"/>
    <w:uiPriority w:val="99"/>
    <w:semiHidden/>
    <w:rsid w:val="008B5CBF"/>
    <w:rPr>
      <w:rFonts w:ascii="Times New Roman" w:eastAsia="Times New Roman" w:hAnsi="Times New Roman"/>
      <w:color w:val="232323"/>
      <w:kern w:val="0"/>
      <w:sz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637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2026-06-22T09:24:00Z</dcterms:created>
  <dcterms:modified xsi:type="dcterms:W3CDTF">2026-06-22T09:24:00Z</dcterms:modified>
</cp:coreProperties>
</file>