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A5812" w14:textId="2CF0E0F8" w:rsidR="00E56785" w:rsidRDefault="00611ADC">
      <w:pPr>
        <w:spacing w:after="160"/>
      </w:pPr>
      <w:r w:rsidRPr="00611ADC">
        <w:rPr>
          <w:rFonts w:ascii="Arial" w:eastAsia="Arial" w:hAnsi="Arial" w:cs="Arial"/>
          <w:b/>
          <w:bCs/>
        </w:rPr>
        <w:t>Supplementary</w:t>
      </w:r>
      <w:r w:rsidRPr="00611ADC">
        <w:rPr>
          <w:rFonts w:ascii="Arial" w:eastAsia="Arial" w:hAnsi="Arial" w:cs="Arial"/>
          <w:b/>
          <w:bCs/>
        </w:rPr>
        <w:t xml:space="preserve"> </w:t>
      </w:r>
      <w:r w:rsidR="00000000">
        <w:rPr>
          <w:rFonts w:ascii="Arial" w:eastAsia="Arial" w:hAnsi="Arial" w:cs="Arial"/>
          <w:b/>
          <w:bCs/>
        </w:rPr>
        <w:t>Table S</w:t>
      </w:r>
      <w:r w:rsidR="002F78B6">
        <w:rPr>
          <w:rFonts w:ascii="Arial" w:eastAsia="Arial" w:hAnsi="Arial" w:cs="Arial"/>
          <w:b/>
          <w:bCs/>
        </w:rPr>
        <w:t>1</w:t>
      </w:r>
      <w:r w:rsidR="00000000">
        <w:rPr>
          <w:rFonts w:ascii="Arial" w:eastAsia="Arial" w:hAnsi="Arial" w:cs="Arial"/>
          <w:b/>
          <w:bCs/>
        </w:rPr>
        <w:t xml:space="preserve">. </w:t>
      </w:r>
      <w:r w:rsidR="00000000">
        <w:rPr>
          <w:rFonts w:ascii="Arial" w:eastAsia="Arial" w:hAnsi="Arial" w:cs="Arial"/>
        </w:rPr>
        <w:t>Schoenfeld residuals test of the proportional hazards assumption — primary 12-month Cox model (N = 44,916 infants; 309 events)</w:t>
      </w:r>
    </w:p>
    <w:tbl>
      <w:tblPr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1200"/>
        <w:gridCol w:w="1200"/>
        <w:gridCol w:w="800"/>
        <w:gridCol w:w="1360"/>
      </w:tblGrid>
      <w:tr w:rsidR="00E56785" w14:paraId="4AD806C0" w14:textId="77777777">
        <w:trPr>
          <w:tblHeader/>
        </w:trPr>
        <w:tc>
          <w:tcPr>
            <w:tcW w:w="38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1691B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Covariate</w:t>
            </w: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9FDFC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rho</w:t>
            </w: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D189D6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chi²</w:t>
            </w: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A18FC3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df</w:t>
            </w:r>
          </w:p>
        </w:tc>
        <w:tc>
          <w:tcPr>
            <w:tcW w:w="136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50E72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p-value</w:t>
            </w:r>
          </w:p>
        </w:tc>
      </w:tr>
      <w:tr w:rsidR="00E56785" w14:paraId="6350EFB8" w14:textId="77777777">
        <w:tc>
          <w:tcPr>
            <w:tcW w:w="8360" w:type="dxa"/>
            <w:gridSpan w:val="5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87DDB2" w14:textId="77777777" w:rsidR="00E56785" w:rsidRDefault="00000000"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Maternal viral load (ref: Target Not Detected)</w:t>
            </w:r>
          </w:p>
        </w:tc>
      </w:tr>
      <w:tr w:rsidR="00E56785" w14:paraId="5E2FDE42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330961ED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&lt;40 copies/mL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09FE9326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−0.018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065FC850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0.12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3945EAF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0E012D34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0.730</w:t>
            </w:r>
          </w:p>
        </w:tc>
      </w:tr>
      <w:tr w:rsidR="00E56785" w14:paraId="4812CED7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D6E76EB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50–199 copies/mL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41D5199F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−0.011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744B32B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0.04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119A3A43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4B9D44F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0.848</w:t>
            </w:r>
          </w:p>
        </w:tc>
      </w:tr>
      <w:tr w:rsidR="00E56785" w14:paraId="6D7C3FEF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1495D66A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200–999 copies/mL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534F5ED9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−0.007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6F68978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0.02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5B0483E1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57442CEC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0.892</w:t>
            </w:r>
          </w:p>
        </w:tc>
      </w:tr>
      <w:tr w:rsidR="00E56785" w14:paraId="6DC8063C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52ADAABC" w14:textId="77777777" w:rsidR="00E56785" w:rsidRDefault="00000000"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≥1,000 copies/mL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B7BD253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−0.170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0840A6CD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11.39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334BC8A3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7D5CD799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0.001</w:t>
            </w:r>
          </w:p>
        </w:tc>
      </w:tr>
      <w:tr w:rsidR="00E56785" w14:paraId="0BFFA75B" w14:textId="77777777">
        <w:tc>
          <w:tcPr>
            <w:tcW w:w="8360" w:type="dxa"/>
            <w:gridSpan w:val="5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A41D2A" w14:textId="77777777" w:rsidR="00E56785" w:rsidRDefault="00000000"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Other covariates</w:t>
            </w:r>
          </w:p>
        </w:tc>
      </w:tr>
      <w:tr w:rsidR="00E56785" w14:paraId="2EF0CACA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9C41264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Infant sex (male)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2027958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−0.014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53F5F7D7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0.07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1E31C8E7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76F4F891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0.799</w:t>
            </w:r>
          </w:p>
        </w:tc>
      </w:tr>
      <w:tr w:rsidR="00E56785" w14:paraId="2338A285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6A06173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Maternal age 20–34 years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31C77037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−0.104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4B28B5FC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3.54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73DA73BD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1E9708C8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0.060</w:t>
            </w:r>
          </w:p>
        </w:tc>
      </w:tr>
      <w:tr w:rsidR="00E56785" w14:paraId="71EF3D38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4EBF9531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Maternal age ≥35 years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6CB6094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−0.078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344D732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2.00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300734D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3543E85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0.158</w:t>
            </w:r>
          </w:p>
        </w:tc>
      </w:tr>
      <w:tr w:rsidR="00E56785" w14:paraId="4C9983AD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020C836F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Parity 2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351AF6FE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0.006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682348E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0.01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C272AF7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75A81779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0.919</w:t>
            </w:r>
          </w:p>
        </w:tc>
      </w:tr>
      <w:tr w:rsidR="00E56785" w14:paraId="61EECE64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385D7477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Parity 3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7449D34B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 0.052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4F3BCAD3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0.89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43E0CDC1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2423B6F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0.346</w:t>
            </w:r>
          </w:p>
        </w:tc>
      </w:tr>
      <w:tr w:rsidR="00E56785" w14:paraId="60EBE409" w14:textId="77777777">
        <w:tc>
          <w:tcPr>
            <w:tcW w:w="3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170AD98" w14:textId="77777777" w:rsidR="00E56785" w:rsidRDefault="00000000">
            <w:r>
              <w:rPr>
                <w:rFonts w:ascii="Arial" w:eastAsia="Arial" w:hAnsi="Arial" w:cs="Arial"/>
                <w:sz w:val="19"/>
                <w:szCs w:val="19"/>
              </w:rPr>
              <w:t>Parity ≥4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7AC05CD5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−0.033</w:t>
            </w:r>
          </w:p>
        </w:tc>
        <w:tc>
          <w:tcPr>
            <w:tcW w:w="12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40B6558F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0.41</w:t>
            </w:r>
          </w:p>
        </w:tc>
        <w:tc>
          <w:tcPr>
            <w:tcW w:w="80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DFD244B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60" w:type="dxa"/>
            <w:tcBorders>
              <w:top w:val="single" w:sz="2" w:space="0" w:color="88888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36626D0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0.521</w:t>
            </w:r>
          </w:p>
        </w:tc>
      </w:tr>
      <w:tr w:rsidR="00E56785" w14:paraId="631FFF98" w14:textId="77777777">
        <w:tc>
          <w:tcPr>
            <w:tcW w:w="38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E8F0F7"/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54980B61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Global test</w:t>
            </w: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E8F0F7"/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7F96778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—</w:t>
            </w: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E8F0F7"/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60361A0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17.78</w:t>
            </w: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E8F0F7"/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2AC51AB5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E8F0F7"/>
            <w:tcMar>
              <w:top w:w="65" w:type="dxa"/>
              <w:left w:w="120" w:type="dxa"/>
              <w:bottom w:w="65" w:type="dxa"/>
              <w:right w:w="120" w:type="dxa"/>
            </w:tcMar>
            <w:vAlign w:val="center"/>
          </w:tcPr>
          <w:p w14:paraId="669E5497" w14:textId="77777777" w:rsidR="00E5678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0.059</w:t>
            </w:r>
          </w:p>
        </w:tc>
      </w:tr>
    </w:tbl>
    <w:p w14:paraId="5D9D42C8" w14:textId="77777777" w:rsidR="00E56785" w:rsidRDefault="00E56785">
      <w:pPr>
        <w:spacing w:before="100"/>
      </w:pPr>
    </w:p>
    <w:p w14:paraId="7517E751" w14:textId="77777777" w:rsidR="00E56785" w:rsidRPr="007B1498" w:rsidRDefault="00000000">
      <w:pPr>
        <w:spacing w:before="40" w:after="40"/>
        <w:rPr>
          <w:sz w:val="17"/>
          <w:szCs w:val="17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 xml:space="preserve">Schoenfeld residuals test using analysis time as the time function, with robust variance–covariance matrix (Stata: </w:t>
      </w:r>
      <w:proofErr w:type="spellStart"/>
      <w:r w:rsidRPr="007B1498">
        <w:rPr>
          <w:rFonts w:ascii="Arial" w:eastAsia="Arial" w:hAnsi="Arial" w:cs="Arial"/>
          <w:color w:val="444444"/>
          <w:sz w:val="17"/>
          <w:szCs w:val="17"/>
        </w:rPr>
        <w:t>estat</w:t>
      </w:r>
      <w:proofErr w:type="spellEnd"/>
      <w:r w:rsidRPr="007B1498">
        <w:rPr>
          <w:rFonts w:ascii="Arial" w:eastAsia="Arial" w:hAnsi="Arial" w:cs="Arial"/>
          <w:color w:val="444444"/>
          <w:sz w:val="17"/>
          <w:szCs w:val="17"/>
        </w:rPr>
        <w:t xml:space="preserve"> </w:t>
      </w:r>
      <w:proofErr w:type="spellStart"/>
      <w:r w:rsidRPr="007B1498">
        <w:rPr>
          <w:rFonts w:ascii="Arial" w:eastAsia="Arial" w:hAnsi="Arial" w:cs="Arial"/>
          <w:color w:val="444444"/>
          <w:sz w:val="17"/>
          <w:szCs w:val="17"/>
        </w:rPr>
        <w:t>phtest</w:t>
      </w:r>
      <w:proofErr w:type="spellEnd"/>
      <w:r w:rsidRPr="007B1498">
        <w:rPr>
          <w:rFonts w:ascii="Arial" w:eastAsia="Arial" w:hAnsi="Arial" w:cs="Arial"/>
          <w:color w:val="444444"/>
          <w:sz w:val="17"/>
          <w:szCs w:val="17"/>
        </w:rPr>
        <w:t>, detail).</w:t>
      </w:r>
    </w:p>
    <w:p w14:paraId="31120783" w14:textId="77777777" w:rsidR="00E56785" w:rsidRPr="007B1498" w:rsidRDefault="00000000">
      <w:pPr>
        <w:spacing w:before="40" w:after="40"/>
        <w:rPr>
          <w:sz w:val="17"/>
          <w:szCs w:val="17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rho = Pearson correlation between scaled Schoenfeld residuals and analysis time. A negative rho indicates the hazard ratio decreases over follow-up time; a positive rho indicates it increases.</w:t>
      </w:r>
    </w:p>
    <w:p w14:paraId="1BB6F473" w14:textId="77777777" w:rsidR="00E56785" w:rsidRPr="007B1498" w:rsidRDefault="00000000">
      <w:pPr>
        <w:spacing w:before="40" w:after="40"/>
        <w:rPr>
          <w:sz w:val="17"/>
          <w:szCs w:val="17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Bold text indicates statistical significance at p &lt; 0.05.</w:t>
      </w:r>
    </w:p>
    <w:p w14:paraId="54CC9AAC" w14:textId="77777777" w:rsidR="00E56785" w:rsidRPr="007B1498" w:rsidRDefault="00000000">
      <w:pPr>
        <w:spacing w:before="40" w:after="40"/>
        <w:rPr>
          <w:sz w:val="17"/>
          <w:szCs w:val="17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The VL ≥1,000 copies/mL violation reflects attenuation of the hazard ratio over the 12-month follow-up period (negative rho = −0.170), consistent with the concentration of intrapartum transmission risk early in follow-up with relative attenuation as postnatal breastfeeding transmission from lower viral load categories accumulates later.</w:t>
      </w:r>
    </w:p>
    <w:p w14:paraId="4856897B" w14:textId="77777777" w:rsidR="00E56785" w:rsidRPr="007B1498" w:rsidRDefault="00000000">
      <w:pPr>
        <w:spacing w:before="40" w:after="40"/>
        <w:rPr>
          <w:sz w:val="17"/>
          <w:szCs w:val="17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The global test p = 0.059 does not reach the conventional significance threshold, indicating that the overall model satisfies the PH assumption.</w:t>
      </w:r>
    </w:p>
    <w:p w14:paraId="3AE51B16" w14:textId="77777777" w:rsidR="00E56785" w:rsidRPr="007B1498" w:rsidRDefault="00000000">
      <w:pPr>
        <w:spacing w:before="40" w:after="40"/>
        <w:rPr>
          <w:sz w:val="17"/>
          <w:szCs w:val="17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The peripartum sensitivity analysis restricted to infants tested before six weeks of age (Table S2) provides complementary evidence for this time-varying pattern.</w:t>
      </w:r>
    </w:p>
    <w:p w14:paraId="024CE7F3" w14:textId="77777777" w:rsidR="00E56785" w:rsidRPr="007B1498" w:rsidRDefault="00000000">
      <w:pPr>
        <w:spacing w:before="40" w:after="40"/>
        <w:rPr>
          <w:rFonts w:ascii="Arial" w:eastAsia="Arial" w:hAnsi="Arial" w:cs="Arial"/>
          <w:color w:val="444444"/>
          <w:sz w:val="17"/>
          <w:szCs w:val="17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VL = viral load; TND = Target Not Detected; df = degrees of freedom; CI = confidence interval.</w:t>
      </w:r>
    </w:p>
    <w:p w14:paraId="402208A3" w14:textId="77777777" w:rsidR="0019658D" w:rsidRPr="007B1498" w:rsidRDefault="0019658D">
      <w:pPr>
        <w:spacing w:before="40" w:after="40"/>
        <w:rPr>
          <w:rFonts w:ascii="Arial" w:eastAsia="Arial" w:hAnsi="Arial" w:cs="Arial"/>
          <w:color w:val="444444"/>
          <w:sz w:val="17"/>
          <w:szCs w:val="17"/>
        </w:rPr>
      </w:pPr>
    </w:p>
    <w:p w14:paraId="3E488CC7" w14:textId="77777777" w:rsidR="007B1498" w:rsidRDefault="007B1498">
      <w:pPr>
        <w:spacing w:before="40" w:after="40"/>
        <w:rPr>
          <w:rFonts w:ascii="Arial" w:eastAsia="Arial" w:hAnsi="Arial" w:cs="Arial"/>
          <w:color w:val="444444"/>
          <w:sz w:val="17"/>
          <w:szCs w:val="17"/>
        </w:rPr>
      </w:pPr>
    </w:p>
    <w:p w14:paraId="368F5301" w14:textId="77777777" w:rsidR="007B1498" w:rsidRDefault="007B1498">
      <w:pPr>
        <w:spacing w:before="40" w:after="40"/>
        <w:rPr>
          <w:rFonts w:ascii="Arial" w:eastAsia="Arial" w:hAnsi="Arial" w:cs="Arial"/>
          <w:color w:val="444444"/>
          <w:sz w:val="17"/>
          <w:szCs w:val="17"/>
        </w:rPr>
      </w:pPr>
    </w:p>
    <w:p w14:paraId="6D0D9EF1" w14:textId="77777777" w:rsidR="007B1498" w:rsidRDefault="007B1498">
      <w:pPr>
        <w:spacing w:before="40" w:after="40"/>
        <w:rPr>
          <w:rFonts w:ascii="Arial" w:eastAsia="Arial" w:hAnsi="Arial" w:cs="Arial"/>
          <w:color w:val="444444"/>
          <w:sz w:val="17"/>
          <w:szCs w:val="17"/>
        </w:rPr>
      </w:pPr>
    </w:p>
    <w:p w14:paraId="552ABA58" w14:textId="77777777" w:rsidR="007B1498" w:rsidRDefault="007B1498">
      <w:pPr>
        <w:spacing w:before="40" w:after="40"/>
        <w:rPr>
          <w:rFonts w:ascii="Arial" w:eastAsia="Arial" w:hAnsi="Arial" w:cs="Arial"/>
          <w:color w:val="444444"/>
          <w:sz w:val="17"/>
          <w:szCs w:val="17"/>
        </w:rPr>
      </w:pPr>
    </w:p>
    <w:p w14:paraId="38039F50" w14:textId="77777777" w:rsidR="007B1498" w:rsidRDefault="007B1498" w:rsidP="007B1498">
      <w:pPr>
        <w:spacing w:before="240"/>
        <w:rPr>
          <w:rFonts w:ascii="Arial" w:eastAsia="Arial" w:hAnsi="Arial" w:cs="Arial"/>
          <w:sz w:val="19"/>
          <w:szCs w:val="19"/>
        </w:rPr>
      </w:pPr>
    </w:p>
    <w:p w14:paraId="2F051DA8" w14:textId="77777777" w:rsidR="00FB601C" w:rsidRDefault="00FB601C" w:rsidP="007B1498">
      <w:pPr>
        <w:spacing w:before="240"/>
        <w:rPr>
          <w:rFonts w:ascii="Arial" w:eastAsia="Arial" w:hAnsi="Arial" w:cs="Arial"/>
          <w:sz w:val="19"/>
          <w:szCs w:val="19"/>
        </w:rPr>
      </w:pPr>
    </w:p>
    <w:p w14:paraId="6CCE838A" w14:textId="77777777" w:rsidR="00FB601C" w:rsidRDefault="00FB601C" w:rsidP="007B1498">
      <w:pPr>
        <w:spacing w:before="240"/>
        <w:rPr>
          <w:rFonts w:ascii="Arial" w:eastAsia="Arial" w:hAnsi="Arial" w:cs="Arial"/>
          <w:sz w:val="19"/>
          <w:szCs w:val="19"/>
        </w:rPr>
      </w:pPr>
    </w:p>
    <w:p w14:paraId="18678198" w14:textId="77777777" w:rsidR="00FB601C" w:rsidRDefault="00FB601C" w:rsidP="007B1498">
      <w:pPr>
        <w:spacing w:before="240"/>
        <w:rPr>
          <w:rFonts w:ascii="Arial" w:eastAsia="Arial" w:hAnsi="Arial" w:cs="Arial"/>
          <w:sz w:val="19"/>
          <w:szCs w:val="19"/>
        </w:rPr>
      </w:pPr>
    </w:p>
    <w:p w14:paraId="10A1D711" w14:textId="77777777" w:rsidR="00FB601C" w:rsidRDefault="00FB601C" w:rsidP="007B1498">
      <w:pPr>
        <w:spacing w:before="240"/>
        <w:rPr>
          <w:rFonts w:ascii="Arial" w:eastAsia="Arial" w:hAnsi="Arial" w:cs="Arial"/>
          <w:sz w:val="19"/>
          <w:szCs w:val="19"/>
        </w:rPr>
      </w:pPr>
    </w:p>
    <w:p w14:paraId="29D607D0" w14:textId="77777777" w:rsidR="00FB601C" w:rsidRDefault="00FB601C" w:rsidP="007B1498">
      <w:pPr>
        <w:spacing w:before="240"/>
        <w:rPr>
          <w:rFonts w:ascii="Arial" w:eastAsia="Arial" w:hAnsi="Arial" w:cs="Arial"/>
          <w:sz w:val="19"/>
          <w:szCs w:val="19"/>
        </w:rPr>
      </w:pPr>
    </w:p>
    <w:p w14:paraId="14121F01" w14:textId="77777777" w:rsidR="00FB601C" w:rsidRPr="007B1498" w:rsidRDefault="00FB601C" w:rsidP="007B1498">
      <w:pPr>
        <w:spacing w:before="240"/>
        <w:rPr>
          <w:rFonts w:ascii="Arial" w:eastAsia="Arial" w:hAnsi="Arial" w:cs="Arial"/>
          <w:sz w:val="19"/>
          <w:szCs w:val="19"/>
        </w:rPr>
      </w:pPr>
    </w:p>
    <w:p w14:paraId="7E039D32" w14:textId="287836D2" w:rsidR="007B1498" w:rsidRPr="007B1498" w:rsidRDefault="00611ADC" w:rsidP="007B1498">
      <w:pPr>
        <w:spacing w:after="180"/>
        <w:rPr>
          <w:rFonts w:ascii="Arial" w:eastAsia="Arial" w:hAnsi="Arial" w:cs="Arial"/>
          <w:sz w:val="19"/>
          <w:szCs w:val="19"/>
        </w:rPr>
      </w:pPr>
      <w:r w:rsidRPr="00611ADC">
        <w:rPr>
          <w:rFonts w:ascii="Arial" w:eastAsia="Arial" w:hAnsi="Arial" w:cs="Arial"/>
          <w:b/>
          <w:bCs/>
          <w:color w:val="000000"/>
          <w:sz w:val="21"/>
          <w:szCs w:val="21"/>
        </w:rPr>
        <w:t>Supplementary</w:t>
      </w:r>
      <w:r w:rsidRPr="00611ADC">
        <w:rPr>
          <w:rFonts w:ascii="Arial" w:eastAsia="Arial" w:hAnsi="Arial" w:cs="Arial"/>
          <w:b/>
          <w:bCs/>
          <w:color w:val="000000"/>
          <w:sz w:val="21"/>
          <w:szCs w:val="21"/>
        </w:rPr>
        <w:t xml:space="preserve"> </w:t>
      </w:r>
      <w:r w:rsidR="007B1498" w:rsidRPr="007B1498">
        <w:rPr>
          <w:rFonts w:ascii="Arial" w:eastAsia="Arial" w:hAnsi="Arial" w:cs="Arial"/>
          <w:b/>
          <w:bCs/>
          <w:color w:val="000000"/>
          <w:sz w:val="21"/>
          <w:szCs w:val="21"/>
        </w:rPr>
        <w:t>Table S2. Multivariable Cox proportional hazards model for infant HIV infection — sensitivity analysis restricted to infants tested at &lt;6 weeks of age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400"/>
        <w:gridCol w:w="2100"/>
        <w:gridCol w:w="1400"/>
      </w:tblGrid>
      <w:tr w:rsidR="007B1498" w:rsidRPr="007B1498" w14:paraId="542B9E0A" w14:textId="77777777" w:rsidTr="007E0EA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27EE6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Characteristic</w:t>
            </w:r>
          </w:p>
        </w:tc>
        <w:tc>
          <w:tcPr>
            <w:tcW w:w="1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BB2196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Hazard ratio</w:t>
            </w:r>
          </w:p>
        </w:tc>
        <w:tc>
          <w:tcPr>
            <w:tcW w:w="21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043DD9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95% CI</w:t>
            </w:r>
          </w:p>
        </w:tc>
        <w:tc>
          <w:tcPr>
            <w:tcW w:w="1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59D2D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p-value</w:t>
            </w:r>
          </w:p>
        </w:tc>
      </w:tr>
      <w:tr w:rsidR="007B1498" w:rsidRPr="007B1498" w14:paraId="3D592C27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8500" w:type="dxa"/>
            <w:gridSpan w:val="4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5AC58B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Maternal viral load (ref: Target Not Detected)</w:t>
            </w:r>
          </w:p>
        </w:tc>
      </w:tr>
      <w:tr w:rsidR="007B1498" w:rsidRPr="007B1498" w14:paraId="2FAFD793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20FFB906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&lt;40 copies/mL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D69E164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1.29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1F8745F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(0.33 – 4.97)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3953F73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0.712</w:t>
            </w:r>
          </w:p>
        </w:tc>
      </w:tr>
      <w:tr w:rsidR="007B1498" w:rsidRPr="007B1498" w14:paraId="1F13E58A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07EDF01B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50–199 copies/mL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E20FD25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2.71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29C5D44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(0.58 – 12.75)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3B2D7F7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0.206</w:t>
            </w:r>
          </w:p>
        </w:tc>
      </w:tr>
      <w:tr w:rsidR="007B1498" w:rsidRPr="007B1498" w14:paraId="7D29EA01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5959AB8F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200–999 copies/mL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0177147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3.17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E6192F2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(0.40 – 25.32)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04F4C2C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0.276</w:t>
            </w:r>
          </w:p>
        </w:tc>
      </w:tr>
      <w:tr w:rsidR="007B1498" w:rsidRPr="007B1498" w14:paraId="6226EEFF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4C032725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≥1000 copies/mL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0018531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23.60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55F7EF8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(9.98 – 55.83)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B96C595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&lt;0.001</w:t>
            </w:r>
          </w:p>
        </w:tc>
      </w:tr>
      <w:tr w:rsidR="007B1498" w:rsidRPr="007B1498" w14:paraId="7294B981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8500" w:type="dxa"/>
            <w:gridSpan w:val="4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AB8EDF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Infant sex (ref: female)</w:t>
            </w:r>
          </w:p>
        </w:tc>
      </w:tr>
      <w:tr w:rsidR="007B1498" w:rsidRPr="007B1498" w14:paraId="0598ABAA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4E9D886B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Male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C8742C5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1.38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C194780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(0.68 – 2.79)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0D8BB5D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0.377</w:t>
            </w:r>
          </w:p>
        </w:tc>
      </w:tr>
      <w:tr w:rsidR="007B1498" w:rsidRPr="007B1498" w14:paraId="54D6136A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8500" w:type="dxa"/>
            <w:gridSpan w:val="4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FE5A2B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Maternal age, years (ref: ≤19)</w:t>
            </w:r>
          </w:p>
        </w:tc>
      </w:tr>
      <w:tr w:rsidR="007B1498" w:rsidRPr="007B1498" w14:paraId="26D8D6D6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33B3A3A6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20–34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D99DE7D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1.00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2F92A50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(0.23 – 4.33)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BD93527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0.997</w:t>
            </w:r>
          </w:p>
        </w:tc>
      </w:tr>
      <w:tr w:rsidR="007B1498" w:rsidRPr="007B1498" w14:paraId="7DD42108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67B69606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≥35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2A64C8E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0.90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0D3BE67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(0.18 – 4.47)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63C2E96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0.895</w:t>
            </w:r>
          </w:p>
        </w:tc>
      </w:tr>
      <w:tr w:rsidR="007B1498" w:rsidRPr="007B1498" w14:paraId="10B97F4D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8500" w:type="dxa"/>
            <w:gridSpan w:val="4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042984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Parity (ref: 1 [0–1 prior </w:t>
            </w:r>
            <w:proofErr w:type="gramStart"/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births</w:t>
            </w:r>
            <w:proofErr w:type="gramEnd"/>
            <w:r w:rsidRPr="007B1498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])</w:t>
            </w:r>
          </w:p>
        </w:tc>
      </w:tr>
      <w:tr w:rsidR="007B1498" w:rsidRPr="007B1498" w14:paraId="7922B05E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3755785A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4F6E431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1.08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E9D2149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(0.39 – 2.99)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D12E688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0.888</w:t>
            </w:r>
          </w:p>
        </w:tc>
      </w:tr>
      <w:tr w:rsidR="007B1498" w:rsidRPr="007B1498" w14:paraId="782C239C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42D4F27F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E67BEC9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0.42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D0F1E40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(0.11 – 1.69)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808798E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0.224</w:t>
            </w:r>
          </w:p>
        </w:tc>
      </w:tr>
      <w:tr w:rsidR="007B1498" w:rsidRPr="007B1498" w14:paraId="39F5EB19" w14:textId="77777777" w:rsidTr="007E0EA4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2" w:space="0" w:color="AAAAAA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5" w:type="dxa"/>
              <w:left w:w="460" w:type="dxa"/>
              <w:bottom w:w="65" w:type="dxa"/>
              <w:right w:w="100" w:type="dxa"/>
            </w:tcMar>
            <w:vAlign w:val="center"/>
          </w:tcPr>
          <w:p w14:paraId="505F0E95" w14:textId="77777777" w:rsidR="007B1498" w:rsidRPr="007B1498" w:rsidRDefault="007B1498" w:rsidP="007B1498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≥4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9BF4E28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1.26</w:t>
            </w:r>
          </w:p>
        </w:tc>
        <w:tc>
          <w:tcPr>
            <w:tcW w:w="2100" w:type="dxa"/>
            <w:tcBorders>
              <w:top w:val="single" w:sz="2" w:space="0" w:color="AAAAAA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B26412D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(0.47 – 3.40)</w:t>
            </w:r>
          </w:p>
        </w:tc>
        <w:tc>
          <w:tcPr>
            <w:tcW w:w="1400" w:type="dxa"/>
            <w:tcBorders>
              <w:top w:val="single" w:sz="2" w:space="0" w:color="AAAAAA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59F43B9" w14:textId="77777777" w:rsidR="007B1498" w:rsidRPr="007B1498" w:rsidRDefault="007B1498" w:rsidP="007B1498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7B1498">
              <w:rPr>
                <w:rFonts w:ascii="Arial" w:eastAsia="Arial" w:hAnsi="Arial" w:cs="Arial"/>
                <w:color w:val="000000"/>
                <w:sz w:val="19"/>
                <w:szCs w:val="19"/>
              </w:rPr>
              <w:t>0.644</w:t>
            </w:r>
          </w:p>
        </w:tc>
      </w:tr>
    </w:tbl>
    <w:p w14:paraId="2A48DE39" w14:textId="77777777" w:rsidR="007B1498" w:rsidRPr="007B1498" w:rsidRDefault="007B1498" w:rsidP="007B1498">
      <w:pPr>
        <w:spacing w:before="80"/>
        <w:rPr>
          <w:rFonts w:ascii="Arial" w:eastAsia="Arial" w:hAnsi="Arial" w:cs="Arial"/>
          <w:sz w:val="19"/>
          <w:szCs w:val="19"/>
        </w:rPr>
      </w:pPr>
    </w:p>
    <w:p w14:paraId="4881F6C4" w14:textId="77777777" w:rsidR="007B1498" w:rsidRPr="007B1498" w:rsidRDefault="007B1498" w:rsidP="007B1498">
      <w:pPr>
        <w:spacing w:before="40" w:after="40"/>
        <w:rPr>
          <w:rFonts w:ascii="Arial" w:eastAsia="Arial" w:hAnsi="Arial" w:cs="Arial"/>
          <w:sz w:val="19"/>
          <w:szCs w:val="19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N = 4,929 subjects; 32 infant HIV infection events; 4,860 mother clusters. Time at risk = 19,278.6 infant-weeks.</w:t>
      </w:r>
    </w:p>
    <w:p w14:paraId="3CE490AC" w14:textId="77777777" w:rsidR="007B1498" w:rsidRPr="007B1498" w:rsidRDefault="007B1498" w:rsidP="007B1498">
      <w:pPr>
        <w:spacing w:before="40" w:after="40"/>
        <w:rPr>
          <w:rFonts w:ascii="Arial" w:eastAsia="Arial" w:hAnsi="Arial" w:cs="Arial"/>
          <w:sz w:val="19"/>
          <w:szCs w:val="19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Model: Cox regression with Breslow method for ties; robust standard errors clustered by mother identifier.</w:t>
      </w:r>
    </w:p>
    <w:p w14:paraId="278EFDAA" w14:textId="77777777" w:rsidR="007B1498" w:rsidRPr="007B1498" w:rsidRDefault="007B1498" w:rsidP="007B1498">
      <w:pPr>
        <w:spacing w:before="40" w:after="40"/>
        <w:rPr>
          <w:rFonts w:ascii="Arial" w:eastAsia="Arial" w:hAnsi="Arial" w:cs="Arial"/>
          <w:sz w:val="19"/>
          <w:szCs w:val="19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Reference categories: Target Not Detected; female infant; maternal age ≤19 years; parity 1 (0–1 prior births).</w:t>
      </w:r>
    </w:p>
    <w:p w14:paraId="33A61ACE" w14:textId="77777777" w:rsidR="007B1498" w:rsidRPr="007B1498" w:rsidRDefault="007B1498" w:rsidP="007B1498">
      <w:pPr>
        <w:spacing w:before="40" w:after="40"/>
        <w:rPr>
          <w:rFonts w:ascii="Arial" w:eastAsia="Arial" w:hAnsi="Arial" w:cs="Arial"/>
          <w:sz w:val="19"/>
          <w:szCs w:val="19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Wide confidence intervals for VL categories &lt;40 through 200–999 copies/mL reflect sparse events (≤3 failures per group) in this restricted sample.</w:t>
      </w:r>
    </w:p>
    <w:p w14:paraId="065F2595" w14:textId="77777777" w:rsidR="007B1498" w:rsidRPr="007B1498" w:rsidRDefault="007B1498" w:rsidP="007B1498">
      <w:pPr>
        <w:spacing w:before="40" w:after="40"/>
        <w:rPr>
          <w:rFonts w:ascii="Arial" w:eastAsia="Arial" w:hAnsi="Arial" w:cs="Arial"/>
          <w:sz w:val="19"/>
          <w:szCs w:val="19"/>
        </w:rPr>
      </w:pPr>
      <w:r w:rsidRPr="007B1498">
        <w:rPr>
          <w:rFonts w:ascii="Arial" w:eastAsia="Arial" w:hAnsi="Arial" w:cs="Arial"/>
          <w:color w:val="444444"/>
          <w:sz w:val="17"/>
          <w:szCs w:val="17"/>
        </w:rPr>
        <w:t>Bold text indicates statistical significance at p &lt; 0.05. CI = confidence interval.</w:t>
      </w:r>
    </w:p>
    <w:p w14:paraId="729E9F70" w14:textId="77777777" w:rsidR="0019658D" w:rsidRDefault="0019658D">
      <w:pPr>
        <w:spacing w:before="40" w:after="40"/>
        <w:rPr>
          <w:rFonts w:ascii="Arial" w:eastAsia="Arial" w:hAnsi="Arial" w:cs="Arial"/>
          <w:color w:val="444444"/>
          <w:sz w:val="17"/>
          <w:szCs w:val="17"/>
        </w:rPr>
      </w:pPr>
    </w:p>
    <w:sectPr w:rsidR="0019658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B516B"/>
    <w:multiLevelType w:val="hybridMultilevel"/>
    <w:tmpl w:val="925EC1DA"/>
    <w:lvl w:ilvl="0" w:tplc="58F4EA14">
      <w:start w:val="1"/>
      <w:numFmt w:val="bullet"/>
      <w:lvlText w:val="●"/>
      <w:lvlJc w:val="left"/>
      <w:pPr>
        <w:ind w:left="720" w:hanging="360"/>
      </w:pPr>
    </w:lvl>
    <w:lvl w:ilvl="1" w:tplc="A5B46648">
      <w:start w:val="1"/>
      <w:numFmt w:val="bullet"/>
      <w:lvlText w:val="○"/>
      <w:lvlJc w:val="left"/>
      <w:pPr>
        <w:ind w:left="1440" w:hanging="360"/>
      </w:pPr>
    </w:lvl>
    <w:lvl w:ilvl="2" w:tplc="4C801F04">
      <w:start w:val="1"/>
      <w:numFmt w:val="bullet"/>
      <w:lvlText w:val="■"/>
      <w:lvlJc w:val="left"/>
      <w:pPr>
        <w:ind w:left="2160" w:hanging="360"/>
      </w:pPr>
    </w:lvl>
    <w:lvl w:ilvl="3" w:tplc="63064D0A">
      <w:start w:val="1"/>
      <w:numFmt w:val="bullet"/>
      <w:lvlText w:val="●"/>
      <w:lvlJc w:val="left"/>
      <w:pPr>
        <w:ind w:left="2880" w:hanging="360"/>
      </w:pPr>
    </w:lvl>
    <w:lvl w:ilvl="4" w:tplc="D03C3CCA">
      <w:start w:val="1"/>
      <w:numFmt w:val="bullet"/>
      <w:lvlText w:val="○"/>
      <w:lvlJc w:val="left"/>
      <w:pPr>
        <w:ind w:left="3600" w:hanging="360"/>
      </w:pPr>
    </w:lvl>
    <w:lvl w:ilvl="5" w:tplc="6A0A60B2">
      <w:start w:val="1"/>
      <w:numFmt w:val="bullet"/>
      <w:lvlText w:val="■"/>
      <w:lvlJc w:val="left"/>
      <w:pPr>
        <w:ind w:left="4320" w:hanging="360"/>
      </w:pPr>
    </w:lvl>
    <w:lvl w:ilvl="6" w:tplc="0EA42D5A">
      <w:start w:val="1"/>
      <w:numFmt w:val="bullet"/>
      <w:lvlText w:val="●"/>
      <w:lvlJc w:val="left"/>
      <w:pPr>
        <w:ind w:left="5040" w:hanging="360"/>
      </w:pPr>
    </w:lvl>
    <w:lvl w:ilvl="7" w:tplc="620608F4">
      <w:start w:val="1"/>
      <w:numFmt w:val="bullet"/>
      <w:lvlText w:val="●"/>
      <w:lvlJc w:val="left"/>
      <w:pPr>
        <w:ind w:left="5760" w:hanging="360"/>
      </w:pPr>
    </w:lvl>
    <w:lvl w:ilvl="8" w:tplc="ED78CE96">
      <w:start w:val="1"/>
      <w:numFmt w:val="bullet"/>
      <w:lvlText w:val="●"/>
      <w:lvlJc w:val="left"/>
      <w:pPr>
        <w:ind w:left="6480" w:hanging="360"/>
      </w:pPr>
    </w:lvl>
  </w:abstractNum>
  <w:num w:numId="1" w16cid:durableId="18033810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785"/>
    <w:rsid w:val="000B4475"/>
    <w:rsid w:val="0019658D"/>
    <w:rsid w:val="001B0D48"/>
    <w:rsid w:val="002F78B6"/>
    <w:rsid w:val="00611ADC"/>
    <w:rsid w:val="007B1498"/>
    <w:rsid w:val="008541DA"/>
    <w:rsid w:val="00854647"/>
    <w:rsid w:val="00C07D1D"/>
    <w:rsid w:val="00E56785"/>
    <w:rsid w:val="00FB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A86D"/>
  <w15:docId w15:val="{46D6C73A-1AA5-41FB-96B6-24A0F15A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user</cp:lastModifiedBy>
  <cp:revision>5</cp:revision>
  <dcterms:created xsi:type="dcterms:W3CDTF">2026-06-18T18:30:00Z</dcterms:created>
  <dcterms:modified xsi:type="dcterms:W3CDTF">2026-06-18T20:08:00Z</dcterms:modified>
</cp:coreProperties>
</file>