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F2D85" w14:textId="77777777" w:rsidR="00F67DC7" w:rsidRPr="00611106" w:rsidRDefault="00F67DC7" w:rsidP="00F67DC7">
      <w:pPr>
        <w:spacing w:line="360" w:lineRule="auto"/>
        <w:jc w:val="both"/>
        <w:rPr>
          <w:rFonts w:ascii="Times New Roman" w:hAnsi="Times New Roman" w:cs="Times New Roman"/>
          <w:sz w:val="24"/>
        </w:rPr>
      </w:pPr>
    </w:p>
    <w:p w14:paraId="2A423E01" w14:textId="77777777" w:rsidR="00F67DC7" w:rsidRPr="00611106" w:rsidRDefault="00F67DC7" w:rsidP="00F67DC7">
      <w:pPr>
        <w:spacing w:line="360" w:lineRule="auto"/>
        <w:jc w:val="both"/>
        <w:rPr>
          <w:rFonts w:ascii="Times New Roman" w:hAnsi="Times New Roman" w:cs="Times New Roman"/>
          <w:b/>
          <w:bCs/>
          <w:sz w:val="24"/>
        </w:rPr>
      </w:pPr>
      <w:r w:rsidRPr="00611106">
        <w:rPr>
          <w:rFonts w:ascii="Times New Roman" w:hAnsi="Times New Roman" w:cs="Times New Roman"/>
          <w:b/>
          <w:bCs/>
          <w:sz w:val="24"/>
        </w:rPr>
        <w:t>Supplementary Tables</w:t>
      </w:r>
    </w:p>
    <w:p w14:paraId="4A517B6A" w14:textId="77777777" w:rsidR="00F67DC7" w:rsidRPr="00611106" w:rsidRDefault="00F67DC7" w:rsidP="00F67DC7">
      <w:pPr>
        <w:spacing w:line="360" w:lineRule="auto"/>
        <w:jc w:val="both"/>
        <w:rPr>
          <w:rFonts w:ascii="Times New Roman" w:hAnsi="Times New Roman" w:cs="Times New Roman"/>
          <w:b/>
          <w:bCs/>
          <w:sz w:val="24"/>
        </w:rPr>
      </w:pPr>
      <w:r w:rsidRPr="00611106">
        <w:rPr>
          <w:rFonts w:ascii="Times New Roman" w:hAnsi="Times New Roman" w:cs="Times New Roman"/>
          <w:b/>
          <w:bCs/>
          <w:sz w:val="24"/>
        </w:rPr>
        <w:t>Supplementary Table S1. Complication and satisfactory-outcome associations by predictor (Fisher's exact test)</w:t>
      </w:r>
    </w:p>
    <w:p w14:paraId="32F85D30" w14:textId="77777777" w:rsidR="00F67DC7" w:rsidRPr="00611106" w:rsidRDefault="00F67DC7" w:rsidP="00F67DC7">
      <w:pPr>
        <w:spacing w:line="360" w:lineRule="auto"/>
        <w:jc w:val="both"/>
        <w:rPr>
          <w:rFonts w:ascii="Times New Roman" w:hAnsi="Times New Roman" w:cs="Times New Roman"/>
          <w:sz w:val="24"/>
        </w:rPr>
      </w:pPr>
      <w:r w:rsidRPr="00611106">
        <w:rPr>
          <w:rFonts w:ascii="Times New Roman" w:hAnsi="Times New Roman" w:cs="Times New Roman"/>
          <w:b/>
          <w:bCs/>
          <w:sz w:val="24"/>
        </w:rPr>
        <w:t>A. Complications by injury duration</w:t>
      </w:r>
      <w:r w:rsidRPr="00611106">
        <w:rPr>
          <w:rFonts w:ascii="Times New Roman" w:hAnsi="Times New Roman" w:cs="Times New Roman"/>
          <w:sz w:val="24"/>
        </w:rPr>
        <w:t xml:space="preserve"> (≤6 wk, n = 20 vs &gt;6 wk, n = 7)</w:t>
      </w:r>
    </w:p>
    <w:tbl>
      <w:tblPr>
        <w:tblStyle w:val="GridTable1Light"/>
        <w:tblW w:w="5000" w:type="pct"/>
        <w:tblLook w:val="04A0" w:firstRow="1" w:lastRow="0" w:firstColumn="1" w:lastColumn="0" w:noHBand="0" w:noVBand="1"/>
      </w:tblPr>
      <w:tblGrid>
        <w:gridCol w:w="4767"/>
        <w:gridCol w:w="1795"/>
        <w:gridCol w:w="1556"/>
        <w:gridCol w:w="1232"/>
      </w:tblGrid>
      <w:tr w:rsidR="00F67DC7" w:rsidRPr="00611106" w14:paraId="182B4D16" w14:textId="77777777" w:rsidTr="00224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pct"/>
            <w:hideMark/>
          </w:tcPr>
          <w:p w14:paraId="7D1BBF71"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Complication</w:t>
            </w:r>
          </w:p>
        </w:tc>
        <w:tc>
          <w:tcPr>
            <w:tcW w:w="960" w:type="pct"/>
            <w:hideMark/>
          </w:tcPr>
          <w:p w14:paraId="2C8C5D6B"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≤6 wk</w:t>
            </w:r>
          </w:p>
        </w:tc>
        <w:tc>
          <w:tcPr>
            <w:tcW w:w="832" w:type="pct"/>
            <w:hideMark/>
          </w:tcPr>
          <w:p w14:paraId="1FE8A605"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&gt;6 wk</w:t>
            </w:r>
          </w:p>
        </w:tc>
        <w:tc>
          <w:tcPr>
            <w:tcW w:w="659" w:type="pct"/>
            <w:hideMark/>
          </w:tcPr>
          <w:p w14:paraId="3B35C09E"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p</w:t>
            </w:r>
          </w:p>
        </w:tc>
      </w:tr>
      <w:tr w:rsidR="00F67DC7" w:rsidRPr="00611106" w14:paraId="7D5C172D" w14:textId="77777777" w:rsidTr="00224501">
        <w:tc>
          <w:tcPr>
            <w:cnfStyle w:val="001000000000" w:firstRow="0" w:lastRow="0" w:firstColumn="1" w:lastColumn="0" w:oddVBand="0" w:evenVBand="0" w:oddHBand="0" w:evenHBand="0" w:firstRowFirstColumn="0" w:firstRowLastColumn="0" w:lastRowFirstColumn="0" w:lastRowLastColumn="0"/>
            <w:tcW w:w="2549" w:type="pct"/>
            <w:hideMark/>
          </w:tcPr>
          <w:p w14:paraId="5038F6BE"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Heterotopic ossification</w:t>
            </w:r>
          </w:p>
        </w:tc>
        <w:tc>
          <w:tcPr>
            <w:tcW w:w="960" w:type="pct"/>
            <w:hideMark/>
          </w:tcPr>
          <w:p w14:paraId="345EC83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 (25.0)</w:t>
            </w:r>
          </w:p>
        </w:tc>
        <w:tc>
          <w:tcPr>
            <w:tcW w:w="832" w:type="pct"/>
            <w:hideMark/>
          </w:tcPr>
          <w:p w14:paraId="3334B79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 (28.6)</w:t>
            </w:r>
          </w:p>
        </w:tc>
        <w:tc>
          <w:tcPr>
            <w:tcW w:w="659" w:type="pct"/>
            <w:hideMark/>
          </w:tcPr>
          <w:p w14:paraId="0874A14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r w:rsidR="00F67DC7" w:rsidRPr="00611106" w14:paraId="37319848" w14:textId="77777777" w:rsidTr="00224501">
        <w:tc>
          <w:tcPr>
            <w:cnfStyle w:val="001000000000" w:firstRow="0" w:lastRow="0" w:firstColumn="1" w:lastColumn="0" w:oddVBand="0" w:evenVBand="0" w:oddHBand="0" w:evenHBand="0" w:firstRowFirstColumn="0" w:firstRowLastColumn="0" w:lastRowFirstColumn="0" w:lastRowLastColumn="0"/>
            <w:tcW w:w="2549" w:type="pct"/>
            <w:hideMark/>
          </w:tcPr>
          <w:p w14:paraId="50F21940"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Fish-tail deformity</w:t>
            </w:r>
          </w:p>
        </w:tc>
        <w:tc>
          <w:tcPr>
            <w:tcW w:w="960" w:type="pct"/>
            <w:hideMark/>
          </w:tcPr>
          <w:p w14:paraId="72BF887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4 (20.0)</w:t>
            </w:r>
          </w:p>
        </w:tc>
        <w:tc>
          <w:tcPr>
            <w:tcW w:w="832" w:type="pct"/>
            <w:hideMark/>
          </w:tcPr>
          <w:p w14:paraId="38E3EDE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4 (57.1)</w:t>
            </w:r>
          </w:p>
        </w:tc>
        <w:tc>
          <w:tcPr>
            <w:tcW w:w="659" w:type="pct"/>
            <w:hideMark/>
          </w:tcPr>
          <w:p w14:paraId="1B2A0C9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0.145</w:t>
            </w:r>
          </w:p>
        </w:tc>
      </w:tr>
      <w:tr w:rsidR="00F67DC7" w:rsidRPr="00611106" w14:paraId="1A66BAE2" w14:textId="77777777" w:rsidTr="00224501">
        <w:tc>
          <w:tcPr>
            <w:cnfStyle w:val="001000000000" w:firstRow="0" w:lastRow="0" w:firstColumn="1" w:lastColumn="0" w:oddVBand="0" w:evenVBand="0" w:oddHBand="0" w:evenHBand="0" w:firstRowFirstColumn="0" w:firstRowLastColumn="0" w:lastRowFirstColumn="0" w:lastRowLastColumn="0"/>
            <w:tcW w:w="2549" w:type="pct"/>
            <w:hideMark/>
          </w:tcPr>
          <w:p w14:paraId="04ABC811"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Valgus deformity (any)</w:t>
            </w:r>
          </w:p>
        </w:tc>
        <w:tc>
          <w:tcPr>
            <w:tcW w:w="960" w:type="pct"/>
            <w:hideMark/>
          </w:tcPr>
          <w:p w14:paraId="4D26F9B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 (50.0)</w:t>
            </w:r>
          </w:p>
        </w:tc>
        <w:tc>
          <w:tcPr>
            <w:tcW w:w="832" w:type="pct"/>
            <w:hideMark/>
          </w:tcPr>
          <w:p w14:paraId="6B46842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 (28.6)</w:t>
            </w:r>
          </w:p>
        </w:tc>
        <w:tc>
          <w:tcPr>
            <w:tcW w:w="659" w:type="pct"/>
            <w:hideMark/>
          </w:tcPr>
          <w:p w14:paraId="0B4969A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0.408</w:t>
            </w:r>
          </w:p>
        </w:tc>
      </w:tr>
    </w:tbl>
    <w:p w14:paraId="721C1EB4" w14:textId="77777777" w:rsidR="00F67DC7" w:rsidRPr="00611106" w:rsidRDefault="00F67DC7" w:rsidP="00F67DC7">
      <w:pPr>
        <w:spacing w:line="360" w:lineRule="auto"/>
        <w:jc w:val="both"/>
        <w:rPr>
          <w:rFonts w:ascii="Times New Roman" w:hAnsi="Times New Roman" w:cs="Times New Roman"/>
          <w:sz w:val="24"/>
        </w:rPr>
      </w:pPr>
      <w:r w:rsidRPr="00611106">
        <w:rPr>
          <w:rFonts w:ascii="Times New Roman" w:hAnsi="Times New Roman" w:cs="Times New Roman"/>
          <w:i/>
          <w:iCs/>
          <w:sz w:val="24"/>
        </w:rPr>
        <w:t>Both cases of valgus ≥15° (n = 2) occurred in the ≤6-week group.</w:t>
      </w:r>
    </w:p>
    <w:p w14:paraId="3BD2DED8" w14:textId="77777777" w:rsidR="00F67DC7" w:rsidRPr="00611106" w:rsidRDefault="00F67DC7" w:rsidP="00F67DC7">
      <w:pPr>
        <w:spacing w:line="360" w:lineRule="auto"/>
        <w:jc w:val="both"/>
        <w:rPr>
          <w:rFonts w:ascii="Times New Roman" w:hAnsi="Times New Roman" w:cs="Times New Roman"/>
          <w:sz w:val="24"/>
        </w:rPr>
      </w:pPr>
      <w:r w:rsidRPr="00611106">
        <w:rPr>
          <w:rFonts w:ascii="Times New Roman" w:hAnsi="Times New Roman" w:cs="Times New Roman"/>
          <w:b/>
          <w:bCs/>
          <w:sz w:val="24"/>
        </w:rPr>
        <w:t>B. Complications by Milch type</w:t>
      </w:r>
      <w:r w:rsidRPr="00611106">
        <w:rPr>
          <w:rFonts w:ascii="Times New Roman" w:hAnsi="Times New Roman" w:cs="Times New Roman"/>
          <w:sz w:val="24"/>
        </w:rPr>
        <w:t xml:space="preserve"> (I, n = 4 vs II, n = 23)</w:t>
      </w:r>
    </w:p>
    <w:tbl>
      <w:tblPr>
        <w:tblStyle w:val="GridTable1Light"/>
        <w:tblW w:w="5000" w:type="pct"/>
        <w:tblLook w:val="04A0" w:firstRow="1" w:lastRow="0" w:firstColumn="1" w:lastColumn="0" w:noHBand="0" w:noVBand="1"/>
      </w:tblPr>
      <w:tblGrid>
        <w:gridCol w:w="4767"/>
        <w:gridCol w:w="1556"/>
        <w:gridCol w:w="1795"/>
        <w:gridCol w:w="1232"/>
      </w:tblGrid>
      <w:tr w:rsidR="00F67DC7" w:rsidRPr="00611106" w14:paraId="5FBDAEF9" w14:textId="77777777" w:rsidTr="00224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pct"/>
            <w:hideMark/>
          </w:tcPr>
          <w:p w14:paraId="23BBDD43"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Complication</w:t>
            </w:r>
          </w:p>
        </w:tc>
        <w:tc>
          <w:tcPr>
            <w:tcW w:w="832" w:type="pct"/>
            <w:hideMark/>
          </w:tcPr>
          <w:p w14:paraId="7924102E"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Milch I</w:t>
            </w:r>
          </w:p>
        </w:tc>
        <w:tc>
          <w:tcPr>
            <w:tcW w:w="960" w:type="pct"/>
            <w:hideMark/>
          </w:tcPr>
          <w:p w14:paraId="778DA16E"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Milch II</w:t>
            </w:r>
          </w:p>
        </w:tc>
        <w:tc>
          <w:tcPr>
            <w:tcW w:w="659" w:type="pct"/>
            <w:hideMark/>
          </w:tcPr>
          <w:p w14:paraId="0F76E862"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p</w:t>
            </w:r>
          </w:p>
        </w:tc>
      </w:tr>
      <w:tr w:rsidR="00F67DC7" w:rsidRPr="00611106" w14:paraId="59F39DBB" w14:textId="77777777" w:rsidTr="00224501">
        <w:tc>
          <w:tcPr>
            <w:cnfStyle w:val="001000000000" w:firstRow="0" w:lastRow="0" w:firstColumn="1" w:lastColumn="0" w:oddVBand="0" w:evenVBand="0" w:oddHBand="0" w:evenHBand="0" w:firstRowFirstColumn="0" w:firstRowLastColumn="0" w:lastRowFirstColumn="0" w:lastRowLastColumn="0"/>
            <w:tcW w:w="2549" w:type="pct"/>
            <w:hideMark/>
          </w:tcPr>
          <w:p w14:paraId="0AEE6937"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Heterotopic ossification</w:t>
            </w:r>
          </w:p>
        </w:tc>
        <w:tc>
          <w:tcPr>
            <w:tcW w:w="832" w:type="pct"/>
            <w:hideMark/>
          </w:tcPr>
          <w:p w14:paraId="774725E3"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 (25.0)</w:t>
            </w:r>
          </w:p>
        </w:tc>
        <w:tc>
          <w:tcPr>
            <w:tcW w:w="960" w:type="pct"/>
            <w:hideMark/>
          </w:tcPr>
          <w:p w14:paraId="7F857D8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6 (26.1)</w:t>
            </w:r>
          </w:p>
        </w:tc>
        <w:tc>
          <w:tcPr>
            <w:tcW w:w="659" w:type="pct"/>
            <w:hideMark/>
          </w:tcPr>
          <w:p w14:paraId="3F2DC537"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r w:rsidR="00F67DC7" w:rsidRPr="00611106" w14:paraId="37CD3328" w14:textId="77777777" w:rsidTr="00224501">
        <w:tc>
          <w:tcPr>
            <w:cnfStyle w:val="001000000000" w:firstRow="0" w:lastRow="0" w:firstColumn="1" w:lastColumn="0" w:oddVBand="0" w:evenVBand="0" w:oddHBand="0" w:evenHBand="0" w:firstRowFirstColumn="0" w:firstRowLastColumn="0" w:lastRowFirstColumn="0" w:lastRowLastColumn="0"/>
            <w:tcW w:w="2549" w:type="pct"/>
            <w:hideMark/>
          </w:tcPr>
          <w:p w14:paraId="71F6E519"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Fish-tail deformity</w:t>
            </w:r>
          </w:p>
        </w:tc>
        <w:tc>
          <w:tcPr>
            <w:tcW w:w="832" w:type="pct"/>
            <w:hideMark/>
          </w:tcPr>
          <w:p w14:paraId="27BFEBF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 (25.0)</w:t>
            </w:r>
          </w:p>
        </w:tc>
        <w:tc>
          <w:tcPr>
            <w:tcW w:w="960" w:type="pct"/>
            <w:hideMark/>
          </w:tcPr>
          <w:p w14:paraId="08CB39C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7 (30.4)</w:t>
            </w:r>
          </w:p>
        </w:tc>
        <w:tc>
          <w:tcPr>
            <w:tcW w:w="659" w:type="pct"/>
            <w:hideMark/>
          </w:tcPr>
          <w:p w14:paraId="7773FD6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r w:rsidR="00F67DC7" w:rsidRPr="00611106" w14:paraId="0D83EE5B" w14:textId="77777777" w:rsidTr="00224501">
        <w:tc>
          <w:tcPr>
            <w:cnfStyle w:val="001000000000" w:firstRow="0" w:lastRow="0" w:firstColumn="1" w:lastColumn="0" w:oddVBand="0" w:evenVBand="0" w:oddHBand="0" w:evenHBand="0" w:firstRowFirstColumn="0" w:firstRowLastColumn="0" w:lastRowFirstColumn="0" w:lastRowLastColumn="0"/>
            <w:tcW w:w="2549" w:type="pct"/>
            <w:hideMark/>
          </w:tcPr>
          <w:p w14:paraId="56305E2C"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Valgus deformity (any)</w:t>
            </w:r>
          </w:p>
        </w:tc>
        <w:tc>
          <w:tcPr>
            <w:tcW w:w="832" w:type="pct"/>
            <w:hideMark/>
          </w:tcPr>
          <w:p w14:paraId="1899934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 (50.0)</w:t>
            </w:r>
          </w:p>
        </w:tc>
        <w:tc>
          <w:tcPr>
            <w:tcW w:w="960" w:type="pct"/>
            <w:hideMark/>
          </w:tcPr>
          <w:p w14:paraId="56B2F33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 (43.5)</w:t>
            </w:r>
          </w:p>
        </w:tc>
        <w:tc>
          <w:tcPr>
            <w:tcW w:w="659" w:type="pct"/>
            <w:hideMark/>
          </w:tcPr>
          <w:p w14:paraId="2A294D37"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bl>
    <w:p w14:paraId="195BD574" w14:textId="77777777" w:rsidR="00F67DC7" w:rsidRPr="00611106" w:rsidRDefault="00F67DC7" w:rsidP="00F67DC7">
      <w:pPr>
        <w:spacing w:line="360" w:lineRule="auto"/>
        <w:jc w:val="both"/>
        <w:rPr>
          <w:rFonts w:ascii="Times New Roman" w:hAnsi="Times New Roman" w:cs="Times New Roman"/>
          <w:sz w:val="24"/>
        </w:rPr>
      </w:pPr>
      <w:r w:rsidRPr="00611106">
        <w:rPr>
          <w:rFonts w:ascii="Times New Roman" w:hAnsi="Times New Roman" w:cs="Times New Roman"/>
          <w:b/>
          <w:bCs/>
          <w:sz w:val="24"/>
        </w:rPr>
        <w:t>C. Satisfactory MEPI (≥75) by predictor</w:t>
      </w:r>
      <w:r w:rsidRPr="00611106">
        <w:rPr>
          <w:rFonts w:ascii="Times New Roman" w:hAnsi="Times New Roman" w:cs="Times New Roman"/>
          <w:sz w:val="24"/>
        </w:rPr>
        <w:t xml:space="preserve"> (satisfactory vs unsatisfactory)</w:t>
      </w:r>
    </w:p>
    <w:tbl>
      <w:tblPr>
        <w:tblStyle w:val="GridTable1Light"/>
        <w:tblW w:w="5000" w:type="pct"/>
        <w:tblLook w:val="04A0" w:firstRow="1" w:lastRow="0" w:firstColumn="1" w:lastColumn="0" w:noHBand="0" w:noVBand="1"/>
      </w:tblPr>
      <w:tblGrid>
        <w:gridCol w:w="3203"/>
        <w:gridCol w:w="2291"/>
        <w:gridCol w:w="2760"/>
        <w:gridCol w:w="1096"/>
      </w:tblGrid>
      <w:tr w:rsidR="00F67DC7" w:rsidRPr="00611106" w14:paraId="373405B4" w14:textId="77777777" w:rsidTr="00224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pct"/>
            <w:hideMark/>
          </w:tcPr>
          <w:p w14:paraId="7318860C"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Predictor level</w:t>
            </w:r>
          </w:p>
        </w:tc>
        <w:tc>
          <w:tcPr>
            <w:tcW w:w="1225" w:type="pct"/>
            <w:hideMark/>
          </w:tcPr>
          <w:p w14:paraId="0EDB826F"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Satisfactory</w:t>
            </w:r>
          </w:p>
        </w:tc>
        <w:tc>
          <w:tcPr>
            <w:tcW w:w="1476" w:type="pct"/>
            <w:hideMark/>
          </w:tcPr>
          <w:p w14:paraId="16278A68"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Unsatisfactory</w:t>
            </w:r>
          </w:p>
        </w:tc>
        <w:tc>
          <w:tcPr>
            <w:tcW w:w="586" w:type="pct"/>
            <w:hideMark/>
          </w:tcPr>
          <w:p w14:paraId="05F58676"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p</w:t>
            </w:r>
          </w:p>
        </w:tc>
      </w:tr>
      <w:tr w:rsidR="00F67DC7" w:rsidRPr="00611106" w14:paraId="7FA699C1" w14:textId="77777777" w:rsidTr="00224501">
        <w:tc>
          <w:tcPr>
            <w:cnfStyle w:val="001000000000" w:firstRow="0" w:lastRow="0" w:firstColumn="1" w:lastColumn="0" w:oddVBand="0" w:evenVBand="0" w:oddHBand="0" w:evenHBand="0" w:firstRowFirstColumn="0" w:firstRowLastColumn="0" w:lastRowFirstColumn="0" w:lastRowLastColumn="0"/>
            <w:tcW w:w="1713" w:type="pct"/>
            <w:hideMark/>
          </w:tcPr>
          <w:p w14:paraId="61CBA401"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Duration &gt;6 wk</w:t>
            </w:r>
          </w:p>
        </w:tc>
        <w:tc>
          <w:tcPr>
            <w:tcW w:w="1225" w:type="pct"/>
            <w:hideMark/>
          </w:tcPr>
          <w:p w14:paraId="5C5F9D7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7</w:t>
            </w:r>
          </w:p>
        </w:tc>
        <w:tc>
          <w:tcPr>
            <w:tcW w:w="1476" w:type="pct"/>
            <w:hideMark/>
          </w:tcPr>
          <w:p w14:paraId="5B29D08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w:t>
            </w:r>
          </w:p>
        </w:tc>
        <w:tc>
          <w:tcPr>
            <w:tcW w:w="586" w:type="pct"/>
            <w:hideMark/>
          </w:tcPr>
          <w:p w14:paraId="6E31982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r w:rsidR="00F67DC7" w:rsidRPr="00611106" w14:paraId="4D927843" w14:textId="77777777" w:rsidTr="00224501">
        <w:tc>
          <w:tcPr>
            <w:cnfStyle w:val="001000000000" w:firstRow="0" w:lastRow="0" w:firstColumn="1" w:lastColumn="0" w:oddVBand="0" w:evenVBand="0" w:oddHBand="0" w:evenHBand="0" w:firstRowFirstColumn="0" w:firstRowLastColumn="0" w:lastRowFirstColumn="0" w:lastRowLastColumn="0"/>
            <w:tcW w:w="1713" w:type="pct"/>
            <w:hideMark/>
          </w:tcPr>
          <w:p w14:paraId="35658AE8"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Milch II</w:t>
            </w:r>
          </w:p>
        </w:tc>
        <w:tc>
          <w:tcPr>
            <w:tcW w:w="1225" w:type="pct"/>
            <w:hideMark/>
          </w:tcPr>
          <w:p w14:paraId="138EC19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21</w:t>
            </w:r>
          </w:p>
        </w:tc>
        <w:tc>
          <w:tcPr>
            <w:tcW w:w="1476" w:type="pct"/>
            <w:hideMark/>
          </w:tcPr>
          <w:p w14:paraId="66A6B45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w:t>
            </w:r>
          </w:p>
        </w:tc>
        <w:tc>
          <w:tcPr>
            <w:tcW w:w="586" w:type="pct"/>
            <w:hideMark/>
          </w:tcPr>
          <w:p w14:paraId="24618E07"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r w:rsidR="00F67DC7" w:rsidRPr="00611106" w14:paraId="1FF4B3E1" w14:textId="77777777" w:rsidTr="00224501">
        <w:tc>
          <w:tcPr>
            <w:cnfStyle w:val="001000000000" w:firstRow="0" w:lastRow="0" w:firstColumn="1" w:lastColumn="0" w:oddVBand="0" w:evenVBand="0" w:oddHBand="0" w:evenHBand="0" w:firstRowFirstColumn="0" w:firstRowLastColumn="0" w:lastRowFirstColumn="0" w:lastRowLastColumn="0"/>
            <w:tcW w:w="1713" w:type="pct"/>
            <w:hideMark/>
          </w:tcPr>
          <w:p w14:paraId="071C7464"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HO present</w:t>
            </w:r>
          </w:p>
        </w:tc>
        <w:tc>
          <w:tcPr>
            <w:tcW w:w="1225" w:type="pct"/>
            <w:hideMark/>
          </w:tcPr>
          <w:p w14:paraId="69A9CFD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6</w:t>
            </w:r>
          </w:p>
        </w:tc>
        <w:tc>
          <w:tcPr>
            <w:tcW w:w="1476" w:type="pct"/>
            <w:hideMark/>
          </w:tcPr>
          <w:p w14:paraId="3296FE5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w:t>
            </w:r>
          </w:p>
        </w:tc>
        <w:tc>
          <w:tcPr>
            <w:tcW w:w="586" w:type="pct"/>
            <w:hideMark/>
          </w:tcPr>
          <w:p w14:paraId="65A9036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0.459</w:t>
            </w:r>
          </w:p>
        </w:tc>
      </w:tr>
      <w:tr w:rsidR="00F67DC7" w:rsidRPr="00611106" w14:paraId="35F135B2" w14:textId="77777777" w:rsidTr="00224501">
        <w:tc>
          <w:tcPr>
            <w:cnfStyle w:val="001000000000" w:firstRow="0" w:lastRow="0" w:firstColumn="1" w:lastColumn="0" w:oddVBand="0" w:evenVBand="0" w:oddHBand="0" w:evenHBand="0" w:firstRowFirstColumn="0" w:firstRowLastColumn="0" w:lastRowFirstColumn="0" w:lastRowLastColumn="0"/>
            <w:tcW w:w="1713" w:type="pct"/>
            <w:hideMark/>
          </w:tcPr>
          <w:p w14:paraId="09A58553"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Fish-tail present</w:t>
            </w:r>
          </w:p>
        </w:tc>
        <w:tc>
          <w:tcPr>
            <w:tcW w:w="1225" w:type="pct"/>
            <w:hideMark/>
          </w:tcPr>
          <w:p w14:paraId="2DF878A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8</w:t>
            </w:r>
          </w:p>
        </w:tc>
        <w:tc>
          <w:tcPr>
            <w:tcW w:w="1476" w:type="pct"/>
            <w:hideMark/>
          </w:tcPr>
          <w:p w14:paraId="303A4F2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w:t>
            </w:r>
          </w:p>
        </w:tc>
        <w:tc>
          <w:tcPr>
            <w:tcW w:w="586" w:type="pct"/>
            <w:hideMark/>
          </w:tcPr>
          <w:p w14:paraId="47FC526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r w:rsidR="00F67DC7" w:rsidRPr="00611106" w14:paraId="29FD3AFA" w14:textId="77777777" w:rsidTr="00224501">
        <w:tc>
          <w:tcPr>
            <w:cnfStyle w:val="001000000000" w:firstRow="0" w:lastRow="0" w:firstColumn="1" w:lastColumn="0" w:oddVBand="0" w:evenVBand="0" w:oddHBand="0" w:evenHBand="0" w:firstRowFirstColumn="0" w:firstRowLastColumn="0" w:lastRowFirstColumn="0" w:lastRowLastColumn="0"/>
            <w:tcW w:w="1713" w:type="pct"/>
            <w:hideMark/>
          </w:tcPr>
          <w:p w14:paraId="01A5BB12"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Deformity present</w:t>
            </w:r>
          </w:p>
        </w:tc>
        <w:tc>
          <w:tcPr>
            <w:tcW w:w="1225" w:type="pct"/>
            <w:hideMark/>
          </w:tcPr>
          <w:p w14:paraId="4E06470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11</w:t>
            </w:r>
          </w:p>
        </w:tc>
        <w:tc>
          <w:tcPr>
            <w:tcW w:w="1476" w:type="pct"/>
            <w:hideMark/>
          </w:tcPr>
          <w:p w14:paraId="61DEC44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w:t>
            </w:r>
          </w:p>
        </w:tc>
        <w:tc>
          <w:tcPr>
            <w:tcW w:w="586" w:type="pct"/>
            <w:hideMark/>
          </w:tcPr>
          <w:p w14:paraId="3A1DF2E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1.000</w:t>
            </w:r>
          </w:p>
        </w:tc>
      </w:tr>
    </w:tbl>
    <w:p w14:paraId="72CC4A3B" w14:textId="77777777" w:rsidR="00F67DC7" w:rsidRPr="00611106" w:rsidRDefault="00F67DC7" w:rsidP="00F67DC7">
      <w:pPr>
        <w:spacing w:line="360" w:lineRule="auto"/>
        <w:jc w:val="both"/>
        <w:rPr>
          <w:rFonts w:ascii="Times New Roman" w:hAnsi="Times New Roman" w:cs="Times New Roman"/>
          <w:b/>
          <w:bCs/>
          <w:sz w:val="24"/>
        </w:rPr>
      </w:pPr>
      <w:r w:rsidRPr="00611106">
        <w:rPr>
          <w:rFonts w:ascii="Times New Roman" w:hAnsi="Times New Roman" w:cs="Times New Roman"/>
          <w:b/>
          <w:bCs/>
          <w:sz w:val="24"/>
        </w:rPr>
        <w:lastRenderedPageBreak/>
        <w:t>Supplementary Table S2. Spearman correlations of functional outcomes (MEPI and Liverpool Elbow Score) with study variables (N = 27)</w:t>
      </w:r>
    </w:p>
    <w:p w14:paraId="2248A93B" w14:textId="77777777" w:rsidR="00F67DC7" w:rsidRPr="00611106" w:rsidRDefault="00F67DC7" w:rsidP="00F67DC7">
      <w:pPr>
        <w:spacing w:line="360" w:lineRule="auto"/>
        <w:jc w:val="both"/>
        <w:rPr>
          <w:rFonts w:ascii="Times New Roman" w:hAnsi="Times New Roman" w:cs="Times New Roman"/>
          <w:sz w:val="24"/>
        </w:rPr>
      </w:pPr>
      <w:r w:rsidRPr="00611106">
        <w:rPr>
          <w:rFonts w:ascii="Times New Roman" w:hAnsi="Times New Roman" w:cs="Times New Roman"/>
          <w:i/>
          <w:iCs/>
          <w:sz w:val="24"/>
        </w:rPr>
        <w:t>The full 13 × 13 inter-variable correlation matrix is provided in Supplementary Figure S4.</w:t>
      </w:r>
    </w:p>
    <w:tbl>
      <w:tblPr>
        <w:tblStyle w:val="GridTable1Light"/>
        <w:tblW w:w="5000" w:type="pct"/>
        <w:tblLook w:val="04A0" w:firstRow="1" w:lastRow="0" w:firstColumn="1" w:lastColumn="0" w:noHBand="0" w:noVBand="1"/>
      </w:tblPr>
      <w:tblGrid>
        <w:gridCol w:w="4051"/>
        <w:gridCol w:w="1939"/>
        <w:gridCol w:w="3360"/>
      </w:tblGrid>
      <w:tr w:rsidR="00F67DC7" w:rsidRPr="00611106" w14:paraId="02AC33F7" w14:textId="77777777" w:rsidTr="00224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6" w:type="pct"/>
            <w:hideMark/>
          </w:tcPr>
          <w:p w14:paraId="5890F035"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Variable</w:t>
            </w:r>
          </w:p>
        </w:tc>
        <w:tc>
          <w:tcPr>
            <w:tcW w:w="1037" w:type="pct"/>
            <w:hideMark/>
          </w:tcPr>
          <w:p w14:paraId="4B5C0ECC"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rho with MEPI</w:t>
            </w:r>
          </w:p>
        </w:tc>
        <w:tc>
          <w:tcPr>
            <w:tcW w:w="1797" w:type="pct"/>
            <w:hideMark/>
          </w:tcPr>
          <w:p w14:paraId="25B09761"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rho with Liverpool score</w:t>
            </w:r>
          </w:p>
        </w:tc>
      </w:tr>
      <w:tr w:rsidR="00F67DC7" w:rsidRPr="00611106" w14:paraId="4D0DEE82"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23524866"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Final ROM arc</w:t>
            </w:r>
          </w:p>
        </w:tc>
        <w:tc>
          <w:tcPr>
            <w:tcW w:w="1037" w:type="pct"/>
            <w:hideMark/>
          </w:tcPr>
          <w:p w14:paraId="26B03757"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+0.61</w:t>
            </w:r>
          </w:p>
        </w:tc>
        <w:tc>
          <w:tcPr>
            <w:tcW w:w="1797" w:type="pct"/>
            <w:hideMark/>
          </w:tcPr>
          <w:p w14:paraId="5147DD9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+0.89</w:t>
            </w:r>
          </w:p>
        </w:tc>
      </w:tr>
      <w:tr w:rsidR="00F67DC7" w:rsidRPr="00611106" w14:paraId="6B57BC92"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2A83D196"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Final flexion</w:t>
            </w:r>
          </w:p>
        </w:tc>
        <w:tc>
          <w:tcPr>
            <w:tcW w:w="1037" w:type="pct"/>
            <w:hideMark/>
          </w:tcPr>
          <w:p w14:paraId="1E0C319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+0.58</w:t>
            </w:r>
          </w:p>
        </w:tc>
        <w:tc>
          <w:tcPr>
            <w:tcW w:w="1797" w:type="pct"/>
            <w:hideMark/>
          </w:tcPr>
          <w:p w14:paraId="54D786B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+0.84</w:t>
            </w:r>
          </w:p>
        </w:tc>
      </w:tr>
      <w:tr w:rsidR="00F67DC7" w:rsidRPr="00611106" w14:paraId="22CAAD0B"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1FEA1FAF"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Final extension lag</w:t>
            </w:r>
          </w:p>
        </w:tc>
        <w:tc>
          <w:tcPr>
            <w:tcW w:w="1037" w:type="pct"/>
            <w:hideMark/>
          </w:tcPr>
          <w:p w14:paraId="73CE2CC0"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−0.56</w:t>
            </w:r>
          </w:p>
        </w:tc>
        <w:tc>
          <w:tcPr>
            <w:tcW w:w="1797" w:type="pct"/>
            <w:hideMark/>
          </w:tcPr>
          <w:p w14:paraId="4797BA1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−0.81</w:t>
            </w:r>
          </w:p>
        </w:tc>
      </w:tr>
      <w:tr w:rsidR="00F67DC7" w:rsidRPr="00611106" w14:paraId="3A71F175"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545D4AAC"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Valgus deformity</w:t>
            </w:r>
          </w:p>
        </w:tc>
        <w:tc>
          <w:tcPr>
            <w:tcW w:w="1037" w:type="pct"/>
            <w:hideMark/>
          </w:tcPr>
          <w:p w14:paraId="1A0693D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−0.51</w:t>
            </w:r>
          </w:p>
        </w:tc>
        <w:tc>
          <w:tcPr>
            <w:tcW w:w="1797" w:type="pct"/>
            <w:hideMark/>
          </w:tcPr>
          <w:p w14:paraId="09631D9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−0.58</w:t>
            </w:r>
          </w:p>
        </w:tc>
      </w:tr>
      <w:tr w:rsidR="00F67DC7" w:rsidRPr="00611106" w14:paraId="5A6FD67E"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4048EEAB"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HO grade (Hastings &amp; Graham)</w:t>
            </w:r>
          </w:p>
        </w:tc>
        <w:tc>
          <w:tcPr>
            <w:tcW w:w="1037" w:type="pct"/>
            <w:hideMark/>
          </w:tcPr>
          <w:p w14:paraId="48F8F5C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−0.51</w:t>
            </w:r>
          </w:p>
        </w:tc>
        <w:tc>
          <w:tcPr>
            <w:tcW w:w="1797" w:type="pct"/>
            <w:hideMark/>
          </w:tcPr>
          <w:p w14:paraId="11FAB7F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−0.66</w:t>
            </w:r>
          </w:p>
        </w:tc>
      </w:tr>
      <w:tr w:rsidR="00F67DC7" w:rsidRPr="00611106" w14:paraId="423AE351"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0F848B39"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MEPI / Liverpool score</w:t>
            </w:r>
          </w:p>
        </w:tc>
        <w:tc>
          <w:tcPr>
            <w:tcW w:w="1037" w:type="pct"/>
            <w:hideMark/>
          </w:tcPr>
          <w:p w14:paraId="6ADDCF50"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+0.57</w:t>
            </w:r>
          </w:p>
        </w:tc>
        <w:tc>
          <w:tcPr>
            <w:tcW w:w="1797" w:type="pct"/>
            <w:hideMark/>
          </w:tcPr>
          <w:p w14:paraId="5A672673"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w:t>
            </w:r>
          </w:p>
        </w:tc>
      </w:tr>
      <w:tr w:rsidR="00F67DC7" w:rsidRPr="00611106" w14:paraId="5C395736"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682F7696"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Operative time</w:t>
            </w:r>
          </w:p>
        </w:tc>
        <w:tc>
          <w:tcPr>
            <w:tcW w:w="1037" w:type="pct"/>
            <w:hideMark/>
          </w:tcPr>
          <w:p w14:paraId="7FE5425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−0.36</w:t>
            </w:r>
          </w:p>
        </w:tc>
        <w:tc>
          <w:tcPr>
            <w:tcW w:w="1797" w:type="pct"/>
            <w:hideMark/>
          </w:tcPr>
          <w:p w14:paraId="192FDCE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−0.09</w:t>
            </w:r>
          </w:p>
        </w:tc>
      </w:tr>
      <w:tr w:rsidR="00F67DC7" w:rsidRPr="00611106" w14:paraId="279BA39A"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1ED3AAA8"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Blood loss</w:t>
            </w:r>
          </w:p>
        </w:tc>
        <w:tc>
          <w:tcPr>
            <w:tcW w:w="1037" w:type="pct"/>
            <w:hideMark/>
          </w:tcPr>
          <w:p w14:paraId="3946A20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−0.35</w:t>
            </w:r>
          </w:p>
        </w:tc>
        <w:tc>
          <w:tcPr>
            <w:tcW w:w="1797" w:type="pct"/>
            <w:hideMark/>
          </w:tcPr>
          <w:p w14:paraId="65C3E7A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−0.13</w:t>
            </w:r>
          </w:p>
        </w:tc>
      </w:tr>
      <w:tr w:rsidR="00F67DC7" w:rsidRPr="00611106" w14:paraId="4AD00604"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18E016ED"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Song stage</w:t>
            </w:r>
          </w:p>
        </w:tc>
        <w:tc>
          <w:tcPr>
            <w:tcW w:w="1037" w:type="pct"/>
            <w:hideMark/>
          </w:tcPr>
          <w:p w14:paraId="67DC3C9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−0.12</w:t>
            </w:r>
          </w:p>
        </w:tc>
        <w:tc>
          <w:tcPr>
            <w:tcW w:w="1797" w:type="pct"/>
            <w:hideMark/>
          </w:tcPr>
          <w:p w14:paraId="070E4DE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−0.08</w:t>
            </w:r>
          </w:p>
        </w:tc>
      </w:tr>
      <w:tr w:rsidR="00F67DC7" w:rsidRPr="00611106" w14:paraId="66D9421E"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29839288"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Injury delay (weeks)</w:t>
            </w:r>
          </w:p>
        </w:tc>
        <w:tc>
          <w:tcPr>
            <w:tcW w:w="1037" w:type="pct"/>
            <w:hideMark/>
          </w:tcPr>
          <w:p w14:paraId="3799456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−0.07</w:t>
            </w:r>
          </w:p>
        </w:tc>
        <w:tc>
          <w:tcPr>
            <w:tcW w:w="1797" w:type="pct"/>
            <w:hideMark/>
          </w:tcPr>
          <w:p w14:paraId="0E08134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0.00</w:t>
            </w:r>
          </w:p>
        </w:tc>
      </w:tr>
      <w:tr w:rsidR="00F67DC7" w:rsidRPr="00611106" w14:paraId="45F27BB5" w14:textId="77777777" w:rsidTr="00224501">
        <w:tc>
          <w:tcPr>
            <w:cnfStyle w:val="001000000000" w:firstRow="0" w:lastRow="0" w:firstColumn="1" w:lastColumn="0" w:oddVBand="0" w:evenVBand="0" w:oddHBand="0" w:evenHBand="0" w:firstRowFirstColumn="0" w:firstRowLastColumn="0" w:lastRowFirstColumn="0" w:lastRowLastColumn="0"/>
            <w:tcW w:w="2166" w:type="pct"/>
            <w:hideMark/>
          </w:tcPr>
          <w:p w14:paraId="37CA6E3D"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Age</w:t>
            </w:r>
          </w:p>
        </w:tc>
        <w:tc>
          <w:tcPr>
            <w:tcW w:w="1037" w:type="pct"/>
            <w:hideMark/>
          </w:tcPr>
          <w:p w14:paraId="6BF3DED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−0.05</w:t>
            </w:r>
          </w:p>
        </w:tc>
        <w:tc>
          <w:tcPr>
            <w:tcW w:w="1797" w:type="pct"/>
            <w:hideMark/>
          </w:tcPr>
          <w:p w14:paraId="05B9DA2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−0.27</w:t>
            </w:r>
          </w:p>
        </w:tc>
      </w:tr>
    </w:tbl>
    <w:p w14:paraId="0280A66D" w14:textId="77777777" w:rsidR="00F67DC7" w:rsidRPr="00611106" w:rsidRDefault="00F67DC7" w:rsidP="00F67DC7">
      <w:pPr>
        <w:spacing w:line="360" w:lineRule="auto"/>
        <w:jc w:val="both"/>
        <w:rPr>
          <w:rFonts w:ascii="Times New Roman" w:hAnsi="Times New Roman" w:cs="Times New Roman"/>
          <w:b/>
          <w:bCs/>
          <w:sz w:val="24"/>
        </w:rPr>
      </w:pPr>
      <w:r w:rsidRPr="00611106">
        <w:rPr>
          <w:rFonts w:ascii="Times New Roman" w:hAnsi="Times New Roman" w:cs="Times New Roman"/>
          <w:b/>
          <w:bCs/>
          <w:sz w:val="24"/>
        </w:rPr>
        <w:t>Supplementary Table S3. Distribution and normality of continuous variables (Shapiro–Wilk; N = 27)</w:t>
      </w:r>
    </w:p>
    <w:tbl>
      <w:tblPr>
        <w:tblStyle w:val="GridTable1Light"/>
        <w:tblW w:w="5000" w:type="pct"/>
        <w:tblLook w:val="04A0" w:firstRow="1" w:lastRow="0" w:firstColumn="1" w:lastColumn="0" w:noHBand="0" w:noVBand="1"/>
      </w:tblPr>
      <w:tblGrid>
        <w:gridCol w:w="2500"/>
        <w:gridCol w:w="1318"/>
        <w:gridCol w:w="1496"/>
        <w:gridCol w:w="870"/>
        <w:gridCol w:w="1696"/>
        <w:gridCol w:w="1470"/>
      </w:tblGrid>
      <w:tr w:rsidR="00F67DC7" w:rsidRPr="00611106" w14:paraId="58A09963" w14:textId="77777777" w:rsidTr="002245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3" w:type="pct"/>
            <w:hideMark/>
          </w:tcPr>
          <w:p w14:paraId="1C7D44A5"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Variable</w:t>
            </w:r>
          </w:p>
        </w:tc>
        <w:tc>
          <w:tcPr>
            <w:tcW w:w="721" w:type="pct"/>
            <w:hideMark/>
          </w:tcPr>
          <w:p w14:paraId="0CBF2565"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Mean ± SD</w:t>
            </w:r>
          </w:p>
        </w:tc>
        <w:tc>
          <w:tcPr>
            <w:tcW w:w="816" w:type="pct"/>
            <w:hideMark/>
          </w:tcPr>
          <w:p w14:paraId="1C0A47B2"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Median (IQR)</w:t>
            </w:r>
          </w:p>
        </w:tc>
        <w:tc>
          <w:tcPr>
            <w:tcW w:w="435" w:type="pct"/>
            <w:hideMark/>
          </w:tcPr>
          <w:p w14:paraId="516D2D63"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Range</w:t>
            </w:r>
          </w:p>
        </w:tc>
        <w:tc>
          <w:tcPr>
            <w:tcW w:w="923" w:type="pct"/>
            <w:hideMark/>
          </w:tcPr>
          <w:p w14:paraId="647311DE"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Shapiro–Wilk p</w:t>
            </w:r>
          </w:p>
        </w:tc>
        <w:tc>
          <w:tcPr>
            <w:tcW w:w="751" w:type="pct"/>
            <w:hideMark/>
          </w:tcPr>
          <w:p w14:paraId="2D8168DC" w14:textId="77777777" w:rsidR="00F67DC7" w:rsidRPr="00611106" w:rsidRDefault="00F67DC7" w:rsidP="0022450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Distribution</w:t>
            </w:r>
          </w:p>
        </w:tc>
      </w:tr>
      <w:tr w:rsidR="00F67DC7" w:rsidRPr="00611106" w14:paraId="53C196C9"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24294029"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Age, years</w:t>
            </w:r>
          </w:p>
        </w:tc>
        <w:tc>
          <w:tcPr>
            <w:tcW w:w="721" w:type="pct"/>
            <w:hideMark/>
          </w:tcPr>
          <w:p w14:paraId="5D8F2C8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6.0 ± 2.1</w:t>
            </w:r>
          </w:p>
        </w:tc>
        <w:tc>
          <w:tcPr>
            <w:tcW w:w="816" w:type="pct"/>
            <w:hideMark/>
          </w:tcPr>
          <w:p w14:paraId="58AC036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 (4–7)</w:t>
            </w:r>
          </w:p>
        </w:tc>
        <w:tc>
          <w:tcPr>
            <w:tcW w:w="435" w:type="pct"/>
            <w:hideMark/>
          </w:tcPr>
          <w:p w14:paraId="5A0B170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4–12</w:t>
            </w:r>
          </w:p>
        </w:tc>
        <w:tc>
          <w:tcPr>
            <w:tcW w:w="923" w:type="pct"/>
            <w:hideMark/>
          </w:tcPr>
          <w:p w14:paraId="768033F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0.002</w:t>
            </w:r>
          </w:p>
        </w:tc>
        <w:tc>
          <w:tcPr>
            <w:tcW w:w="751" w:type="pct"/>
            <w:hideMark/>
          </w:tcPr>
          <w:p w14:paraId="2F57BB8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51EB7CA6"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44C28312"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Injury delay, weeks</w:t>
            </w:r>
          </w:p>
        </w:tc>
        <w:tc>
          <w:tcPr>
            <w:tcW w:w="721" w:type="pct"/>
            <w:hideMark/>
          </w:tcPr>
          <w:p w14:paraId="752B3283"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5.9 ± 5.1</w:t>
            </w:r>
          </w:p>
        </w:tc>
        <w:tc>
          <w:tcPr>
            <w:tcW w:w="816" w:type="pct"/>
            <w:hideMark/>
          </w:tcPr>
          <w:p w14:paraId="153DB7C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3 (3–7)</w:t>
            </w:r>
          </w:p>
        </w:tc>
        <w:tc>
          <w:tcPr>
            <w:tcW w:w="435" w:type="pct"/>
            <w:hideMark/>
          </w:tcPr>
          <w:p w14:paraId="7BC07EF2"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3–20</w:t>
            </w:r>
          </w:p>
        </w:tc>
        <w:tc>
          <w:tcPr>
            <w:tcW w:w="923" w:type="pct"/>
            <w:hideMark/>
          </w:tcPr>
          <w:p w14:paraId="22D2FD7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&lt;0.001</w:t>
            </w:r>
          </w:p>
        </w:tc>
        <w:tc>
          <w:tcPr>
            <w:tcW w:w="751" w:type="pct"/>
            <w:hideMark/>
          </w:tcPr>
          <w:p w14:paraId="1352289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3595E494"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5219BFB3"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Pre-op ROM min, deg</w:t>
            </w:r>
          </w:p>
        </w:tc>
        <w:tc>
          <w:tcPr>
            <w:tcW w:w="721" w:type="pct"/>
            <w:hideMark/>
          </w:tcPr>
          <w:p w14:paraId="40DC163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41.5 ± 11.7</w:t>
            </w:r>
          </w:p>
        </w:tc>
        <w:tc>
          <w:tcPr>
            <w:tcW w:w="816" w:type="pct"/>
            <w:hideMark/>
          </w:tcPr>
          <w:p w14:paraId="564DDE5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40 (30–50)</w:t>
            </w:r>
          </w:p>
        </w:tc>
        <w:tc>
          <w:tcPr>
            <w:tcW w:w="435" w:type="pct"/>
            <w:hideMark/>
          </w:tcPr>
          <w:p w14:paraId="045710E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30–60</w:t>
            </w:r>
          </w:p>
        </w:tc>
        <w:tc>
          <w:tcPr>
            <w:tcW w:w="923" w:type="pct"/>
            <w:hideMark/>
          </w:tcPr>
          <w:p w14:paraId="1B2F9C2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&lt;0.001</w:t>
            </w:r>
          </w:p>
        </w:tc>
        <w:tc>
          <w:tcPr>
            <w:tcW w:w="751" w:type="pct"/>
            <w:hideMark/>
          </w:tcPr>
          <w:p w14:paraId="0C87174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73FD3587"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526EC20E"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lastRenderedPageBreak/>
              <w:t>Pre-op ROM max, deg</w:t>
            </w:r>
          </w:p>
        </w:tc>
        <w:tc>
          <w:tcPr>
            <w:tcW w:w="721" w:type="pct"/>
            <w:hideMark/>
          </w:tcPr>
          <w:p w14:paraId="7E17671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95.6 ± 17.2</w:t>
            </w:r>
          </w:p>
        </w:tc>
        <w:tc>
          <w:tcPr>
            <w:tcW w:w="816" w:type="pct"/>
            <w:hideMark/>
          </w:tcPr>
          <w:p w14:paraId="62DA5BDB"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100 (90–105)</w:t>
            </w:r>
          </w:p>
        </w:tc>
        <w:tc>
          <w:tcPr>
            <w:tcW w:w="435" w:type="pct"/>
            <w:hideMark/>
          </w:tcPr>
          <w:p w14:paraId="6E02C87B"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50–120</w:t>
            </w:r>
          </w:p>
        </w:tc>
        <w:tc>
          <w:tcPr>
            <w:tcW w:w="923" w:type="pct"/>
            <w:hideMark/>
          </w:tcPr>
          <w:p w14:paraId="7BD2146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0.010</w:t>
            </w:r>
          </w:p>
        </w:tc>
        <w:tc>
          <w:tcPr>
            <w:tcW w:w="751" w:type="pct"/>
            <w:hideMark/>
          </w:tcPr>
          <w:p w14:paraId="4565F88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06248C91"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53FB62FE"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Pre-op arc, deg</w:t>
            </w:r>
          </w:p>
        </w:tc>
        <w:tc>
          <w:tcPr>
            <w:tcW w:w="721" w:type="pct"/>
            <w:hideMark/>
          </w:tcPr>
          <w:p w14:paraId="6E119A4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54.1 ± 13.4</w:t>
            </w:r>
          </w:p>
        </w:tc>
        <w:tc>
          <w:tcPr>
            <w:tcW w:w="816" w:type="pct"/>
            <w:hideMark/>
          </w:tcPr>
          <w:p w14:paraId="3458F7E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60 (50–60)</w:t>
            </w:r>
          </w:p>
        </w:tc>
        <w:tc>
          <w:tcPr>
            <w:tcW w:w="435" w:type="pct"/>
            <w:hideMark/>
          </w:tcPr>
          <w:p w14:paraId="542C206E"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20–70</w:t>
            </w:r>
          </w:p>
        </w:tc>
        <w:tc>
          <w:tcPr>
            <w:tcW w:w="923" w:type="pct"/>
            <w:hideMark/>
          </w:tcPr>
          <w:p w14:paraId="3BE4F3E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0.004</w:t>
            </w:r>
          </w:p>
        </w:tc>
        <w:tc>
          <w:tcPr>
            <w:tcW w:w="751" w:type="pct"/>
            <w:hideMark/>
          </w:tcPr>
          <w:p w14:paraId="596EAE60"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6EAD55FF"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43315B89"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Operative time, min</w:t>
            </w:r>
          </w:p>
        </w:tc>
        <w:tc>
          <w:tcPr>
            <w:tcW w:w="721" w:type="pct"/>
            <w:hideMark/>
          </w:tcPr>
          <w:p w14:paraId="57916DD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53.4 ± 13.7</w:t>
            </w:r>
          </w:p>
        </w:tc>
        <w:tc>
          <w:tcPr>
            <w:tcW w:w="816" w:type="pct"/>
            <w:hideMark/>
          </w:tcPr>
          <w:p w14:paraId="012F8722"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53 (42–63)</w:t>
            </w:r>
          </w:p>
        </w:tc>
        <w:tc>
          <w:tcPr>
            <w:tcW w:w="435" w:type="pct"/>
            <w:hideMark/>
          </w:tcPr>
          <w:p w14:paraId="175FD56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30–80</w:t>
            </w:r>
          </w:p>
        </w:tc>
        <w:tc>
          <w:tcPr>
            <w:tcW w:w="923" w:type="pct"/>
            <w:hideMark/>
          </w:tcPr>
          <w:p w14:paraId="528AB72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0.731</w:t>
            </w:r>
          </w:p>
        </w:tc>
        <w:tc>
          <w:tcPr>
            <w:tcW w:w="751" w:type="pct"/>
            <w:hideMark/>
          </w:tcPr>
          <w:p w14:paraId="2EA0ECE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b/>
                <w:bCs/>
                <w:sz w:val="24"/>
              </w:rPr>
              <w:t>normal</w:t>
            </w:r>
          </w:p>
        </w:tc>
      </w:tr>
      <w:tr w:rsidR="00F67DC7" w:rsidRPr="00611106" w14:paraId="09C988D9"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0AC9100D"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Blood loss, ml</w:t>
            </w:r>
          </w:p>
        </w:tc>
        <w:tc>
          <w:tcPr>
            <w:tcW w:w="721" w:type="pct"/>
            <w:hideMark/>
          </w:tcPr>
          <w:p w14:paraId="5E79724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20.0 ± 8.4</w:t>
            </w:r>
          </w:p>
        </w:tc>
        <w:tc>
          <w:tcPr>
            <w:tcW w:w="816" w:type="pct"/>
            <w:hideMark/>
          </w:tcPr>
          <w:p w14:paraId="7422DAE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19 (12–27.5)</w:t>
            </w:r>
          </w:p>
        </w:tc>
        <w:tc>
          <w:tcPr>
            <w:tcW w:w="435" w:type="pct"/>
            <w:hideMark/>
          </w:tcPr>
          <w:p w14:paraId="78357F9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8–34</w:t>
            </w:r>
          </w:p>
        </w:tc>
        <w:tc>
          <w:tcPr>
            <w:tcW w:w="923" w:type="pct"/>
            <w:hideMark/>
          </w:tcPr>
          <w:p w14:paraId="376D182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0.038</w:t>
            </w:r>
          </w:p>
        </w:tc>
        <w:tc>
          <w:tcPr>
            <w:tcW w:w="751" w:type="pct"/>
            <w:hideMark/>
          </w:tcPr>
          <w:p w14:paraId="6F437417"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633DEB14"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1393B54A"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Final flexion, deg</w:t>
            </w:r>
          </w:p>
        </w:tc>
        <w:tc>
          <w:tcPr>
            <w:tcW w:w="721" w:type="pct"/>
            <w:hideMark/>
          </w:tcPr>
          <w:p w14:paraId="249EA42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130.7 ± 16.4</w:t>
            </w:r>
          </w:p>
        </w:tc>
        <w:tc>
          <w:tcPr>
            <w:tcW w:w="816" w:type="pct"/>
            <w:hideMark/>
          </w:tcPr>
          <w:p w14:paraId="750C8F49"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140 (115–140)</w:t>
            </w:r>
          </w:p>
        </w:tc>
        <w:tc>
          <w:tcPr>
            <w:tcW w:w="435" w:type="pct"/>
            <w:hideMark/>
          </w:tcPr>
          <w:p w14:paraId="7DE1CDE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90–150</w:t>
            </w:r>
          </w:p>
        </w:tc>
        <w:tc>
          <w:tcPr>
            <w:tcW w:w="923" w:type="pct"/>
            <w:hideMark/>
          </w:tcPr>
          <w:p w14:paraId="5AA58783"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0.004</w:t>
            </w:r>
          </w:p>
        </w:tc>
        <w:tc>
          <w:tcPr>
            <w:tcW w:w="751" w:type="pct"/>
            <w:hideMark/>
          </w:tcPr>
          <w:p w14:paraId="1B4C9006"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674905B9"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5970413F"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Final extension lag, deg</w:t>
            </w:r>
          </w:p>
        </w:tc>
        <w:tc>
          <w:tcPr>
            <w:tcW w:w="721" w:type="pct"/>
            <w:hideMark/>
          </w:tcPr>
          <w:p w14:paraId="4283E5B4"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11.9 ± 13.9</w:t>
            </w:r>
          </w:p>
        </w:tc>
        <w:tc>
          <w:tcPr>
            <w:tcW w:w="816" w:type="pct"/>
            <w:hideMark/>
          </w:tcPr>
          <w:p w14:paraId="590FFFB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10 (0–20)</w:t>
            </w:r>
          </w:p>
        </w:tc>
        <w:tc>
          <w:tcPr>
            <w:tcW w:w="435" w:type="pct"/>
            <w:hideMark/>
          </w:tcPr>
          <w:p w14:paraId="55D2A4D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0–50</w:t>
            </w:r>
          </w:p>
        </w:tc>
        <w:tc>
          <w:tcPr>
            <w:tcW w:w="923" w:type="pct"/>
            <w:hideMark/>
          </w:tcPr>
          <w:p w14:paraId="0D0B9CC3"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&lt;0.001</w:t>
            </w:r>
          </w:p>
        </w:tc>
        <w:tc>
          <w:tcPr>
            <w:tcW w:w="751" w:type="pct"/>
            <w:hideMark/>
          </w:tcPr>
          <w:p w14:paraId="11899C97"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4490E936"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776D853C"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Final ROM arc, deg</w:t>
            </w:r>
          </w:p>
        </w:tc>
        <w:tc>
          <w:tcPr>
            <w:tcW w:w="721" w:type="pct"/>
            <w:hideMark/>
          </w:tcPr>
          <w:p w14:paraId="3F9D58B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118.9 ± 28.2</w:t>
            </w:r>
          </w:p>
        </w:tc>
        <w:tc>
          <w:tcPr>
            <w:tcW w:w="816" w:type="pct"/>
            <w:hideMark/>
          </w:tcPr>
          <w:p w14:paraId="126233F0"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120 (100–140)</w:t>
            </w:r>
          </w:p>
        </w:tc>
        <w:tc>
          <w:tcPr>
            <w:tcW w:w="435" w:type="pct"/>
            <w:hideMark/>
          </w:tcPr>
          <w:p w14:paraId="5C6F398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40–150</w:t>
            </w:r>
          </w:p>
        </w:tc>
        <w:tc>
          <w:tcPr>
            <w:tcW w:w="923" w:type="pct"/>
            <w:hideMark/>
          </w:tcPr>
          <w:p w14:paraId="31FEEAD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0.011</w:t>
            </w:r>
          </w:p>
        </w:tc>
        <w:tc>
          <w:tcPr>
            <w:tcW w:w="751" w:type="pct"/>
            <w:hideMark/>
          </w:tcPr>
          <w:p w14:paraId="1B847BD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69628935"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064F963C"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Valgus deformity, deg</w:t>
            </w:r>
          </w:p>
        </w:tc>
        <w:tc>
          <w:tcPr>
            <w:tcW w:w="721" w:type="pct"/>
            <w:hideMark/>
          </w:tcPr>
          <w:p w14:paraId="3643389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3.5 ± 4.8</w:t>
            </w:r>
          </w:p>
        </w:tc>
        <w:tc>
          <w:tcPr>
            <w:tcW w:w="816" w:type="pct"/>
            <w:hideMark/>
          </w:tcPr>
          <w:p w14:paraId="4BDDD211"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 (0–5)</w:t>
            </w:r>
          </w:p>
        </w:tc>
        <w:tc>
          <w:tcPr>
            <w:tcW w:w="435" w:type="pct"/>
            <w:hideMark/>
          </w:tcPr>
          <w:p w14:paraId="17D0A34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0–15</w:t>
            </w:r>
          </w:p>
        </w:tc>
        <w:tc>
          <w:tcPr>
            <w:tcW w:w="923" w:type="pct"/>
            <w:hideMark/>
          </w:tcPr>
          <w:p w14:paraId="3A14B11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&lt;0.001</w:t>
            </w:r>
          </w:p>
        </w:tc>
        <w:tc>
          <w:tcPr>
            <w:tcW w:w="751" w:type="pct"/>
            <w:hideMark/>
          </w:tcPr>
          <w:p w14:paraId="46DB629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6B23184A"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0436993D"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Liverpool Elbow Score</w:t>
            </w:r>
          </w:p>
        </w:tc>
        <w:tc>
          <w:tcPr>
            <w:tcW w:w="721" w:type="pct"/>
            <w:hideMark/>
          </w:tcPr>
          <w:p w14:paraId="3DA16A9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9.3 ± 0.6</w:t>
            </w:r>
          </w:p>
        </w:tc>
        <w:tc>
          <w:tcPr>
            <w:tcW w:w="816" w:type="pct"/>
            <w:hideMark/>
          </w:tcPr>
          <w:p w14:paraId="7483DE60"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9.6 (8.6–9.6)</w:t>
            </w:r>
          </w:p>
        </w:tc>
        <w:tc>
          <w:tcPr>
            <w:tcW w:w="435" w:type="pct"/>
            <w:hideMark/>
          </w:tcPr>
          <w:p w14:paraId="01F704CF"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7.7–10</w:t>
            </w:r>
          </w:p>
        </w:tc>
        <w:tc>
          <w:tcPr>
            <w:tcW w:w="923" w:type="pct"/>
            <w:hideMark/>
          </w:tcPr>
          <w:p w14:paraId="7C803D75"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0.003</w:t>
            </w:r>
          </w:p>
        </w:tc>
        <w:tc>
          <w:tcPr>
            <w:tcW w:w="751" w:type="pct"/>
            <w:hideMark/>
          </w:tcPr>
          <w:p w14:paraId="5EC29D8D"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r w:rsidR="00F67DC7" w:rsidRPr="00611106" w14:paraId="3B317470" w14:textId="77777777" w:rsidTr="00224501">
        <w:tc>
          <w:tcPr>
            <w:cnfStyle w:val="001000000000" w:firstRow="0" w:lastRow="0" w:firstColumn="1" w:lastColumn="0" w:oddVBand="0" w:evenVBand="0" w:oddHBand="0" w:evenHBand="0" w:firstRowFirstColumn="0" w:firstRowLastColumn="0" w:lastRowFirstColumn="0" w:lastRowLastColumn="0"/>
            <w:tcW w:w="1353" w:type="pct"/>
            <w:hideMark/>
          </w:tcPr>
          <w:p w14:paraId="3C67C891" w14:textId="77777777" w:rsidR="00F67DC7" w:rsidRPr="00611106" w:rsidRDefault="00F67DC7" w:rsidP="00224501">
            <w:pPr>
              <w:spacing w:after="160" w:line="360" w:lineRule="auto"/>
              <w:jc w:val="both"/>
              <w:rPr>
                <w:rFonts w:ascii="Times New Roman" w:hAnsi="Times New Roman" w:cs="Times New Roman"/>
                <w:sz w:val="24"/>
              </w:rPr>
            </w:pPr>
            <w:r w:rsidRPr="00611106">
              <w:rPr>
                <w:rFonts w:ascii="Times New Roman" w:hAnsi="Times New Roman" w:cs="Times New Roman"/>
                <w:sz w:val="24"/>
              </w:rPr>
              <w:t>MEPI</w:t>
            </w:r>
          </w:p>
        </w:tc>
        <w:tc>
          <w:tcPr>
            <w:tcW w:w="721" w:type="pct"/>
            <w:hideMark/>
          </w:tcPr>
          <w:p w14:paraId="74863BE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88.7 ± 10.1</w:t>
            </w:r>
          </w:p>
        </w:tc>
        <w:tc>
          <w:tcPr>
            <w:tcW w:w="816" w:type="pct"/>
            <w:hideMark/>
          </w:tcPr>
          <w:p w14:paraId="5CB566A8"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90 (80–100)</w:t>
            </w:r>
          </w:p>
        </w:tc>
        <w:tc>
          <w:tcPr>
            <w:tcW w:w="435" w:type="pct"/>
            <w:hideMark/>
          </w:tcPr>
          <w:p w14:paraId="3630358A"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65–100</w:t>
            </w:r>
          </w:p>
        </w:tc>
        <w:tc>
          <w:tcPr>
            <w:tcW w:w="923" w:type="pct"/>
            <w:hideMark/>
          </w:tcPr>
          <w:p w14:paraId="7282C84B"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0.016</w:t>
            </w:r>
          </w:p>
        </w:tc>
        <w:tc>
          <w:tcPr>
            <w:tcW w:w="751" w:type="pct"/>
            <w:hideMark/>
          </w:tcPr>
          <w:p w14:paraId="1E4AEB4C" w14:textId="77777777" w:rsidR="00F67DC7" w:rsidRPr="00611106" w:rsidRDefault="00F67DC7" w:rsidP="0022450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611106">
              <w:rPr>
                <w:rFonts w:ascii="Times New Roman" w:hAnsi="Times New Roman" w:cs="Times New Roman"/>
                <w:sz w:val="24"/>
              </w:rPr>
              <w:t>non-normal</w:t>
            </w:r>
          </w:p>
        </w:tc>
      </w:tr>
    </w:tbl>
    <w:p w14:paraId="734CBE82" w14:textId="77777777" w:rsidR="00F67DC7" w:rsidRPr="00611106" w:rsidRDefault="00F67DC7" w:rsidP="00F67DC7">
      <w:pPr>
        <w:spacing w:line="360" w:lineRule="auto"/>
        <w:jc w:val="both"/>
        <w:rPr>
          <w:rFonts w:ascii="Times New Roman" w:hAnsi="Times New Roman" w:cs="Times New Roman"/>
          <w:sz w:val="24"/>
        </w:rPr>
      </w:pPr>
    </w:p>
    <w:p w14:paraId="6235688D" w14:textId="77777777" w:rsidR="00F67DC7" w:rsidRPr="00611106" w:rsidRDefault="00F67DC7" w:rsidP="00F67DC7">
      <w:pPr>
        <w:rPr>
          <w:rFonts w:ascii="Times New Roman" w:hAnsi="Times New Roman" w:cs="Times New Roman"/>
        </w:rPr>
      </w:pPr>
      <w:r w:rsidRPr="00611106">
        <w:rPr>
          <w:rFonts w:ascii="Times New Roman" w:hAnsi="Times New Roman" w:cs="Times New Roman"/>
          <w:b/>
        </w:rPr>
        <w:t>Supplementary Figures</w:t>
      </w:r>
    </w:p>
    <w:p w14:paraId="35F8D5A5" w14:textId="77777777" w:rsidR="00F67DC7" w:rsidRPr="00611106" w:rsidRDefault="00F67DC7" w:rsidP="00F67DC7">
      <w:pPr>
        <w:jc w:val="center"/>
        <w:rPr>
          <w:rFonts w:ascii="Times New Roman" w:hAnsi="Times New Roman" w:cs="Times New Roman"/>
        </w:rPr>
      </w:pPr>
      <w:r w:rsidRPr="00611106">
        <w:rPr>
          <w:rFonts w:ascii="Times New Roman" w:hAnsi="Times New Roman" w:cs="Times New Roman"/>
          <w:noProof/>
        </w:rPr>
        <w:lastRenderedPageBreak/>
        <w:drawing>
          <wp:inline distT="0" distB="0" distL="0" distR="0" wp14:anchorId="2477F8D5" wp14:editId="2991BB80">
            <wp:extent cx="5943600" cy="46424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_Suppl_S1.png"/>
                    <pic:cNvPicPr/>
                  </pic:nvPicPr>
                  <pic:blipFill>
                    <a:blip r:embed="rId4"/>
                    <a:stretch>
                      <a:fillRect/>
                    </a:stretch>
                  </pic:blipFill>
                  <pic:spPr>
                    <a:xfrm>
                      <a:off x="0" y="0"/>
                      <a:ext cx="5943600" cy="4642451"/>
                    </a:xfrm>
                    <a:prstGeom prst="rect">
                      <a:avLst/>
                    </a:prstGeom>
                  </pic:spPr>
                </pic:pic>
              </a:graphicData>
            </a:graphic>
          </wp:inline>
        </w:drawing>
      </w:r>
    </w:p>
    <w:p w14:paraId="2628EE6A" w14:textId="77777777" w:rsidR="00F67DC7" w:rsidRPr="00611106" w:rsidRDefault="00F67DC7" w:rsidP="00F67DC7">
      <w:pPr>
        <w:jc w:val="both"/>
        <w:rPr>
          <w:rFonts w:ascii="Times New Roman" w:hAnsi="Times New Roman" w:cs="Times New Roman"/>
        </w:rPr>
      </w:pPr>
      <w:r w:rsidRPr="00611106">
        <w:rPr>
          <w:rFonts w:ascii="Times New Roman" w:hAnsi="Times New Roman" w:cs="Times New Roman"/>
          <w:b/>
          <w:sz w:val="20"/>
        </w:rPr>
        <w:t xml:space="preserve">Supplementary Figure S1. </w:t>
      </w:r>
      <w:r w:rsidRPr="00611106">
        <w:rPr>
          <w:rFonts w:ascii="Times New Roman" w:hAnsi="Times New Roman" w:cs="Times New Roman"/>
          <w:sz w:val="20"/>
        </w:rPr>
        <w:t>Additional clinical and radiological findings. (A–C) Clinical range-of-motion photographs at final review (faces anonymised); (D) interim radiographs at two months with the Kirschner wires in situ; (E) MRI showing the united fracture line (red arrow).</w:t>
      </w:r>
    </w:p>
    <w:p w14:paraId="0B4F1953" w14:textId="77777777" w:rsidR="00F67DC7" w:rsidRPr="00611106" w:rsidRDefault="00F67DC7" w:rsidP="00F67DC7">
      <w:pPr>
        <w:jc w:val="center"/>
        <w:rPr>
          <w:rFonts w:ascii="Times New Roman" w:hAnsi="Times New Roman" w:cs="Times New Roman"/>
        </w:rPr>
      </w:pPr>
      <w:r w:rsidRPr="00611106">
        <w:rPr>
          <w:rFonts w:ascii="Times New Roman" w:hAnsi="Times New Roman" w:cs="Times New Roman"/>
          <w:noProof/>
        </w:rPr>
        <w:lastRenderedPageBreak/>
        <w:drawing>
          <wp:inline distT="0" distB="0" distL="0" distR="0" wp14:anchorId="56D2F936" wp14:editId="76AF730B">
            <wp:extent cx="3770142" cy="7879103"/>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_Suppl_S2.png"/>
                    <pic:cNvPicPr/>
                  </pic:nvPicPr>
                  <pic:blipFill>
                    <a:blip r:embed="rId5"/>
                    <a:stretch>
                      <a:fillRect/>
                    </a:stretch>
                  </pic:blipFill>
                  <pic:spPr>
                    <a:xfrm>
                      <a:off x="0" y="0"/>
                      <a:ext cx="3772350" cy="7883718"/>
                    </a:xfrm>
                    <a:prstGeom prst="rect">
                      <a:avLst/>
                    </a:prstGeom>
                  </pic:spPr>
                </pic:pic>
              </a:graphicData>
            </a:graphic>
          </wp:inline>
        </w:drawing>
      </w:r>
    </w:p>
    <w:p w14:paraId="748B3D32" w14:textId="77777777" w:rsidR="00F67DC7" w:rsidRPr="00611106" w:rsidRDefault="00F67DC7" w:rsidP="00F67DC7">
      <w:pPr>
        <w:jc w:val="both"/>
        <w:rPr>
          <w:rFonts w:ascii="Times New Roman" w:hAnsi="Times New Roman" w:cs="Times New Roman"/>
        </w:rPr>
      </w:pPr>
      <w:r w:rsidRPr="00611106">
        <w:rPr>
          <w:rFonts w:ascii="Times New Roman" w:hAnsi="Times New Roman" w:cs="Times New Roman"/>
          <w:b/>
          <w:sz w:val="20"/>
        </w:rPr>
        <w:lastRenderedPageBreak/>
        <w:t xml:space="preserve">Supplementary Figure S2. </w:t>
      </w:r>
      <w:r w:rsidRPr="00611106">
        <w:rPr>
          <w:rFonts w:ascii="Times New Roman" w:hAnsi="Times New Roman" w:cs="Times New Roman"/>
          <w:sz w:val="20"/>
        </w:rPr>
        <w:t>Second representative case (right elbow). (A) Pre-operative, (B) immediate post-operative and (C) six-month radiographs showing union after open reduction and cross Kirschner-wire fixation.</w:t>
      </w:r>
    </w:p>
    <w:p w14:paraId="1CB7A246" w14:textId="77777777" w:rsidR="00F67DC7" w:rsidRPr="00611106" w:rsidRDefault="00F67DC7" w:rsidP="00F67DC7">
      <w:pPr>
        <w:jc w:val="center"/>
        <w:rPr>
          <w:rFonts w:ascii="Times New Roman" w:hAnsi="Times New Roman" w:cs="Times New Roman"/>
        </w:rPr>
      </w:pPr>
      <w:r w:rsidRPr="00611106">
        <w:rPr>
          <w:rFonts w:ascii="Times New Roman" w:hAnsi="Times New Roman" w:cs="Times New Roman"/>
          <w:noProof/>
        </w:rPr>
        <w:drawing>
          <wp:inline distT="0" distB="0" distL="0" distR="0" wp14:anchorId="43DD5273" wp14:editId="1CB0DD85">
            <wp:extent cx="5760720" cy="49176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5760720" cy="4917688"/>
                    </a:xfrm>
                    <a:prstGeom prst="rect">
                      <a:avLst/>
                    </a:prstGeom>
                  </pic:spPr>
                </pic:pic>
              </a:graphicData>
            </a:graphic>
          </wp:inline>
        </w:drawing>
      </w:r>
    </w:p>
    <w:p w14:paraId="4BD91BB0" w14:textId="77777777" w:rsidR="00F67DC7" w:rsidRPr="00611106" w:rsidRDefault="00F67DC7" w:rsidP="00F67DC7">
      <w:pPr>
        <w:jc w:val="both"/>
        <w:rPr>
          <w:rFonts w:ascii="Times New Roman" w:hAnsi="Times New Roman" w:cs="Times New Roman"/>
        </w:rPr>
      </w:pPr>
      <w:r w:rsidRPr="00611106">
        <w:rPr>
          <w:rFonts w:ascii="Times New Roman" w:hAnsi="Times New Roman" w:cs="Times New Roman"/>
          <w:b/>
          <w:sz w:val="20"/>
        </w:rPr>
        <w:t xml:space="preserve">Supplementary Figure S3. </w:t>
      </w:r>
      <w:r w:rsidRPr="00611106">
        <w:rPr>
          <w:rFonts w:ascii="Times New Roman" w:hAnsi="Times New Roman" w:cs="Times New Roman"/>
          <w:sz w:val="20"/>
        </w:rPr>
        <w:t>Correlates of functional outcome and convergent validity. Scatter plots of (A) MEPI versus ROM arc, (B) MEPI versus Liverpool Elbow Score (convergent validity), (C) Liverpool Elbow Score versus ROM arc and (D) MEPI versus injury delay. Lines are linear fits with 95% confidence bands; ρ denotes the Spearman correlation coefficient. Functional outcome correlated with the mechanical state of the elbow (ROM arc, ρ = 0.61) but not with the delay before surgery (ρ = −0.07).</w:t>
      </w:r>
    </w:p>
    <w:p w14:paraId="63081AFB" w14:textId="77777777" w:rsidR="00F67DC7" w:rsidRPr="00611106" w:rsidRDefault="00F67DC7" w:rsidP="00F67DC7">
      <w:pPr>
        <w:jc w:val="center"/>
        <w:rPr>
          <w:rFonts w:ascii="Times New Roman" w:hAnsi="Times New Roman" w:cs="Times New Roman"/>
        </w:rPr>
      </w:pPr>
      <w:r w:rsidRPr="00611106">
        <w:rPr>
          <w:rFonts w:ascii="Times New Roman" w:hAnsi="Times New Roman" w:cs="Times New Roman"/>
          <w:noProof/>
        </w:rPr>
        <w:lastRenderedPageBreak/>
        <w:drawing>
          <wp:inline distT="0" distB="0" distL="0" distR="0" wp14:anchorId="482F05B1" wp14:editId="4EFA30FD">
            <wp:extent cx="5394960" cy="47676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5394960" cy="4767639"/>
                    </a:xfrm>
                    <a:prstGeom prst="rect">
                      <a:avLst/>
                    </a:prstGeom>
                  </pic:spPr>
                </pic:pic>
              </a:graphicData>
            </a:graphic>
          </wp:inline>
        </w:drawing>
      </w:r>
    </w:p>
    <w:p w14:paraId="49000C8A" w14:textId="77777777" w:rsidR="00F67DC7" w:rsidRPr="00611106" w:rsidRDefault="00F67DC7" w:rsidP="00F67DC7">
      <w:pPr>
        <w:jc w:val="both"/>
        <w:rPr>
          <w:rFonts w:ascii="Times New Roman" w:hAnsi="Times New Roman" w:cs="Times New Roman"/>
        </w:rPr>
      </w:pPr>
      <w:r w:rsidRPr="00611106">
        <w:rPr>
          <w:rFonts w:ascii="Times New Roman" w:hAnsi="Times New Roman" w:cs="Times New Roman"/>
          <w:b/>
          <w:sz w:val="20"/>
        </w:rPr>
        <w:t xml:space="preserve">Supplementary Figure S4. </w:t>
      </w:r>
      <w:r w:rsidRPr="00611106">
        <w:rPr>
          <w:rFonts w:ascii="Times New Roman" w:hAnsi="Times New Roman" w:cs="Times New Roman"/>
          <w:sz w:val="20"/>
        </w:rPr>
        <w:t>Spearman correlation matrix of all study variables (n = 27). Cell colour and value indicate the Spearman correlation coefficient (ρ); red denotes positive and blue negative correlation.</w:t>
      </w:r>
    </w:p>
    <w:p w14:paraId="21EDDF8E" w14:textId="77777777" w:rsidR="00F67DC7" w:rsidRPr="00611106" w:rsidRDefault="00F67DC7" w:rsidP="00F67DC7">
      <w:pPr>
        <w:jc w:val="center"/>
        <w:rPr>
          <w:rFonts w:ascii="Times New Roman" w:hAnsi="Times New Roman" w:cs="Times New Roman"/>
        </w:rPr>
      </w:pPr>
      <w:r w:rsidRPr="00611106">
        <w:rPr>
          <w:rFonts w:ascii="Times New Roman" w:hAnsi="Times New Roman" w:cs="Times New Roman"/>
          <w:noProof/>
        </w:rPr>
        <w:lastRenderedPageBreak/>
        <w:drawing>
          <wp:inline distT="0" distB="0" distL="0" distR="0" wp14:anchorId="6F364402" wp14:editId="0FDBE25D">
            <wp:extent cx="5669280" cy="46062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669280" cy="4606290"/>
                    </a:xfrm>
                    <a:prstGeom prst="rect">
                      <a:avLst/>
                    </a:prstGeom>
                  </pic:spPr>
                </pic:pic>
              </a:graphicData>
            </a:graphic>
          </wp:inline>
        </w:drawing>
      </w:r>
    </w:p>
    <w:p w14:paraId="3DA600C2" w14:textId="77777777" w:rsidR="00F67DC7" w:rsidRPr="00611106" w:rsidRDefault="00F67DC7" w:rsidP="00F67DC7">
      <w:pPr>
        <w:jc w:val="both"/>
        <w:rPr>
          <w:rFonts w:ascii="Times New Roman" w:hAnsi="Times New Roman" w:cs="Times New Roman"/>
        </w:rPr>
      </w:pPr>
      <w:r w:rsidRPr="00611106">
        <w:rPr>
          <w:rFonts w:ascii="Times New Roman" w:hAnsi="Times New Roman" w:cs="Times New Roman"/>
          <w:b/>
          <w:sz w:val="20"/>
        </w:rPr>
        <w:t xml:space="preserve">Supplementary Figure S5. </w:t>
      </w:r>
      <w:r w:rsidRPr="00611106">
        <w:rPr>
          <w:rFonts w:ascii="Times New Roman" w:hAnsi="Times New Roman" w:cs="Times New Roman"/>
          <w:sz w:val="20"/>
        </w:rPr>
        <w:t>Distribution of the principal continuous outcomes and injury delay (n = 27). Histograms of (A) MEPI, (B) Liverpool Elbow Score, (C) ROM arc and (D) injury delay; the dashed line marks the median.</w:t>
      </w:r>
    </w:p>
    <w:p w14:paraId="1654F1F3"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C7"/>
    <w:rsid w:val="003C2EF4"/>
    <w:rsid w:val="00446799"/>
    <w:rsid w:val="00471820"/>
    <w:rsid w:val="006A7E07"/>
    <w:rsid w:val="00701021"/>
    <w:rsid w:val="00866E40"/>
    <w:rsid w:val="00AD20D4"/>
    <w:rsid w:val="00B74216"/>
    <w:rsid w:val="00CF0FCC"/>
    <w:rsid w:val="00D62F8C"/>
    <w:rsid w:val="00DE06E6"/>
    <w:rsid w:val="00E97CD6"/>
    <w:rsid w:val="00F553FF"/>
    <w:rsid w:val="00F67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E17B"/>
  <w15:chartTrackingRefBased/>
  <w15:docId w15:val="{992CA50F-8800-4D44-8E9E-9119D8BE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C7"/>
    <w:pPr>
      <w:spacing w:line="259" w:lineRule="auto"/>
    </w:pPr>
    <w:rPr>
      <w:sz w:val="22"/>
      <w:szCs w:val="22"/>
      <w:lang w:val="en-IN"/>
    </w:rPr>
  </w:style>
  <w:style w:type="paragraph" w:styleId="Heading1">
    <w:name w:val="heading 1"/>
    <w:basedOn w:val="Normal"/>
    <w:next w:val="Normal"/>
    <w:link w:val="Heading1Char"/>
    <w:uiPriority w:val="9"/>
    <w:qFormat/>
    <w:rsid w:val="00F67DC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F67DC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F67DC7"/>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F67DC7"/>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F67DC7"/>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F67DC7"/>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F67DC7"/>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F67DC7"/>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F67DC7"/>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DC7"/>
    <w:rPr>
      <w:rFonts w:eastAsiaTheme="majorEastAsia" w:cstheme="majorBidi"/>
      <w:color w:val="272727" w:themeColor="text1" w:themeTint="D8"/>
    </w:rPr>
  </w:style>
  <w:style w:type="paragraph" w:styleId="Title">
    <w:name w:val="Title"/>
    <w:basedOn w:val="Normal"/>
    <w:next w:val="Normal"/>
    <w:link w:val="TitleChar"/>
    <w:uiPriority w:val="10"/>
    <w:qFormat/>
    <w:rsid w:val="00F67DC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67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DC7"/>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F67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DC7"/>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F67DC7"/>
    <w:rPr>
      <w:i/>
      <w:iCs/>
      <w:color w:val="404040" w:themeColor="text1" w:themeTint="BF"/>
    </w:rPr>
  </w:style>
  <w:style w:type="paragraph" w:styleId="ListParagraph">
    <w:name w:val="List Paragraph"/>
    <w:basedOn w:val="Normal"/>
    <w:uiPriority w:val="34"/>
    <w:qFormat/>
    <w:rsid w:val="00F67DC7"/>
    <w:pPr>
      <w:spacing w:line="278" w:lineRule="auto"/>
      <w:ind w:left="720"/>
      <w:contextualSpacing/>
    </w:pPr>
    <w:rPr>
      <w:sz w:val="24"/>
      <w:szCs w:val="24"/>
      <w:lang w:val="en-US"/>
    </w:rPr>
  </w:style>
  <w:style w:type="character" w:styleId="IntenseEmphasis">
    <w:name w:val="Intense Emphasis"/>
    <w:basedOn w:val="DefaultParagraphFont"/>
    <w:uiPriority w:val="21"/>
    <w:qFormat/>
    <w:rsid w:val="00F67DC7"/>
    <w:rPr>
      <w:i/>
      <w:iCs/>
      <w:color w:val="0F4761" w:themeColor="accent1" w:themeShade="BF"/>
    </w:rPr>
  </w:style>
  <w:style w:type="paragraph" w:styleId="IntenseQuote">
    <w:name w:val="Intense Quote"/>
    <w:basedOn w:val="Normal"/>
    <w:next w:val="Normal"/>
    <w:link w:val="IntenseQuoteChar"/>
    <w:uiPriority w:val="30"/>
    <w:qFormat/>
    <w:rsid w:val="00F67DC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F67DC7"/>
    <w:rPr>
      <w:i/>
      <w:iCs/>
      <w:color w:val="0F4761" w:themeColor="accent1" w:themeShade="BF"/>
    </w:rPr>
  </w:style>
  <w:style w:type="character" w:styleId="IntenseReference">
    <w:name w:val="Intense Reference"/>
    <w:basedOn w:val="DefaultParagraphFont"/>
    <w:uiPriority w:val="32"/>
    <w:qFormat/>
    <w:rsid w:val="00F67DC7"/>
    <w:rPr>
      <w:b/>
      <w:bCs/>
      <w:smallCaps/>
      <w:color w:val="0F4761" w:themeColor="accent1" w:themeShade="BF"/>
      <w:spacing w:val="5"/>
    </w:rPr>
  </w:style>
  <w:style w:type="table" w:styleId="GridTable1Light">
    <w:name w:val="Grid Table 1 Light"/>
    <w:basedOn w:val="TableNormal"/>
    <w:uiPriority w:val="46"/>
    <w:rsid w:val="00F67DC7"/>
    <w:pPr>
      <w:spacing w:after="0" w:line="240" w:lineRule="auto"/>
    </w:pPr>
    <w:rPr>
      <w:sz w:val="22"/>
      <w:szCs w:val="22"/>
      <w:lang w:val="en-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593</Words>
  <Characters>3382</Characters>
  <Application>Microsoft Office Word</Application>
  <DocSecurity>0</DocSecurity>
  <Lines>28</Lines>
  <Paragraphs>7</Paragraphs>
  <ScaleCrop>false</ScaleCrop>
  <Company>Springer Nature</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2026-07-10T10:01:00Z</dcterms:created>
  <dcterms:modified xsi:type="dcterms:W3CDTF">2026-07-10T10:01:00Z</dcterms:modified>
</cp:coreProperties>
</file>