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64CB8">
      <w:pPr>
        <w:rPr>
          <w:rFonts w:hint="eastAsia" w:ascii="宋体" w:hAnsi="宋体" w:cs="宋体"/>
          <w:color w:val="231F20"/>
          <w:sz w:val="28"/>
          <w:szCs w:val="28"/>
        </w:rPr>
      </w:pPr>
      <w:r>
        <w:rPr>
          <w:rFonts w:hint="eastAsia" w:ascii="宋体" w:hAnsi="宋体" w:cs="宋体"/>
          <w:color w:val="231F20"/>
          <w:sz w:val="28"/>
          <w:szCs w:val="28"/>
        </w:rPr>
        <w:t xml:space="preserve"> A real-world disproportionality analysis of adverse events associated with lenvatinib in thyroid cancer patients based on the FAERS database</w:t>
      </w:r>
    </w:p>
    <w:p w14:paraId="548E9FF4">
      <w:pPr>
        <w:rPr>
          <w:rFonts w:hint="eastAsia" w:ascii="宋体" w:hAnsi="宋体" w:cs="宋体"/>
          <w:color w:val="231F2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color w:val="231F20"/>
          <w:sz w:val="28"/>
          <w:szCs w:val="28"/>
        </w:rPr>
        <w:t>Supplementary Table S1. Formulas and criteria for the four disproportionality analysis algorithms used in signal detection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435"/>
        <w:gridCol w:w="4074"/>
        <w:gridCol w:w="1503"/>
      </w:tblGrid>
      <w:tr w14:paraId="7DD28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815DAE3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Algorithm</w:t>
            </w:r>
          </w:p>
        </w:tc>
        <w:tc>
          <w:tcPr>
            <w:tcW w:w="2130" w:type="dxa"/>
          </w:tcPr>
          <w:p w14:paraId="2C65011E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Abbreviation</w:t>
            </w:r>
          </w:p>
        </w:tc>
        <w:tc>
          <w:tcPr>
            <w:tcW w:w="2131" w:type="dxa"/>
          </w:tcPr>
          <w:p w14:paraId="5B12E167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Formula / Calculation Method</w:t>
            </w:r>
          </w:p>
        </w:tc>
        <w:tc>
          <w:tcPr>
            <w:tcW w:w="2131" w:type="dxa"/>
          </w:tcPr>
          <w:p w14:paraId="49F53FC2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Signal Criterion</w:t>
            </w:r>
          </w:p>
        </w:tc>
      </w:tr>
      <w:tr w14:paraId="0A97A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B5B78D5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Style w:val="5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Reporting Odds Ratio</w:t>
            </w:r>
          </w:p>
        </w:tc>
        <w:tc>
          <w:tcPr>
            <w:tcW w:w="2130" w:type="dxa"/>
          </w:tcPr>
          <w:p w14:paraId="2214900F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ROR</w:t>
            </w:r>
          </w:p>
        </w:tc>
        <w:tc>
          <w:tcPr>
            <w:tcW w:w="2131" w:type="dxa"/>
          </w:tcPr>
          <w:p w14:paraId="79E39833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2486025" cy="571500"/>
                  <wp:effectExtent l="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3E5DC262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Lower limit of 95% confidence interval (CI) &gt; 1</w:t>
            </w:r>
          </w:p>
        </w:tc>
      </w:tr>
      <w:tr w14:paraId="25CC0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E52FD83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Style w:val="5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Proportional Reporting Ratio</w:t>
            </w:r>
          </w:p>
        </w:tc>
        <w:tc>
          <w:tcPr>
            <w:tcW w:w="2130" w:type="dxa"/>
          </w:tcPr>
          <w:p w14:paraId="0E3BEB57">
            <w:pPr>
              <w:rPr>
                <w:rFonts w:hint="default" w:ascii="宋体" w:hAnsi="宋体" w:cs="宋体" w:eastAsiaTheme="minorEastAsia"/>
                <w:color w:val="231F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  <w:lang w:val="en-US" w:eastAsia="zh-CN"/>
              </w:rPr>
              <w:t>PRR</w:t>
            </w:r>
          </w:p>
        </w:tc>
        <w:tc>
          <w:tcPr>
            <w:tcW w:w="2131" w:type="dxa"/>
          </w:tcPr>
          <w:p w14:paraId="7007B0B9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drawing>
                <wp:inline distT="0" distB="0" distL="114300" distR="114300">
                  <wp:extent cx="1724025" cy="609600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696C3F08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PRR ≥ 2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aps w:val="0"/>
                <w:color w:val="0F1115"/>
                <w:spacing w:val="0"/>
                <w:sz w:val="25"/>
                <w:szCs w:val="25"/>
                <w:shd w:val="clear" w:fill="FFFFFF"/>
              </w:rPr>
              <w:t>χ</w:t>
            </w:r>
            <w:r>
              <w:rPr>
                <w:rFonts w:hint="default" w:ascii="Times New Roman" w:hAnsi="Times New Roman" w:eastAsia="Times New Roman" w:cs="Times New Roman"/>
                <w:caps w:val="0"/>
                <w:color w:val="0F1115"/>
                <w:spacing w:val="0"/>
                <w:sz w:val="25"/>
                <w:szCs w:val="25"/>
                <w:shd w:val="clear" w:fill="FFFFFF"/>
              </w:rPr>
              <w:t>2≥4</w:t>
            </w:r>
          </w:p>
        </w:tc>
      </w:tr>
      <w:tr w14:paraId="78A2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D12E8CD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Style w:val="5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Bayesian Confidence Propagation Neural Network</w:t>
            </w:r>
          </w:p>
        </w:tc>
        <w:tc>
          <w:tcPr>
            <w:tcW w:w="2130" w:type="dxa"/>
          </w:tcPr>
          <w:p w14:paraId="2C918F45">
            <w:pPr>
              <w:rPr>
                <w:rFonts w:hint="default" w:ascii="宋体" w:hAnsi="宋体" w:cs="宋体" w:eastAsiaTheme="minorEastAsia"/>
                <w:color w:val="231F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  <w:lang w:val="en-US" w:eastAsia="zh-CN"/>
              </w:rPr>
              <w:t>BCPNN</w:t>
            </w:r>
          </w:p>
        </w:tc>
        <w:tc>
          <w:tcPr>
            <w:tcW w:w="2131" w:type="dxa"/>
          </w:tcPr>
          <w:p w14:paraId="342C4E50">
            <w:r>
              <w:drawing>
                <wp:inline distT="0" distB="0" distL="114300" distR="114300">
                  <wp:extent cx="1123950" cy="542925"/>
                  <wp:effectExtent l="0" t="0" r="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B6B09">
            <w:pPr>
              <w:rPr>
                <w:rFonts w:hint="eastAsi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*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Where α and β are prior parameters (default α = β = 1)*</w:t>
            </w:r>
          </w:p>
        </w:tc>
        <w:tc>
          <w:tcPr>
            <w:tcW w:w="2131" w:type="dxa"/>
          </w:tcPr>
          <w:p w14:paraId="79A3894D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IC025 &gt; 0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*(IC025: the lower limit of the 95% two-sided credibility interval for the Information Component)*</w:t>
            </w:r>
          </w:p>
        </w:tc>
      </w:tr>
      <w:tr w14:paraId="6064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014AFF3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Style w:val="5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Multi-item Gamma Poisson Shrinker</w:t>
            </w:r>
          </w:p>
        </w:tc>
        <w:tc>
          <w:tcPr>
            <w:tcW w:w="2130" w:type="dxa"/>
          </w:tcPr>
          <w:p w14:paraId="06C052F5">
            <w:pPr>
              <w:rPr>
                <w:rFonts w:hint="default" w:ascii="宋体" w:hAnsi="宋体" w:cs="宋体" w:eastAsiaTheme="minorEastAsia"/>
                <w:color w:val="231F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  <w:lang w:val="en-US" w:eastAsia="zh-CN"/>
              </w:rPr>
              <w:t>MGPS</w:t>
            </w:r>
          </w:p>
        </w:tc>
        <w:tc>
          <w:tcPr>
            <w:tcW w:w="2131" w:type="dxa"/>
          </w:tcPr>
          <w:p w14:paraId="623768A0">
            <w:r>
              <w:drawing>
                <wp:inline distT="0" distB="0" distL="114300" distR="114300">
                  <wp:extent cx="2105025" cy="495300"/>
                  <wp:effectExtent l="0" t="0" r="952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723E2">
            <w:pPr>
              <w:rPr>
                <w:rFonts w:hint="eastAsia"/>
              </w:rPr>
            </w:pPr>
            <w:r>
              <w:rPr>
                <w:rStyle w:val="6"/>
                <w:rFonts w:ascii="Segoe UI" w:hAnsi="Segoe UI" w:eastAsia="Segoe UI" w:cs="Segoe UI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E is the expected count under the null hypothesis of no association</w:t>
            </w:r>
          </w:p>
        </w:tc>
        <w:tc>
          <w:tcPr>
            <w:tcW w:w="2131" w:type="dxa"/>
          </w:tcPr>
          <w:p w14:paraId="33F3EC95">
            <w:pPr>
              <w:rPr>
                <w:rFonts w:hint="eastAsia" w:ascii="宋体" w:hAnsi="宋体" w:cs="宋体"/>
                <w:color w:val="231F20"/>
                <w:sz w:val="28"/>
                <w:szCs w:val="28"/>
                <w:vertAlign w:val="baseline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EBGM05 &gt; 2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*(EBGM05: the lower limit of the 95% one-sided confidence interval for the Empirical Bayesian Geometric Mean)*</w:t>
            </w:r>
          </w:p>
        </w:tc>
      </w:tr>
    </w:tbl>
    <w:p w14:paraId="27FD5FF4">
      <w:pPr>
        <w:rPr>
          <w:rFonts w:hint="eastAsia" w:ascii="宋体" w:hAnsi="宋体" w:cs="宋体"/>
          <w:color w:val="231F20"/>
          <w:sz w:val="28"/>
          <w:szCs w:val="28"/>
        </w:rPr>
      </w:pPr>
      <w:r>
        <w:rPr>
          <w:rFonts w:hint="eastAsia" w:ascii="宋体" w:hAnsi="宋体" w:cs="宋体"/>
          <w:color w:val="231F20"/>
          <w:sz w:val="28"/>
          <w:szCs w:val="28"/>
        </w:rPr>
        <w:t>Notes to the table:</w:t>
      </w:r>
    </w:p>
    <w:p w14:paraId="3A97EA05">
      <w:pPr>
        <w:numPr>
          <w:ilvl w:val="0"/>
          <w:numId w:val="1"/>
        </w:numPr>
        <w:ind w:left="420" w:leftChars="0" w:hanging="420" w:firstLineChars="0"/>
        <w:rPr>
          <w:rFonts w:hint="eastAsia" w:ascii="宋体" w:hAnsi="宋体" w:cs="宋体"/>
          <w:color w:val="231F20"/>
          <w:sz w:val="28"/>
          <w:szCs w:val="28"/>
        </w:rPr>
      </w:pPr>
      <w:r>
        <w:rPr>
          <w:rFonts w:hint="eastAsia" w:ascii="宋体" w:hAnsi="宋体" w:cs="宋体"/>
          <w:color w:val="231F20"/>
          <w:sz w:val="28"/>
          <w:szCs w:val="28"/>
        </w:rPr>
        <w:t>The 2×2 contingency table is defined as: a = number of reports with target drug and target adverse event; b = reports with target drug and other events; c = reports with other drugs and target event; d = reports with other drugs and other events.</w:t>
      </w:r>
    </w:p>
    <w:p w14:paraId="2A3C2333">
      <w:pPr>
        <w:numPr>
          <w:ilvl w:val="0"/>
          <w:numId w:val="1"/>
        </w:numPr>
        <w:ind w:left="420" w:leftChars="0" w:hanging="420" w:firstLineChars="0"/>
        <w:rPr>
          <w:rFonts w:hint="eastAsia" w:ascii="宋体" w:hAnsi="宋体" w:cs="宋体"/>
          <w:color w:val="231F20"/>
          <w:sz w:val="28"/>
          <w:szCs w:val="28"/>
        </w:rPr>
      </w:pPr>
      <w:r>
        <w:rPr>
          <w:rFonts w:hint="eastAsia" w:ascii="宋体" w:hAnsi="宋体" w:cs="宋体"/>
          <w:color w:val="231F20"/>
          <w:sz w:val="28"/>
          <w:szCs w:val="28"/>
        </w:rPr>
        <w:t>A positive signal is declared only when all four algorithms simultaneously meet their respective signal criteria.</w:t>
      </w:r>
    </w:p>
    <w:p w14:paraId="3683AD6B">
      <w:pPr>
        <w:numPr>
          <w:ilvl w:val="0"/>
          <w:numId w:val="1"/>
        </w:numPr>
        <w:ind w:left="420" w:leftChars="0" w:hanging="420" w:firstLineChars="0"/>
        <w:rPr>
          <w:rFonts w:hint="eastAsia" w:ascii="宋体" w:hAnsi="宋体" w:cs="宋体"/>
          <w:color w:val="231F20"/>
          <w:sz w:val="28"/>
          <w:szCs w:val="28"/>
        </w:rPr>
      </w:pPr>
      <w:r>
        <w:rPr>
          <w:rFonts w:hint="eastAsia" w:ascii="宋体" w:hAnsi="宋体" w:cs="宋体"/>
          <w:color w:val="231F20"/>
          <w:sz w:val="28"/>
          <w:szCs w:val="28"/>
        </w:rPr>
        <w:t>This combined approach improves the robustness of signal detection by balancing the high sensitivity of frequentist methods (ROR, PRR) with the stability of Bayesian methods (BCPNN, MGPS), particularly for low-frequency events.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6B0D80"/>
    <w:multiLevelType w:val="singleLevel"/>
    <w:tmpl w:val="C76B0D8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2D075B"/>
    <w:rsid w:val="26C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1469</Characters>
  <Lines>0</Lines>
  <Paragraphs>0</Paragraphs>
  <TotalTime>13</TotalTime>
  <ScaleCrop>false</ScaleCrop>
  <LinksUpToDate>false</LinksUpToDate>
  <CharactersWithSpaces>1697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2026-03-29T03:33:00Z</dcterms:created>
  <dc:creator>12496</dc:creator>
  <cp:lastModifiedBy>曾小贤</cp:lastModifiedBy>
  <dcterms:modified xsi:type="dcterms:W3CDTF">2026-06-02T13:01:37Z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eyJoZGlkIjoiNWZmMGQ4OTgxMWQ1MTEwYWE4OWVjMzJhMTA2NDk1ZjMiLCJ1c2VySWQiOiIzOTIwOTQ2NDMifQ==</vt:lpwstr>
  </property>
  <property fmtid="{D5CDD505-2E9C-101B-9397-08002B2CF9AE}" pid="4" name="ICV">
    <vt:lpwstr>5A58231D63CA4379AECCE02935CB2ECE_12</vt:lpwstr>
  </property>
</Properties>
</file>