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89F86" w14:textId="77777777" w:rsidR="0055133E" w:rsidRDefault="00000000">
      <w:pPr>
        <w:spacing w:after="240"/>
      </w:pPr>
      <w:r>
        <w:rPr>
          <w:b/>
          <w:sz w:val="32"/>
          <w:szCs w:val="32"/>
        </w:rPr>
        <w:t>Supplementary Note S1. Reconciliation of Rayyan screening exports with the source-review PRISMA diagram</w:t>
      </w:r>
    </w:p>
    <w:p w14:paraId="7BFCA2E8" w14:textId="77777777" w:rsidR="0055133E" w:rsidRDefault="00000000">
      <w:r>
        <w:rPr>
          <w:sz w:val="22"/>
          <w:szCs w:val="22"/>
        </w:rPr>
        <w:t>The human reference standard used in this evaluation was derived from the original Rayyan screening exports shared for the source systematic review. These exports were treated as a frozen record of the human screening decisions available at the time of this evaluation and were not retrospectively modified using later decisions made during data extraction.</w:t>
      </w:r>
    </w:p>
    <w:p w14:paraId="26028635" w14:textId="6B95244C" w:rsidR="0055133E" w:rsidRDefault="00000000">
      <w:r>
        <w:rPr>
          <w:sz w:val="22"/>
          <w:szCs w:val="22"/>
        </w:rPr>
        <w:t>Two minor discrepancies therefore exist between the evaluation dataset and the PRISMA flow diagram reported in the source-review</w:t>
      </w:r>
      <w:r w:rsidR="008302DB">
        <w:rPr>
          <w:sz w:val="22"/>
          <w:szCs w:val="22"/>
        </w:rPr>
        <w:t xml:space="preserve">, cited as reference </w:t>
      </w:r>
      <w:r w:rsidR="008302DB">
        <w:rPr>
          <w:sz w:val="22"/>
          <w:szCs w:val="22"/>
        </w:rPr>
        <w:t>[</w:t>
      </w:r>
      <w:r w:rsidR="008302DB">
        <w:rPr>
          <w:sz w:val="22"/>
          <w:szCs w:val="22"/>
        </w:rPr>
        <w:t>18</w:t>
      </w:r>
      <w:r w:rsidR="008302DB">
        <w:rPr>
          <w:sz w:val="22"/>
          <w:szCs w:val="22"/>
        </w:rPr>
        <w:t>]</w:t>
      </w:r>
      <w:r w:rsidR="008302DB">
        <w:rPr>
          <w:sz w:val="22"/>
          <w:szCs w:val="22"/>
        </w:rPr>
        <w:t xml:space="preserve"> in the main manuscript.</w:t>
      </w:r>
    </w:p>
    <w:p w14:paraId="49E376B2" w14:textId="77777777" w:rsidR="0055133E" w:rsidRDefault="00000000">
      <w:r>
        <w:rPr>
          <w:sz w:val="22"/>
          <w:szCs w:val="22"/>
        </w:rPr>
        <w:t>First, four records were marked as included after full-text screening in Rayyan and were therefore retained as included records in the evaluation dataset. These records were later excluded during the data-extraction phase of the source review and consequently do not appear among the final included studies in the source-review preprint. The records are listed in Table S1.</w:t>
      </w:r>
    </w:p>
    <w:p w14:paraId="577289CC" w14:textId="16F0822D" w:rsidR="00D33693" w:rsidRDefault="00D33693">
      <w:pPr>
        <w:spacing w:after="120"/>
        <w:rPr>
          <w:sz w:val="22"/>
          <w:szCs w:val="22"/>
        </w:rPr>
      </w:pPr>
      <w:r w:rsidRPr="00D33693">
        <w:rPr>
          <w:sz w:val="22"/>
          <w:szCs w:val="22"/>
        </w:rPr>
        <w:t xml:space="preserve">Second, the Rayyan exports contained 39 records marked as not retrieved, whereas the PRISMA diagram in the source-review preprint reports 38 such records. The additional record is listed in Table S2. Although a scanned document was available, it could not be uploaded to </w:t>
      </w:r>
      <w:proofErr w:type="spellStart"/>
      <w:r w:rsidRPr="00D33693">
        <w:rPr>
          <w:sz w:val="22"/>
          <w:szCs w:val="22"/>
        </w:rPr>
        <w:t>Zenodo</w:t>
      </w:r>
      <w:proofErr w:type="spellEnd"/>
      <w:r w:rsidRPr="00D33693">
        <w:rPr>
          <w:sz w:val="22"/>
          <w:szCs w:val="22"/>
        </w:rPr>
        <w:t>. This record was later excluded during full-text screening. Because it was not among the final included studies, this discrepancy does not affect sensitivity estimates and has only a negligible effect on workload-reduction estimates.</w:t>
      </w:r>
    </w:p>
    <w:p w14:paraId="51F01C37" w14:textId="518431AD" w:rsidR="0055133E" w:rsidRDefault="00000000">
      <w:pPr>
        <w:spacing w:after="120"/>
      </w:pPr>
      <w:r>
        <w:rPr>
          <w:b/>
        </w:rPr>
        <w:t>Table S1. Records included after Rayyan full-text screening but not present among the final included studies in the source-review preprint</w:t>
      </w:r>
    </w:p>
    <w:tbl>
      <w:tblPr>
        <w:tblW w:w="0" w:type="auto"/>
        <w:tblInd w:w="1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0"/>
        <w:gridCol w:w="5600"/>
        <w:gridCol w:w="1700"/>
        <w:gridCol w:w="3000"/>
        <w:gridCol w:w="2400"/>
      </w:tblGrid>
      <w:tr w:rsidR="0055133E" w14:paraId="4A0172FD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</w:tcPr>
          <w:p w14:paraId="03775296" w14:textId="77777777" w:rsidR="0055133E" w:rsidRDefault="00000000">
            <w:pPr>
              <w:spacing w:after="0"/>
            </w:pPr>
            <w:r>
              <w:rPr>
                <w:b/>
                <w:sz w:val="18"/>
                <w:szCs w:val="18"/>
              </w:rPr>
              <w:t>Rayyan key</w:t>
            </w:r>
          </w:p>
        </w:tc>
        <w:tc>
          <w:tcPr>
            <w:tcW w:w="5600" w:type="dxa"/>
          </w:tcPr>
          <w:p w14:paraId="13A7E77D" w14:textId="77777777" w:rsidR="0055133E" w:rsidRDefault="00000000">
            <w:pPr>
              <w:spacing w:after="0"/>
            </w:pPr>
            <w:r>
              <w:rPr>
                <w:b/>
                <w:sz w:val="18"/>
                <w:szCs w:val="18"/>
              </w:rPr>
              <w:t>Full citation</w:t>
            </w:r>
          </w:p>
        </w:tc>
        <w:tc>
          <w:tcPr>
            <w:tcW w:w="1700" w:type="dxa"/>
          </w:tcPr>
          <w:p w14:paraId="2B685338" w14:textId="77777777" w:rsidR="0055133E" w:rsidRDefault="00000000">
            <w:pPr>
              <w:spacing w:after="0"/>
            </w:pPr>
            <w:r>
              <w:rPr>
                <w:b/>
                <w:sz w:val="18"/>
                <w:szCs w:val="18"/>
              </w:rPr>
              <w:t>PMID</w:t>
            </w:r>
          </w:p>
        </w:tc>
        <w:tc>
          <w:tcPr>
            <w:tcW w:w="3000" w:type="dxa"/>
          </w:tcPr>
          <w:p w14:paraId="5C4D56A5" w14:textId="77777777" w:rsidR="0055133E" w:rsidRDefault="00000000">
            <w:pPr>
              <w:spacing w:after="0"/>
            </w:pPr>
            <w:r>
              <w:rPr>
                <w:b/>
                <w:sz w:val="18"/>
                <w:szCs w:val="18"/>
              </w:rPr>
              <w:t>Other identifiers</w:t>
            </w:r>
          </w:p>
        </w:tc>
        <w:tc>
          <w:tcPr>
            <w:tcW w:w="2400" w:type="dxa"/>
          </w:tcPr>
          <w:p w14:paraId="1E01E6D6" w14:textId="77777777" w:rsidR="0055133E" w:rsidRDefault="00000000">
            <w:pPr>
              <w:spacing w:after="0"/>
            </w:pPr>
            <w:r>
              <w:rPr>
                <w:b/>
                <w:sz w:val="18"/>
                <w:szCs w:val="18"/>
              </w:rPr>
              <w:t xml:space="preserve">Reconciliation </w:t>
            </w:r>
            <w:proofErr w:type="gramStart"/>
            <w:r>
              <w:rPr>
                <w:b/>
                <w:sz w:val="18"/>
                <w:szCs w:val="18"/>
              </w:rPr>
              <w:t>note</w:t>
            </w:r>
            <w:proofErr w:type="gramEnd"/>
          </w:p>
        </w:tc>
      </w:tr>
      <w:tr w:rsidR="0055133E" w14:paraId="300ACA13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</w:tcPr>
          <w:p w14:paraId="34A5262F" w14:textId="77777777" w:rsidR="0055133E" w:rsidRDefault="00000000">
            <w:pPr>
              <w:spacing w:after="0"/>
            </w:pPr>
            <w:r>
              <w:rPr>
                <w:sz w:val="18"/>
                <w:szCs w:val="18"/>
              </w:rPr>
              <w:t>rayyan-363141979</w:t>
            </w:r>
          </w:p>
        </w:tc>
        <w:tc>
          <w:tcPr>
            <w:tcW w:w="5600" w:type="dxa"/>
          </w:tcPr>
          <w:p w14:paraId="3EB69D7C" w14:textId="77777777" w:rsidR="0055133E" w:rsidRDefault="00000000">
            <w:pPr>
              <w:spacing w:after="0"/>
            </w:pPr>
            <w:r>
              <w:rPr>
                <w:sz w:val="18"/>
                <w:szCs w:val="18"/>
              </w:rPr>
              <w:t xml:space="preserve">Bernasconi S, Angelucci A, Rossi A, </w:t>
            </w:r>
            <w:proofErr w:type="spellStart"/>
            <w:r>
              <w:rPr>
                <w:sz w:val="18"/>
                <w:szCs w:val="18"/>
              </w:rPr>
              <w:t>Aliverti</w:t>
            </w:r>
            <w:proofErr w:type="spellEnd"/>
            <w:r>
              <w:rPr>
                <w:sz w:val="18"/>
                <w:szCs w:val="18"/>
              </w:rPr>
              <w:t xml:space="preserve"> A. A New Wearable System for Personal Air Pollution Exposure Estimation: Pilot Observational Study. JMIR </w:t>
            </w:r>
            <w:proofErr w:type="spellStart"/>
            <w:r>
              <w:rPr>
                <w:sz w:val="18"/>
                <w:szCs w:val="18"/>
              </w:rPr>
              <w:t>Mhealth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Uhealth</w:t>
            </w:r>
            <w:proofErr w:type="spellEnd"/>
            <w:r>
              <w:rPr>
                <w:sz w:val="18"/>
                <w:szCs w:val="18"/>
              </w:rPr>
              <w:t>. 2025 Jul 4;</w:t>
            </w:r>
            <w:proofErr w:type="gramStart"/>
            <w:r>
              <w:rPr>
                <w:sz w:val="18"/>
                <w:szCs w:val="18"/>
              </w:rPr>
              <w:t>13:e</w:t>
            </w:r>
            <w:proofErr w:type="gramEnd"/>
            <w:r>
              <w:rPr>
                <w:sz w:val="18"/>
                <w:szCs w:val="18"/>
              </w:rPr>
              <w:t>60426.</w:t>
            </w:r>
          </w:p>
        </w:tc>
        <w:tc>
          <w:tcPr>
            <w:tcW w:w="1700" w:type="dxa"/>
          </w:tcPr>
          <w:p w14:paraId="7EC471AA" w14:textId="77777777" w:rsidR="0055133E" w:rsidRDefault="00000000">
            <w:pPr>
              <w:spacing w:after="0"/>
            </w:pPr>
            <w:r>
              <w:rPr>
                <w:sz w:val="18"/>
                <w:szCs w:val="18"/>
              </w:rPr>
              <w:t>40614107</w:t>
            </w:r>
          </w:p>
        </w:tc>
        <w:tc>
          <w:tcPr>
            <w:tcW w:w="3000" w:type="dxa"/>
          </w:tcPr>
          <w:p w14:paraId="51497BDF" w14:textId="77777777" w:rsidR="0055133E" w:rsidRDefault="00000000">
            <w:pPr>
              <w:spacing w:after="0"/>
            </w:pPr>
            <w:proofErr w:type="spellStart"/>
            <w:r>
              <w:rPr>
                <w:sz w:val="18"/>
                <w:szCs w:val="18"/>
              </w:rPr>
              <w:t>doi</w:t>
            </w:r>
            <w:proofErr w:type="spellEnd"/>
            <w:r>
              <w:rPr>
                <w:sz w:val="18"/>
                <w:szCs w:val="18"/>
              </w:rPr>
              <w:t>: 10.2196/60426; PMCID: PMC12248256</w:t>
            </w:r>
          </w:p>
        </w:tc>
        <w:tc>
          <w:tcPr>
            <w:tcW w:w="2400" w:type="dxa"/>
          </w:tcPr>
          <w:p w14:paraId="0B21F042" w14:textId="77777777" w:rsidR="0055133E" w:rsidRDefault="00000000">
            <w:pPr>
              <w:spacing w:after="0"/>
            </w:pPr>
            <w:r>
              <w:rPr>
                <w:sz w:val="18"/>
                <w:szCs w:val="18"/>
              </w:rPr>
              <w:t>Included after Rayyan full-text screening; later excluded during data extraction in the source review.</w:t>
            </w:r>
          </w:p>
        </w:tc>
      </w:tr>
      <w:tr w:rsidR="0055133E" w14:paraId="020EC7BA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</w:tcPr>
          <w:p w14:paraId="28F71A4A" w14:textId="77777777" w:rsidR="0055133E" w:rsidRDefault="00000000">
            <w:pPr>
              <w:spacing w:after="0"/>
            </w:pPr>
            <w:r>
              <w:rPr>
                <w:sz w:val="18"/>
                <w:szCs w:val="18"/>
              </w:rPr>
              <w:t>rayyan-363142128</w:t>
            </w:r>
          </w:p>
        </w:tc>
        <w:tc>
          <w:tcPr>
            <w:tcW w:w="5600" w:type="dxa"/>
          </w:tcPr>
          <w:p w14:paraId="2AB84520" w14:textId="77777777" w:rsidR="0055133E" w:rsidRDefault="00000000">
            <w:pPr>
              <w:spacing w:after="0"/>
            </w:pPr>
            <w:r>
              <w:rPr>
                <w:sz w:val="18"/>
                <w:szCs w:val="18"/>
              </w:rPr>
              <w:t xml:space="preserve">Cipolla M, </w:t>
            </w:r>
            <w:proofErr w:type="spellStart"/>
            <w:r>
              <w:rPr>
                <w:sz w:val="18"/>
                <w:szCs w:val="18"/>
              </w:rPr>
              <w:t>Izzotti</w:t>
            </w:r>
            <w:proofErr w:type="spellEnd"/>
            <w:r>
              <w:rPr>
                <w:sz w:val="18"/>
                <w:szCs w:val="18"/>
              </w:rPr>
              <w:t xml:space="preserve"> A, Ansaldi F, Durando P, </w:t>
            </w:r>
            <w:proofErr w:type="spellStart"/>
            <w:r>
              <w:rPr>
                <w:sz w:val="18"/>
                <w:szCs w:val="18"/>
              </w:rPr>
              <w:t>Piccardo</w:t>
            </w:r>
            <w:proofErr w:type="spellEnd"/>
            <w:r>
              <w:rPr>
                <w:sz w:val="18"/>
                <w:szCs w:val="18"/>
              </w:rPr>
              <w:t xml:space="preserve"> MT. Volatile Organic Compounds in Anatomical Pathology Wards: Comparative and Qualitative Assessment of Indoor Airborne Pollution. Int J Environ Res Public Health. 2017 Jun 7;14(6):609.</w:t>
            </w:r>
          </w:p>
        </w:tc>
        <w:tc>
          <w:tcPr>
            <w:tcW w:w="1700" w:type="dxa"/>
          </w:tcPr>
          <w:p w14:paraId="7A40B7F6" w14:textId="77777777" w:rsidR="0055133E" w:rsidRDefault="00000000">
            <w:pPr>
              <w:spacing w:after="0"/>
            </w:pPr>
            <w:r>
              <w:rPr>
                <w:sz w:val="18"/>
                <w:szCs w:val="18"/>
              </w:rPr>
              <w:t>28590436</w:t>
            </w:r>
          </w:p>
        </w:tc>
        <w:tc>
          <w:tcPr>
            <w:tcW w:w="3000" w:type="dxa"/>
          </w:tcPr>
          <w:p w14:paraId="1FDE4251" w14:textId="77777777" w:rsidR="0055133E" w:rsidRDefault="00000000">
            <w:pPr>
              <w:spacing w:after="0"/>
            </w:pPr>
            <w:proofErr w:type="spellStart"/>
            <w:r>
              <w:rPr>
                <w:sz w:val="18"/>
                <w:szCs w:val="18"/>
              </w:rPr>
              <w:t>doi</w:t>
            </w:r>
            <w:proofErr w:type="spellEnd"/>
            <w:r>
              <w:rPr>
                <w:sz w:val="18"/>
                <w:szCs w:val="18"/>
              </w:rPr>
              <w:t>: 10.3390/ijerph14060609; PMCID: PMC5486295</w:t>
            </w:r>
          </w:p>
        </w:tc>
        <w:tc>
          <w:tcPr>
            <w:tcW w:w="2400" w:type="dxa"/>
          </w:tcPr>
          <w:p w14:paraId="2CA2F146" w14:textId="77777777" w:rsidR="0055133E" w:rsidRDefault="00000000">
            <w:pPr>
              <w:spacing w:after="0"/>
            </w:pPr>
            <w:r>
              <w:rPr>
                <w:sz w:val="18"/>
                <w:szCs w:val="18"/>
              </w:rPr>
              <w:t>Included after Rayyan full-text screening; later excluded during data extraction in the source review.</w:t>
            </w:r>
          </w:p>
        </w:tc>
      </w:tr>
      <w:tr w:rsidR="0055133E" w14:paraId="3606584E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</w:tcPr>
          <w:p w14:paraId="0C10CE04" w14:textId="77777777" w:rsidR="0055133E" w:rsidRDefault="00000000">
            <w:pPr>
              <w:spacing w:after="0"/>
            </w:pPr>
            <w:r>
              <w:rPr>
                <w:sz w:val="18"/>
                <w:szCs w:val="18"/>
              </w:rPr>
              <w:t>rayyan-363142218</w:t>
            </w:r>
          </w:p>
        </w:tc>
        <w:tc>
          <w:tcPr>
            <w:tcW w:w="5600" w:type="dxa"/>
          </w:tcPr>
          <w:p w14:paraId="7BBC1FB5" w14:textId="77777777" w:rsidR="0055133E" w:rsidRDefault="00000000">
            <w:pPr>
              <w:spacing w:after="0"/>
            </w:pPr>
            <w:r>
              <w:rPr>
                <w:sz w:val="18"/>
                <w:szCs w:val="18"/>
              </w:rPr>
              <w:t>Mannino MR, Orecchio S. Polycyclic aromatic hydrocarbons (PAHs) in indoor dust matter of Palermo (Italy) area: Extraction, GC-MS analysis, distribution and sources. Atmospheric Environment. 2008;42(8):1801-1817.</w:t>
            </w:r>
          </w:p>
        </w:tc>
        <w:tc>
          <w:tcPr>
            <w:tcW w:w="1700" w:type="dxa"/>
          </w:tcPr>
          <w:p w14:paraId="7B1952AF" w14:textId="77777777" w:rsidR="0055133E" w:rsidRDefault="00000000">
            <w:pPr>
              <w:spacing w:after="0"/>
            </w:pPr>
            <w:r>
              <w:rPr>
                <w:sz w:val="18"/>
                <w:szCs w:val="18"/>
              </w:rPr>
              <w:t>Not available; no PubMed record identified for the DOI.</w:t>
            </w:r>
          </w:p>
        </w:tc>
        <w:tc>
          <w:tcPr>
            <w:tcW w:w="3000" w:type="dxa"/>
          </w:tcPr>
          <w:p w14:paraId="158602E1" w14:textId="77777777" w:rsidR="0055133E" w:rsidRDefault="00000000">
            <w:pPr>
              <w:spacing w:after="0"/>
            </w:pPr>
            <w:proofErr w:type="spellStart"/>
            <w:r>
              <w:rPr>
                <w:sz w:val="18"/>
                <w:szCs w:val="18"/>
              </w:rPr>
              <w:t>doi</w:t>
            </w:r>
            <w:proofErr w:type="spellEnd"/>
            <w:r>
              <w:rPr>
                <w:sz w:val="18"/>
                <w:szCs w:val="18"/>
              </w:rPr>
              <w:t>: 10.1016/j.atmosenv.2007.11.031</w:t>
            </w:r>
          </w:p>
        </w:tc>
        <w:tc>
          <w:tcPr>
            <w:tcW w:w="2400" w:type="dxa"/>
          </w:tcPr>
          <w:p w14:paraId="51293C97" w14:textId="77777777" w:rsidR="0055133E" w:rsidRDefault="00000000">
            <w:pPr>
              <w:spacing w:after="0"/>
            </w:pPr>
            <w:r>
              <w:rPr>
                <w:sz w:val="18"/>
                <w:szCs w:val="18"/>
              </w:rPr>
              <w:t>Included after Rayyan full-text screening; later excluded during data extraction in the source review.</w:t>
            </w:r>
          </w:p>
        </w:tc>
      </w:tr>
      <w:tr w:rsidR="0055133E" w14:paraId="1A6CB3AB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</w:tcPr>
          <w:p w14:paraId="2C766DF2" w14:textId="77777777" w:rsidR="0055133E" w:rsidRDefault="00000000">
            <w:pPr>
              <w:spacing w:after="0"/>
            </w:pPr>
            <w:r>
              <w:rPr>
                <w:sz w:val="18"/>
                <w:szCs w:val="18"/>
              </w:rPr>
              <w:t>rayyan-363142446</w:t>
            </w:r>
          </w:p>
        </w:tc>
        <w:tc>
          <w:tcPr>
            <w:tcW w:w="5600" w:type="dxa"/>
          </w:tcPr>
          <w:p w14:paraId="5664ACF0" w14:textId="77777777" w:rsidR="0055133E" w:rsidRDefault="00000000">
            <w:pPr>
              <w:spacing w:after="0"/>
            </w:pPr>
            <w:r>
              <w:rPr>
                <w:sz w:val="18"/>
                <w:szCs w:val="18"/>
              </w:rPr>
              <w:t>de Gennaro G, Farella G, Marzocca A, Mazzone A, Tutino M. Indoor and outdoor monitoring of volatile organic compounds in school buildings: indicators based on health risk assessment to single out critical issues. Int J Environ Res Public Health. 2013 Nov 25;10(12):6273-6291.</w:t>
            </w:r>
          </w:p>
        </w:tc>
        <w:tc>
          <w:tcPr>
            <w:tcW w:w="1700" w:type="dxa"/>
          </w:tcPr>
          <w:p w14:paraId="6F4B4CB9" w14:textId="77777777" w:rsidR="0055133E" w:rsidRDefault="00000000">
            <w:pPr>
              <w:spacing w:after="0"/>
            </w:pPr>
            <w:r>
              <w:rPr>
                <w:sz w:val="18"/>
                <w:szCs w:val="18"/>
              </w:rPr>
              <w:t>24287852</w:t>
            </w:r>
          </w:p>
        </w:tc>
        <w:tc>
          <w:tcPr>
            <w:tcW w:w="3000" w:type="dxa"/>
          </w:tcPr>
          <w:p w14:paraId="36CB57BC" w14:textId="77777777" w:rsidR="0055133E" w:rsidRDefault="00000000">
            <w:pPr>
              <w:spacing w:after="0"/>
            </w:pPr>
            <w:proofErr w:type="spellStart"/>
            <w:r>
              <w:rPr>
                <w:sz w:val="18"/>
                <w:szCs w:val="18"/>
              </w:rPr>
              <w:t>doi</w:t>
            </w:r>
            <w:proofErr w:type="spellEnd"/>
            <w:r>
              <w:rPr>
                <w:sz w:val="18"/>
                <w:szCs w:val="18"/>
              </w:rPr>
              <w:t>: 10.3390/ijerph10126273; PMCID: PMC3881113</w:t>
            </w:r>
          </w:p>
        </w:tc>
        <w:tc>
          <w:tcPr>
            <w:tcW w:w="2400" w:type="dxa"/>
          </w:tcPr>
          <w:p w14:paraId="31F18AF5" w14:textId="77777777" w:rsidR="0055133E" w:rsidRDefault="00000000">
            <w:pPr>
              <w:spacing w:after="0"/>
            </w:pPr>
            <w:r>
              <w:rPr>
                <w:sz w:val="18"/>
                <w:szCs w:val="18"/>
              </w:rPr>
              <w:t>Included after Rayyan full-text screening; later excluded during data extraction in the source review.</w:t>
            </w:r>
          </w:p>
        </w:tc>
      </w:tr>
    </w:tbl>
    <w:p w14:paraId="573578B8" w14:textId="77777777" w:rsidR="0055133E" w:rsidRDefault="0055133E"/>
    <w:p w14:paraId="3964FD44" w14:textId="77777777" w:rsidR="0055133E" w:rsidRDefault="00000000">
      <w:pPr>
        <w:spacing w:after="120"/>
      </w:pPr>
      <w:r>
        <w:rPr>
          <w:b/>
        </w:rPr>
        <w:t>Table S2. Additional Rayyan not-retrieved record not counted as not retrieved in the source-review PRISMA diagram</w:t>
      </w:r>
    </w:p>
    <w:tbl>
      <w:tblPr>
        <w:tblW w:w="0" w:type="auto"/>
        <w:tblInd w:w="1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0"/>
        <w:gridCol w:w="5600"/>
        <w:gridCol w:w="1700"/>
        <w:gridCol w:w="3000"/>
        <w:gridCol w:w="2400"/>
      </w:tblGrid>
      <w:tr w:rsidR="0055133E" w14:paraId="2AFBFE74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</w:tcPr>
          <w:p w14:paraId="7254EC0C" w14:textId="77777777" w:rsidR="0055133E" w:rsidRDefault="00000000">
            <w:pPr>
              <w:spacing w:after="0"/>
            </w:pPr>
            <w:r>
              <w:rPr>
                <w:b/>
                <w:sz w:val="18"/>
                <w:szCs w:val="18"/>
              </w:rPr>
              <w:t>Rayyan key</w:t>
            </w:r>
          </w:p>
        </w:tc>
        <w:tc>
          <w:tcPr>
            <w:tcW w:w="5600" w:type="dxa"/>
          </w:tcPr>
          <w:p w14:paraId="3EF07A1A" w14:textId="77777777" w:rsidR="0055133E" w:rsidRDefault="00000000">
            <w:pPr>
              <w:spacing w:after="0"/>
            </w:pPr>
            <w:r>
              <w:rPr>
                <w:b/>
                <w:sz w:val="18"/>
                <w:szCs w:val="18"/>
              </w:rPr>
              <w:t>Full citation</w:t>
            </w:r>
          </w:p>
        </w:tc>
        <w:tc>
          <w:tcPr>
            <w:tcW w:w="1700" w:type="dxa"/>
          </w:tcPr>
          <w:p w14:paraId="2A890719" w14:textId="77777777" w:rsidR="0055133E" w:rsidRDefault="00000000">
            <w:pPr>
              <w:spacing w:after="0"/>
            </w:pPr>
            <w:r>
              <w:rPr>
                <w:b/>
                <w:sz w:val="18"/>
                <w:szCs w:val="18"/>
              </w:rPr>
              <w:t>PMID</w:t>
            </w:r>
          </w:p>
        </w:tc>
        <w:tc>
          <w:tcPr>
            <w:tcW w:w="3000" w:type="dxa"/>
          </w:tcPr>
          <w:p w14:paraId="65E200C7" w14:textId="77777777" w:rsidR="0055133E" w:rsidRDefault="00000000">
            <w:pPr>
              <w:spacing w:after="0"/>
            </w:pPr>
            <w:r>
              <w:rPr>
                <w:b/>
                <w:sz w:val="18"/>
                <w:szCs w:val="18"/>
              </w:rPr>
              <w:t>Other identifiers</w:t>
            </w:r>
          </w:p>
        </w:tc>
        <w:tc>
          <w:tcPr>
            <w:tcW w:w="2400" w:type="dxa"/>
          </w:tcPr>
          <w:p w14:paraId="2A44C310" w14:textId="77777777" w:rsidR="0055133E" w:rsidRDefault="00000000">
            <w:pPr>
              <w:spacing w:after="0"/>
            </w:pPr>
            <w:r>
              <w:rPr>
                <w:b/>
                <w:sz w:val="18"/>
                <w:szCs w:val="18"/>
              </w:rPr>
              <w:t xml:space="preserve">Reconciliation </w:t>
            </w:r>
            <w:proofErr w:type="gramStart"/>
            <w:r>
              <w:rPr>
                <w:b/>
                <w:sz w:val="18"/>
                <w:szCs w:val="18"/>
              </w:rPr>
              <w:t>note</w:t>
            </w:r>
            <w:proofErr w:type="gramEnd"/>
          </w:p>
        </w:tc>
      </w:tr>
      <w:tr w:rsidR="0055133E" w14:paraId="3E6D7CAA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</w:tcPr>
          <w:p w14:paraId="205D601D" w14:textId="77777777" w:rsidR="0055133E" w:rsidRDefault="00000000">
            <w:pPr>
              <w:spacing w:after="0"/>
            </w:pPr>
            <w:r>
              <w:rPr>
                <w:sz w:val="18"/>
                <w:szCs w:val="18"/>
              </w:rPr>
              <w:t>rayyan-363142679</w:t>
            </w:r>
          </w:p>
        </w:tc>
        <w:tc>
          <w:tcPr>
            <w:tcW w:w="5600" w:type="dxa"/>
          </w:tcPr>
          <w:p w14:paraId="393D0650" w14:textId="77777777" w:rsidR="0055133E" w:rsidRDefault="00000000">
            <w:pPr>
              <w:spacing w:after="0"/>
            </w:pPr>
            <w:r>
              <w:rPr>
                <w:sz w:val="18"/>
                <w:szCs w:val="18"/>
              </w:rPr>
              <w:t xml:space="preserve">Ferrari M, </w:t>
            </w:r>
            <w:proofErr w:type="spellStart"/>
            <w:r>
              <w:rPr>
                <w:sz w:val="18"/>
                <w:szCs w:val="18"/>
              </w:rPr>
              <w:t>Lodola</w:t>
            </w:r>
            <w:proofErr w:type="spellEnd"/>
            <w:r>
              <w:rPr>
                <w:sz w:val="18"/>
                <w:szCs w:val="18"/>
              </w:rPr>
              <w:t xml:space="preserve"> L, </w:t>
            </w:r>
            <w:proofErr w:type="spellStart"/>
            <w:r>
              <w:rPr>
                <w:sz w:val="18"/>
                <w:szCs w:val="18"/>
              </w:rPr>
              <w:t>Ghittori</w:t>
            </w:r>
            <w:proofErr w:type="spellEnd"/>
            <w:r>
              <w:rPr>
                <w:sz w:val="18"/>
                <w:szCs w:val="18"/>
              </w:rPr>
              <w:t xml:space="preserve"> S, Zadra P, Ricciardi L, Imbriani M. [Indoor air quality in an Italian military submarine]. G Ital Med Lav Ergon. 2005 Jul-Sep;27(3):308-311.</w:t>
            </w:r>
          </w:p>
        </w:tc>
        <w:tc>
          <w:tcPr>
            <w:tcW w:w="1700" w:type="dxa"/>
          </w:tcPr>
          <w:p w14:paraId="7527F35E" w14:textId="77777777" w:rsidR="0055133E" w:rsidRDefault="00000000">
            <w:pPr>
              <w:spacing w:after="0"/>
            </w:pPr>
            <w:r>
              <w:rPr>
                <w:sz w:val="18"/>
                <w:szCs w:val="18"/>
              </w:rPr>
              <w:t>16240581</w:t>
            </w:r>
          </w:p>
        </w:tc>
        <w:tc>
          <w:tcPr>
            <w:tcW w:w="3000" w:type="dxa"/>
          </w:tcPr>
          <w:p w14:paraId="18B041DB" w14:textId="77777777" w:rsidR="0055133E" w:rsidRDefault="00000000">
            <w:pPr>
              <w:spacing w:after="0"/>
            </w:pPr>
            <w:r>
              <w:rPr>
                <w:sz w:val="18"/>
                <w:szCs w:val="18"/>
              </w:rPr>
              <w:t>None identified in PubMed.</w:t>
            </w:r>
          </w:p>
        </w:tc>
        <w:tc>
          <w:tcPr>
            <w:tcW w:w="2400" w:type="dxa"/>
          </w:tcPr>
          <w:p w14:paraId="3CDB26D5" w14:textId="77777777" w:rsidR="0055133E" w:rsidRDefault="00000000">
            <w:pPr>
              <w:spacing w:after="0"/>
            </w:pPr>
            <w:r>
              <w:rPr>
                <w:sz w:val="18"/>
                <w:szCs w:val="18"/>
              </w:rPr>
              <w:t xml:space="preserve">Marked as not retrieved in the Rayyan exports. A scanned document was available but could not be uploaded to </w:t>
            </w:r>
            <w:proofErr w:type="spellStart"/>
            <w:r>
              <w:rPr>
                <w:sz w:val="18"/>
                <w:szCs w:val="18"/>
              </w:rPr>
              <w:t>Zenodo</w:t>
            </w:r>
            <w:proofErr w:type="spellEnd"/>
            <w:r>
              <w:rPr>
                <w:sz w:val="18"/>
                <w:szCs w:val="18"/>
              </w:rPr>
              <w:t>. The record was later excluded during full-text screening.</w:t>
            </w:r>
          </w:p>
        </w:tc>
      </w:tr>
    </w:tbl>
    <w:p w14:paraId="328CBAA9" w14:textId="77777777" w:rsidR="008302DB" w:rsidRDefault="008302DB" w:rsidP="008302DB">
      <w:pPr>
        <w:spacing w:after="120"/>
        <w:rPr>
          <w:b/>
        </w:rPr>
      </w:pPr>
    </w:p>
    <w:p w14:paraId="48D19EEA" w14:textId="5D557595" w:rsidR="008302DB" w:rsidRDefault="008302DB" w:rsidP="008302DB">
      <w:pPr>
        <w:spacing w:after="120"/>
      </w:pPr>
      <w:r>
        <w:rPr>
          <w:b/>
        </w:rPr>
        <w:t>Reference</w:t>
      </w:r>
    </w:p>
    <w:p w14:paraId="2CCA4F80" w14:textId="53F8D4F5" w:rsidR="008302DB" w:rsidRDefault="008302DB" w:rsidP="008302DB">
      <w:r>
        <w:rPr>
          <w:sz w:val="22"/>
          <w:szCs w:val="22"/>
        </w:rPr>
        <w:t xml:space="preserve">[18] </w:t>
      </w:r>
      <w:r>
        <w:rPr>
          <w:sz w:val="22"/>
          <w:szCs w:val="22"/>
        </w:rPr>
        <w:tab/>
      </w:r>
      <w:r>
        <w:rPr>
          <w:sz w:val="22"/>
          <w:szCs w:val="22"/>
        </w:rPr>
        <w:t xml:space="preserve">Fontana L, Simniceanu A, Di Marco M, </w:t>
      </w:r>
      <w:proofErr w:type="spellStart"/>
      <w:r>
        <w:rPr>
          <w:sz w:val="22"/>
          <w:szCs w:val="22"/>
        </w:rPr>
        <w:t>Silenzi</w:t>
      </w:r>
      <w:proofErr w:type="spellEnd"/>
      <w:r>
        <w:rPr>
          <w:sz w:val="22"/>
          <w:szCs w:val="22"/>
        </w:rPr>
        <w:t xml:space="preserve"> A, Solomon MT, Abdella SB, et al. Indoor air quality and health-relevant exposure in Italy: a systematic review of measured pollutant concentrations, guideline exceedances, and radon-attributable risk. Building and Environment. 2026; Unpublished manuscript, submitted for publication on 11 June 2026.</w:t>
      </w:r>
    </w:p>
    <w:p w14:paraId="095463F2" w14:textId="77777777" w:rsidR="00326765" w:rsidRDefault="00326765"/>
    <w:sectPr w:rsidR="00326765">
      <w:pgSz w:w="15840" w:h="12240" w:orient="landscape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133E"/>
    <w:rsid w:val="00326765"/>
    <w:rsid w:val="004113C7"/>
    <w:rsid w:val="0055133E"/>
    <w:rsid w:val="008302DB"/>
    <w:rsid w:val="00D3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DB502"/>
  <w15:docId w15:val="{861206FC-2074-41CB-A343-3C77A6CE6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CH" w:eastAsia="en-CH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647</Words>
  <Characters>3688</Characters>
  <Application>Microsoft Office Word</Application>
  <DocSecurity>0</DocSecurity>
  <Lines>30</Lines>
  <Paragraphs>8</Paragraphs>
  <ScaleCrop>false</ScaleCrop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Supplementary Note S1. Reconciliation of Rayyan screening exports with the source-review PRISMA diagram</dc:title>
  <dc:creator>Prospective validation of NeutrinoReview study team</dc:creator>
  <cp:lastModifiedBy>Elias Sandner</cp:lastModifiedBy>
  <cp:revision>3</cp:revision>
  <dcterms:created xsi:type="dcterms:W3CDTF">2026-06-17T18:16:00Z</dcterms:created>
  <dcterms:modified xsi:type="dcterms:W3CDTF">2026-06-18T08:52:00Z</dcterms:modified>
</cp:coreProperties>
</file>