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892D" w14:textId="77777777" w:rsidR="00D7742B" w:rsidRPr="00F148F9" w:rsidRDefault="00000000" w:rsidP="00F148F9">
      <w:pPr>
        <w:pStyle w:val="berschrift1"/>
        <w:jc w:val="both"/>
        <w:rPr>
          <w:rFonts w:ascii="Arial" w:hAnsi="Arial" w:cs="Arial"/>
          <w:b w:val="0"/>
          <w:bCs w:val="0"/>
        </w:rPr>
      </w:pPr>
      <w:bookmarkStart w:id="0" w:name="online-resource-1"/>
      <w:r w:rsidRPr="00F148F9">
        <w:rPr>
          <w:rFonts w:ascii="Arial" w:hAnsi="Arial" w:cs="Arial"/>
          <w:b w:val="0"/>
          <w:bCs w:val="0"/>
        </w:rPr>
        <w:t>Online Resource 1</w:t>
      </w:r>
      <w:bookmarkEnd w:id="0"/>
    </w:p>
    <w:p w14:paraId="51215BFD" w14:textId="77777777" w:rsidR="00D7742B" w:rsidRPr="00F148F9" w:rsidRDefault="00000000" w:rsidP="00F148F9">
      <w:pPr>
        <w:pStyle w:val="berschrift2"/>
        <w:jc w:val="both"/>
        <w:rPr>
          <w:rFonts w:ascii="Arial" w:hAnsi="Arial" w:cs="Arial"/>
          <w:b w:val="0"/>
          <w:bCs w:val="0"/>
        </w:rPr>
      </w:pPr>
      <w:bookmarkStart w:id="1" w:name="X5258b23d4032a2ea8b35de69abb623e4bb40fea"/>
      <w:r w:rsidRPr="00F148F9">
        <w:rPr>
          <w:rFonts w:ascii="Arial" w:hAnsi="Arial" w:cs="Arial"/>
          <w:b w:val="0"/>
          <w:bCs w:val="0"/>
        </w:rPr>
        <w:t>Distinct Molecular Pathways Driving Thymic and Pulmonary Neuroendocrine Neoplasms</w:t>
      </w:r>
      <w:bookmarkEnd w:id="1"/>
    </w:p>
    <w:p w14:paraId="07D2CE2F" w14:textId="77777777" w:rsidR="00D7742B" w:rsidRPr="00F148F9" w:rsidRDefault="00000000" w:rsidP="00F148F9">
      <w:pPr>
        <w:pStyle w:val="FirstParagraph"/>
        <w:jc w:val="both"/>
        <w:rPr>
          <w:rFonts w:ascii="Arial" w:hAnsi="Arial" w:cs="Arial"/>
        </w:rPr>
      </w:pPr>
      <w:r w:rsidRPr="00F148F9">
        <w:rPr>
          <w:rFonts w:ascii="Arial" w:hAnsi="Arial" w:cs="Arial"/>
        </w:rPr>
        <w:t>Hanibal Bohnenberger, Stefan Küffer, Arber Qoku, Julius Bodemeyer, Nelia Nause, Björn Häupl, Kirsten Reuter-Jessen, Tessa Rosenthal, Linja Feldmann, Katharina Ofner, Daniela Frances, Celia Vogel, Christof Lenz, Omar Elakad, Denise Müller, Alexander Otto König, Tobias R. Overbeck, Alexander von Hammerstein-Equord, Marc Hinterthaner, Stefan Welter, Henning Urlaub, Florian Buettner, Thomas Oellerich, Alexander Marx, and Philipp Ströbel</w:t>
      </w:r>
    </w:p>
    <w:p w14:paraId="3D3C8950" w14:textId="77777777" w:rsidR="00D7742B" w:rsidRPr="00F148F9" w:rsidRDefault="000A3A35" w:rsidP="00F148F9">
      <w:pPr>
        <w:jc w:val="both"/>
        <w:rPr>
          <w:rFonts w:ascii="Arial" w:hAnsi="Arial" w:cs="Arial"/>
        </w:rPr>
      </w:pPr>
      <w:r w:rsidRPr="000A3A35">
        <w:rPr>
          <w:rFonts w:ascii="Arial" w:hAnsi="Arial" w:cs="Arial"/>
          <w:noProof/>
        </w:rPr>
        <w:pict w14:anchorId="533A849C">
          <v:rect id="_x0000_i1025" alt="" style="width:453.6pt;height:.05pt;mso-width-percent:0;mso-height-percent:0;mso-width-percent:0;mso-height-percent:0" o:hralign="center" o:hrstd="t" o:hr="t"/>
        </w:pict>
      </w:r>
    </w:p>
    <w:p w14:paraId="566C8A4B" w14:textId="77777777" w:rsidR="00D7742B" w:rsidRPr="00F148F9" w:rsidRDefault="00000000" w:rsidP="00F148F9">
      <w:pPr>
        <w:pStyle w:val="berschrift2"/>
        <w:jc w:val="both"/>
        <w:rPr>
          <w:rFonts w:ascii="Arial" w:hAnsi="Arial" w:cs="Arial"/>
          <w:b w:val="0"/>
          <w:bCs w:val="0"/>
        </w:rPr>
      </w:pPr>
      <w:bookmarkStart w:id="2" w:name="supplementary-methods"/>
      <w:r w:rsidRPr="00F148F9">
        <w:rPr>
          <w:rFonts w:ascii="Arial" w:hAnsi="Arial" w:cs="Arial"/>
          <w:b w:val="0"/>
          <w:bCs w:val="0"/>
        </w:rPr>
        <w:t>Supplementary Methods</w:t>
      </w:r>
      <w:bookmarkEnd w:id="2"/>
    </w:p>
    <w:p w14:paraId="1D023CFC" w14:textId="77777777" w:rsidR="00D7742B" w:rsidRPr="00F148F9" w:rsidRDefault="00000000" w:rsidP="00F148F9">
      <w:pPr>
        <w:pStyle w:val="berschrift3"/>
        <w:jc w:val="both"/>
        <w:rPr>
          <w:rFonts w:ascii="Arial" w:hAnsi="Arial" w:cs="Arial"/>
          <w:b w:val="0"/>
          <w:bCs w:val="0"/>
        </w:rPr>
      </w:pPr>
      <w:bookmarkStart w:id="3" w:name="immunohistochemistry-scoring-details"/>
      <w:r w:rsidRPr="00F148F9">
        <w:rPr>
          <w:rFonts w:ascii="Arial" w:hAnsi="Arial" w:cs="Arial"/>
          <w:b w:val="0"/>
          <w:bCs w:val="0"/>
        </w:rPr>
        <w:t>Immunohistochemistry — Scoring Details</w:t>
      </w:r>
      <w:bookmarkEnd w:id="3"/>
    </w:p>
    <w:p w14:paraId="79EA4BF0" w14:textId="77777777" w:rsidR="00D7742B" w:rsidRPr="00F148F9" w:rsidRDefault="00000000" w:rsidP="00F148F9">
      <w:pPr>
        <w:pStyle w:val="FirstParagraph"/>
        <w:jc w:val="both"/>
        <w:rPr>
          <w:rFonts w:ascii="Arial" w:hAnsi="Arial" w:cs="Arial"/>
        </w:rPr>
      </w:pPr>
      <w:r w:rsidRPr="00F148F9">
        <w:rPr>
          <w:rFonts w:ascii="Arial" w:hAnsi="Arial" w:cs="Arial"/>
        </w:rPr>
        <w:t>Immunohistochemistry (IHC) was performed after antigen retrieval on a Dako Autostainer platform using Dako EnV FLEX Peroxidase as the detection system. All stains were performed using standard protocols. The antibody against CD44 was purchased from Sigma-Aldrich (1:1000). Immunohistochemical stains were evaluated using a three-tiered scoring system for staining intensity:</w:t>
      </w:r>
    </w:p>
    <w:p w14:paraId="2C701F77" w14:textId="77777777" w:rsidR="00D7742B" w:rsidRPr="00F148F9" w:rsidRDefault="00000000" w:rsidP="00F148F9">
      <w:pPr>
        <w:pStyle w:val="Compact"/>
        <w:numPr>
          <w:ilvl w:val="0"/>
          <w:numId w:val="2"/>
        </w:numPr>
        <w:jc w:val="both"/>
        <w:rPr>
          <w:rFonts w:ascii="Arial" w:hAnsi="Arial" w:cs="Arial"/>
        </w:rPr>
      </w:pPr>
      <w:r w:rsidRPr="00F148F9">
        <w:rPr>
          <w:rFonts w:ascii="Arial" w:hAnsi="Arial" w:cs="Arial"/>
        </w:rPr>
        <w:t>Negative: no staining or weak staining in up to 25% of cells</w:t>
      </w:r>
    </w:p>
    <w:p w14:paraId="6473D3A6" w14:textId="77777777" w:rsidR="00D7742B" w:rsidRPr="00F148F9" w:rsidRDefault="00000000" w:rsidP="00F148F9">
      <w:pPr>
        <w:pStyle w:val="Compact"/>
        <w:numPr>
          <w:ilvl w:val="0"/>
          <w:numId w:val="2"/>
        </w:numPr>
        <w:jc w:val="both"/>
        <w:rPr>
          <w:rFonts w:ascii="Arial" w:hAnsi="Arial" w:cs="Arial"/>
        </w:rPr>
      </w:pPr>
      <w:r w:rsidRPr="00F148F9">
        <w:rPr>
          <w:rFonts w:ascii="Arial" w:hAnsi="Arial" w:cs="Arial"/>
        </w:rPr>
        <w:t>Weakly positive: weak staining in less than 50% of cells or moderate staining in up to 25% of cells</w:t>
      </w:r>
    </w:p>
    <w:p w14:paraId="4A8B62B8" w14:textId="77777777" w:rsidR="00D7742B" w:rsidRPr="00F148F9" w:rsidRDefault="00000000" w:rsidP="00F148F9">
      <w:pPr>
        <w:pStyle w:val="Compact"/>
        <w:numPr>
          <w:ilvl w:val="0"/>
          <w:numId w:val="2"/>
        </w:numPr>
        <w:jc w:val="both"/>
        <w:rPr>
          <w:rFonts w:ascii="Arial" w:hAnsi="Arial" w:cs="Arial"/>
        </w:rPr>
      </w:pPr>
      <w:r w:rsidRPr="00F148F9">
        <w:rPr>
          <w:rFonts w:ascii="Arial" w:hAnsi="Arial" w:cs="Arial"/>
        </w:rPr>
        <w:t>Positive: weak expression in more than 50% of cells or moderate to strong expression in at least 25% of cells</w:t>
      </w:r>
    </w:p>
    <w:p w14:paraId="6056F765" w14:textId="77777777" w:rsidR="00D7742B" w:rsidRPr="00F148F9" w:rsidRDefault="00000000" w:rsidP="00F148F9">
      <w:pPr>
        <w:pStyle w:val="berschrift3"/>
        <w:jc w:val="both"/>
        <w:rPr>
          <w:rFonts w:ascii="Arial" w:hAnsi="Arial" w:cs="Arial"/>
          <w:b w:val="0"/>
          <w:bCs w:val="0"/>
        </w:rPr>
      </w:pPr>
      <w:bookmarkStart w:id="4" w:name="X5a0e78303e35799f7f4d99cb6aeb610e6925650"/>
      <w:r w:rsidRPr="00F148F9">
        <w:rPr>
          <w:rFonts w:ascii="Arial" w:hAnsi="Arial" w:cs="Arial"/>
          <w:b w:val="0"/>
          <w:bCs w:val="0"/>
        </w:rPr>
        <w:t>Mass Spectrometry and Proteomic Analysis — Detailed Protocol</w:t>
      </w:r>
      <w:bookmarkEnd w:id="4"/>
    </w:p>
    <w:p w14:paraId="035DD3A2" w14:textId="77777777" w:rsidR="00D7742B" w:rsidRPr="00F148F9" w:rsidRDefault="00000000" w:rsidP="00F148F9">
      <w:pPr>
        <w:pStyle w:val="FirstParagraph"/>
        <w:jc w:val="both"/>
        <w:rPr>
          <w:rFonts w:ascii="Arial" w:hAnsi="Arial" w:cs="Arial"/>
        </w:rPr>
      </w:pPr>
      <w:r w:rsidRPr="00F148F9">
        <w:rPr>
          <w:rFonts w:ascii="Arial" w:hAnsi="Arial" w:cs="Arial"/>
        </w:rPr>
        <w:t xml:space="preserve">FFPE tissue samples of neuroendocrine neoplasms were processed for mass spectrometry as previously reported [12]. Briefly, tumor regions containing ≥80% tumor cells were identified on H&amp;E-stained sections by a pathologist, and the corresponding areas from five consecutive unstained 10 µm sections were isolated by macrodissection. Tumor material was deparaffinized, resuspended in lysis buffer (100 mM ammonium bicarbonate, 4% SDS, 50 mM TCEP), incubated at 90 °C and centrifuged. Aliquots of 50 µg clarified tissue lysate were mixed 1:1 with a Super-SILAC protein standard composed of the neuroendocrine cell lines UMC11, H727, BON1, and NET18P. UMC11 and H727 were purchased from ATCC (American Type Culture Collection, Manassas, Virginia). BON1 cells were kindly provided by the Department of Gastroenterology, Gastrointestinal Oncology and Endocrinology, University Medical Center Göttingen (A. König), and NET18P cells by the ENETS Center of Excellence, University Medical Center Hamburg-Eppendorf (J. Schrader). All cell lines were metabolically labelled with heavy isotopes of arginine (Arg+10) and lysine (Lys+8). Protein mixtures were processed by filter-aided sample preparation (FASP), including urea washing, alkylation with iodoacetamide, and overnight trypsin digestion. Peptides were fractionated using the Pierce™ High pH </w:t>
      </w:r>
      <w:r w:rsidRPr="00F148F9">
        <w:rPr>
          <w:rFonts w:ascii="Arial" w:hAnsi="Arial" w:cs="Arial"/>
        </w:rPr>
        <w:lastRenderedPageBreak/>
        <w:t>Reversed-Phase Peptide Fractionation Kit and separated by nano-HPLC (UltiMate 3000 RSLCnano, Thermo Fisher Scientific) coupled online to an Orbitrap Fusion mass spectrometer operating in data-dependent Top Speed mode. MS/MS spectra were analyzed in MaxQuant using the Andromeda search engine against the UniProtKB/Swiss-Prot human reference proteome, with precursor and fragment ion tolerances of 6 ppm and 20 ppm, respectively, 1% FDR at peptide and protein levels, and SILAC-based quantification (Lys+0/Arg+0 and Lys+8/Arg+10).</w:t>
      </w:r>
    </w:p>
    <w:p w14:paraId="418C9D95" w14:textId="77777777" w:rsidR="00D7742B" w:rsidRPr="00F148F9" w:rsidRDefault="00000000" w:rsidP="00F148F9">
      <w:pPr>
        <w:pStyle w:val="berschrift3"/>
        <w:jc w:val="both"/>
        <w:rPr>
          <w:rFonts w:ascii="Arial" w:hAnsi="Arial" w:cs="Arial"/>
          <w:b w:val="0"/>
          <w:bCs w:val="0"/>
        </w:rPr>
      </w:pPr>
      <w:bookmarkStart w:id="5" w:name="X8ad5dd0d4e20f63a2b51d492c6aa1be682d1808"/>
      <w:r w:rsidRPr="00F148F9">
        <w:rPr>
          <w:rFonts w:ascii="Arial" w:hAnsi="Arial" w:cs="Arial"/>
          <w:b w:val="0"/>
          <w:bCs w:val="0"/>
        </w:rPr>
        <w:t>Gene Expression Profiling — RNA Isolation and Quality Control</w:t>
      </w:r>
      <w:bookmarkEnd w:id="5"/>
    </w:p>
    <w:p w14:paraId="4A862BA7" w14:textId="77777777" w:rsidR="00D7742B" w:rsidRPr="00F148F9" w:rsidRDefault="00000000" w:rsidP="00F148F9">
      <w:pPr>
        <w:pStyle w:val="FirstParagraph"/>
        <w:jc w:val="both"/>
        <w:rPr>
          <w:rFonts w:ascii="Arial" w:hAnsi="Arial" w:cs="Arial"/>
        </w:rPr>
      </w:pPr>
      <w:r w:rsidRPr="00F148F9">
        <w:rPr>
          <w:rFonts w:ascii="Arial" w:hAnsi="Arial" w:cs="Arial"/>
        </w:rPr>
        <w:t>Probe material was collected from 4 marked sections of 10 µm FFPE slices by scratching the areas with a scalpel. RNA was isolated according to the manufacturer’s recommendations using the “Purification of Total RNA from FFPE Tissue Sections” protocol of the RNeasy FFPE Kit (Qiagen, Hilden, Germany). The RNA was checked for quality and quantity using the NanoDrop 2000 and the 2100 Bioanalyzer RNA 6000 Nano Kit (Agilent). 200 ng RNA of each sample was hybridized for 15 hours and analyzed on the nCounter® Analysis Systems (NanoString, Seattle, USA) using the nCounter PanCancer Pathway Panel including 770 genes of 13 cancer-associated canonical pathways.</w:t>
      </w:r>
    </w:p>
    <w:p w14:paraId="18458D4C" w14:textId="77777777" w:rsidR="00D7742B" w:rsidRPr="00F148F9" w:rsidRDefault="00000000" w:rsidP="00F148F9">
      <w:pPr>
        <w:pStyle w:val="berschrift3"/>
        <w:jc w:val="both"/>
        <w:rPr>
          <w:rFonts w:ascii="Arial" w:hAnsi="Arial" w:cs="Arial"/>
          <w:b w:val="0"/>
          <w:bCs w:val="0"/>
        </w:rPr>
      </w:pPr>
      <w:bookmarkStart w:id="6" w:name="Xc95d61f9b32f575673ecc065e272a577dd4fa5d"/>
      <w:r w:rsidRPr="00F148F9">
        <w:rPr>
          <w:rFonts w:ascii="Arial" w:hAnsi="Arial" w:cs="Arial"/>
          <w:b w:val="0"/>
          <w:bCs w:val="0"/>
        </w:rPr>
        <w:t>Next-Generation Sequencing — Detailed Pipeline</w:t>
      </w:r>
      <w:bookmarkEnd w:id="6"/>
    </w:p>
    <w:p w14:paraId="3F4A581A" w14:textId="77777777" w:rsidR="00D7742B" w:rsidRPr="00F148F9" w:rsidRDefault="00000000" w:rsidP="00F148F9">
      <w:pPr>
        <w:pStyle w:val="FirstParagraph"/>
        <w:jc w:val="both"/>
        <w:rPr>
          <w:rFonts w:ascii="Arial" w:hAnsi="Arial" w:cs="Arial"/>
        </w:rPr>
      </w:pPr>
      <w:r w:rsidRPr="00F148F9">
        <w:rPr>
          <w:rFonts w:ascii="Arial" w:hAnsi="Arial" w:cs="Arial"/>
        </w:rPr>
        <w:t>Targeted sequencing was performed as previously described [13] using the TruSight Oncology 500 (TSO500) panel (Illumina, San Diego, CA, USA), covering 523 cancer-related genes to detect single- and multiple-nucleotide variants, copy-number variants, microsatellite instability, and tumor mutational burden. Libraries were prepared according to the manufacturer’s protocol and sequenced on an Illumina NextSeq 500/550 system with a paired-end 2 × 101 bp configuration. Raw BCL files were converted to FASTQ using bcl2fastq v2.20, and data processing, including alignment to the GRCh38/hg38 reference genome and variant calling was performed with the TSO500 Local App under default parameters. Variants were annotated and classified using ClinVar and OncoKB. The mean on-target coverage was approximately ≥500×, with a minimum of 100× for confident variant calling.</w:t>
      </w:r>
    </w:p>
    <w:p w14:paraId="2222BFD4" w14:textId="77777777" w:rsidR="00D7742B" w:rsidRPr="00F148F9" w:rsidRDefault="00000000" w:rsidP="00F148F9">
      <w:pPr>
        <w:pStyle w:val="Textkrper"/>
        <w:jc w:val="both"/>
        <w:rPr>
          <w:rFonts w:ascii="Arial" w:hAnsi="Arial" w:cs="Arial"/>
        </w:rPr>
      </w:pPr>
      <w:r w:rsidRPr="00F148F9">
        <w:rPr>
          <w:rFonts w:ascii="Arial" w:hAnsi="Arial" w:cs="Arial"/>
        </w:rPr>
        <w:t>For a subset of cases (n=5), whole-exome sequencing (WES) was performed using Illumina library preparation chemistry and sequenced on an Illumina platform in paired-end mode. Reads were aligned to the GRCh38/hg38 reference genome, and variant calling and annotation were performed with the same ClinVar and OncoKB reference databases. One additional case was analyzed using the Oncomine Comprehensive Panel v3 (Thermo Fisher Scientific, Waltham, MA, USA). Due to differences in genomic coverage and variant-calling algorithms across platforms, tumor mutational burden (TMB) values are reported for the TSO500 subcohort only and are not directly comparable between sequencing approaches.</w:t>
      </w:r>
    </w:p>
    <w:p w14:paraId="2A25EE73" w14:textId="77777777" w:rsidR="00D7742B" w:rsidRPr="00F148F9" w:rsidRDefault="00000000" w:rsidP="00F148F9">
      <w:pPr>
        <w:pStyle w:val="berschrift3"/>
        <w:jc w:val="both"/>
        <w:rPr>
          <w:rFonts w:ascii="Arial" w:hAnsi="Arial" w:cs="Arial"/>
          <w:b w:val="0"/>
          <w:bCs w:val="0"/>
        </w:rPr>
      </w:pPr>
      <w:bookmarkStart w:id="7" w:name="X2669ee467e6e1d34f5dacd48e3a12d1fa64efd7"/>
      <w:r w:rsidRPr="00F148F9">
        <w:rPr>
          <w:rFonts w:ascii="Arial" w:hAnsi="Arial" w:cs="Arial"/>
          <w:b w:val="0"/>
          <w:bCs w:val="0"/>
        </w:rPr>
        <w:t>Bioinformatic and Statistical Analyses — Preprocessing, Quality Control, and Dimensionality Reduction</w:t>
      </w:r>
      <w:bookmarkEnd w:id="7"/>
    </w:p>
    <w:p w14:paraId="0C3981BB" w14:textId="77777777" w:rsidR="00D7742B" w:rsidRPr="00F148F9" w:rsidRDefault="00000000" w:rsidP="00F148F9">
      <w:pPr>
        <w:pStyle w:val="FirstParagraph"/>
        <w:jc w:val="both"/>
        <w:rPr>
          <w:rFonts w:ascii="Arial" w:hAnsi="Arial" w:cs="Arial"/>
        </w:rPr>
      </w:pPr>
      <w:r w:rsidRPr="00F148F9">
        <w:rPr>
          <w:rFonts w:ascii="Arial" w:hAnsi="Arial" w:cs="Arial"/>
        </w:rPr>
        <w:t xml:space="preserve">Prior to downstream analyses, transcriptomic and proteomic data matrices were subjected to systematic preprocessing and quality control. Features with missing or empty </w:t>
      </w:r>
      <w:r w:rsidRPr="00F148F9">
        <w:rPr>
          <w:rFonts w:ascii="Arial" w:hAnsi="Arial" w:cs="Arial"/>
        </w:rPr>
        <w:lastRenderedPageBreak/>
        <w:t>identifiers, complete absence of signal across all samples, duplicated entries, or zero variance were removed to retain only informative molecular measurements.</w:t>
      </w:r>
    </w:p>
    <w:p w14:paraId="15328F25" w14:textId="77777777" w:rsidR="00D7742B" w:rsidRPr="00F148F9" w:rsidRDefault="00000000" w:rsidP="00F148F9">
      <w:pPr>
        <w:pStyle w:val="Textkrper"/>
        <w:jc w:val="both"/>
        <w:rPr>
          <w:rFonts w:ascii="Arial" w:hAnsi="Arial" w:cs="Arial"/>
        </w:rPr>
      </w:pPr>
      <w:r w:rsidRPr="00F148F9">
        <w:rPr>
          <w:rFonts w:ascii="Arial" w:hAnsi="Arial" w:cs="Arial"/>
          <w:b/>
          <w:bCs/>
        </w:rPr>
        <w:t>NanoString RNA expression quality control and normalization.</w:t>
      </w:r>
      <w:r w:rsidRPr="00F148F9">
        <w:rPr>
          <w:rFonts w:ascii="Arial" w:hAnsi="Arial" w:cs="Arial"/>
        </w:rPr>
        <w:t xml:space="preserve"> Sample-level quality control was performed using established control-based metrics. Library size, geometric mean expression of positive control probes, and mean expression of negative control probes were calculated per sample. Outlier detection was carried out using a robust median absolute deviation (MAD)-based approach, and samples failing both positive and negative control criteria were excluded from subsequent analyses (n = 2). RNA expression values were normalized using a two-step procedure. First, positive control normalization was applied by scaling each sample to the cohort-wide median of the geometric mean of positive controls. Second, normalization to housekeeping genes was performed using geometric means to correct for differences in RNA input and sample quality. After removal of control probes, normalized counts were converted to counts per million (CPM) and log2-transformed with a pseudocount of one to stabilize variance. The resulting expression matrix was used for all downstream transcriptomic analyses.</w:t>
      </w:r>
    </w:p>
    <w:p w14:paraId="4FAA385C" w14:textId="77777777" w:rsidR="00D7742B" w:rsidRPr="00F148F9" w:rsidRDefault="00000000" w:rsidP="00F148F9">
      <w:pPr>
        <w:pStyle w:val="Textkrper"/>
        <w:jc w:val="both"/>
        <w:rPr>
          <w:rFonts w:ascii="Arial" w:hAnsi="Arial" w:cs="Arial"/>
        </w:rPr>
      </w:pPr>
      <w:r w:rsidRPr="00F148F9">
        <w:rPr>
          <w:rFonts w:ascii="Arial" w:hAnsi="Arial" w:cs="Arial"/>
          <w:b/>
          <w:bCs/>
        </w:rPr>
        <w:t>Dimensionality reduction.</w:t>
      </w:r>
      <w:r w:rsidRPr="00F148F9">
        <w:rPr>
          <w:rFonts w:ascii="Arial" w:hAnsi="Arial" w:cs="Arial"/>
        </w:rPr>
        <w:t xml:space="preserve"> Following normalization, dimensionality reduction was performed separately for transcriptomic and proteomic datasets. Prior to analysis of the proteomic data, proteins with excessive missingness were excluded; only proteins quantified in at least 50% of samples were retained. Principal component analysis (PCA) was then applied independently to transcriptomic and proteomic data to assess global variance structure and sample clustering. RNA expression matrices were centered and scaled prior to PCA. For proteomics data, missing values were handled using a probabilistic PCA-based approach, allowing estimation of principal components without prior complete-case imputation. The resulting principal components were used for downstream visualization and comparative analyses. For visualization of sample relationships in low-dimensional space, nonlinear dimensionality reduction was performed using t-distributed stochastic neighbor embedding (t-SNE), using the first 20 principal components from RNA and proteomics data, respectively.</w:t>
      </w:r>
    </w:p>
    <w:p w14:paraId="50410AEC" w14:textId="77777777" w:rsidR="00D7742B" w:rsidRPr="00F148F9" w:rsidRDefault="00000000" w:rsidP="00F148F9">
      <w:pPr>
        <w:pStyle w:val="Textkrper"/>
        <w:jc w:val="both"/>
        <w:rPr>
          <w:rFonts w:ascii="Arial" w:hAnsi="Arial" w:cs="Arial"/>
        </w:rPr>
      </w:pPr>
      <w:r w:rsidRPr="00F148F9">
        <w:rPr>
          <w:rFonts w:ascii="Arial" w:hAnsi="Arial" w:cs="Arial"/>
          <w:b/>
          <w:bCs/>
        </w:rPr>
        <w:t>Differential expression analysis.</w:t>
      </w:r>
      <w:r w:rsidRPr="00F148F9">
        <w:rPr>
          <w:rFonts w:ascii="Arial" w:hAnsi="Arial" w:cs="Arial"/>
        </w:rPr>
        <w:t xml:space="preserve"> Differential expression analyses were performed separately for RNA and proteomics data by comparing predefined tumor subgroups. For each feature, group-wise differences were assessed using Welch’s two-sample t-test. Resulting p-values were adjusted for multiple testing using the Benjamini-Hochberg false discovery rate (FDR) correction. Log fold changes were calculated as differences in group means, and effect sizes were estimated using Cohen’s d. Differential expression results were visualized using volcano plots, highlighting features with both statistically significant FDR-adjusted p-values and biologically relevant effect sizes.</w:t>
      </w:r>
    </w:p>
    <w:p w14:paraId="6A4CCFFB" w14:textId="77777777" w:rsidR="00D7742B" w:rsidRPr="00F148F9" w:rsidRDefault="00000000" w:rsidP="00F148F9">
      <w:pPr>
        <w:pStyle w:val="Textkrper"/>
        <w:jc w:val="both"/>
        <w:rPr>
          <w:rFonts w:ascii="Arial" w:hAnsi="Arial" w:cs="Arial"/>
        </w:rPr>
      </w:pPr>
      <w:r w:rsidRPr="00F148F9">
        <w:rPr>
          <w:rFonts w:ascii="Arial" w:hAnsi="Arial" w:cs="Arial"/>
          <w:b/>
          <w:bCs/>
        </w:rPr>
        <w:t>Integrative multi-omics analysis (MuVI).</w:t>
      </w:r>
      <w:r w:rsidRPr="00F148F9">
        <w:rPr>
          <w:rFonts w:ascii="Arial" w:hAnsi="Arial" w:cs="Arial"/>
        </w:rPr>
        <w:t xml:space="preserve"> For integrative analysis of transcriptomic and proteomic data, we applied MuVI, a Bayesian multi-view latent factor model that enables joint representation learning across molecular layers while incorporating prior biological knowledge via structured sparsity. RNA and proteomics data were modeled as two Gaussian views and jointly embedded into a shared latent space comprising 32 latent factors. Hallmark gene sets from the Molecular Signatures Database (MSigDB) were ingested as prior information, yielding 31 informed latent factors, complemented by one uninformed factor to capture residual variation. Latent factor scores inferred by MuVI were subsequently used to assess pathway-level activity differences between predefined tumor </w:t>
      </w:r>
      <w:r w:rsidRPr="00F148F9">
        <w:rPr>
          <w:rFonts w:ascii="Arial" w:hAnsi="Arial" w:cs="Arial"/>
        </w:rPr>
        <w:lastRenderedPageBreak/>
        <w:t>subgroups. Differential factor activity was evaluated using group-wise statistical testing, and significantly enriched latent factors were visualized in a heatmap, highlighting pathways with distinct activity patterns across tumor groups.</w:t>
      </w:r>
    </w:p>
    <w:p w14:paraId="1FD3BEA1" w14:textId="061C4E3E" w:rsidR="00D7742B" w:rsidRDefault="00D7742B"/>
    <w:p w14:paraId="4810657A" w14:textId="4BA66F91" w:rsidR="00D7742B" w:rsidRDefault="00D7742B">
      <w:pPr>
        <w:pStyle w:val="Textkrper"/>
      </w:pPr>
    </w:p>
    <w:sectPr w:rsidR="00D7742B">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F4E6" w14:textId="77777777" w:rsidR="000A3A35" w:rsidRDefault="000A3A35">
      <w:pPr>
        <w:spacing w:after="0"/>
      </w:pPr>
      <w:r>
        <w:separator/>
      </w:r>
    </w:p>
  </w:endnote>
  <w:endnote w:type="continuationSeparator" w:id="0">
    <w:p w14:paraId="31CBC9AF" w14:textId="77777777" w:rsidR="000A3A35" w:rsidRDefault="000A3A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568E4" w14:textId="77777777" w:rsidR="000A3A35" w:rsidRDefault="000A3A35">
      <w:r>
        <w:separator/>
      </w:r>
    </w:p>
  </w:footnote>
  <w:footnote w:type="continuationSeparator" w:id="0">
    <w:p w14:paraId="39D9F55E" w14:textId="77777777" w:rsidR="000A3A35" w:rsidRDefault="000A3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C9AB8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F8E404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50854320">
    <w:abstractNumId w:val="1"/>
  </w:num>
  <w:num w:numId="2" w16cid:durableId="496266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A3A35"/>
    <w:rsid w:val="00440F15"/>
    <w:rsid w:val="004E29B3"/>
    <w:rsid w:val="00590D07"/>
    <w:rsid w:val="00784D58"/>
    <w:rsid w:val="008D6863"/>
    <w:rsid w:val="00B86B75"/>
    <w:rsid w:val="00BC48D5"/>
    <w:rsid w:val="00C36279"/>
    <w:rsid w:val="00D7742B"/>
    <w:rsid w:val="00D8478A"/>
    <w:rsid w:val="00E315A3"/>
    <w:rsid w:val="00F148F9"/>
    <w:rsid w:val="00F9466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2B04"/>
  <w15:docId w15:val="{FE75ACD5-D7C6-844C-8713-F4EDA7EF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1363</Words>
  <Characters>8415</Characters>
  <Application>Microsoft Office Word</Application>
  <DocSecurity>0</DocSecurity>
  <Lines>179</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Philipp Ströbel</dc:creator>
  <cp:keywords/>
  <cp:lastModifiedBy>Philipp Ströbel</cp:lastModifiedBy>
  <cp:revision>3</cp:revision>
  <dcterms:created xsi:type="dcterms:W3CDTF">2026-06-10T08:40:00Z</dcterms:created>
  <dcterms:modified xsi:type="dcterms:W3CDTF">2026-06-10T16:34:00Z</dcterms:modified>
</cp:coreProperties>
</file>