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5934">
      <w:pPr>
        <w:jc w:val="left"/>
        <w:rPr>
          <w:rFonts w:hint="default" w:ascii="Times New Roman" w:hAnsi="Times New Roman" w:cs="Times New Roman"/>
          <w:sz w:val="21"/>
          <w:szCs w:val="21"/>
          <w:vertAlign w:val="baseline"/>
        </w:rPr>
      </w:pPr>
      <w:r>
        <w:rPr>
          <w:rFonts w:hint="default" w:ascii="Times New Roman" w:hAnsi="Times New Roman" w:eastAsia="Noto Sans SC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Table S1. Definition of CKM syndrome</w:t>
      </w:r>
    </w:p>
    <w:tbl>
      <w:tblPr>
        <w:tblStyle w:val="4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7431"/>
      </w:tblGrid>
      <w:tr w14:paraId="4397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</w:tcPr>
          <w:p w14:paraId="14B875D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CKM syndrome stages</w:t>
            </w:r>
          </w:p>
        </w:tc>
        <w:tc>
          <w:tcPr>
            <w:tcW w:w="7431" w:type="dxa"/>
          </w:tcPr>
          <w:p w14:paraId="57088FB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Definition</w:t>
            </w:r>
          </w:p>
        </w:tc>
      </w:tr>
      <w:tr w14:paraId="7996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 w14:paraId="3FB87AF3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both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Stage 0: No CKM health</w:t>
            </w:r>
          </w:p>
          <w:p w14:paraId="6D32AF70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risk factors</w:t>
            </w:r>
          </w:p>
        </w:tc>
        <w:tc>
          <w:tcPr>
            <w:tcW w:w="7431" w:type="dxa"/>
          </w:tcPr>
          <w:p w14:paraId="2293486B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Participants with normal body mass index (BMI) (&lt;23 kg/m2 for individuals with Asian ethnicity and &lt;25 kg/m2 for other racial and ethnic groups), normal waist circumference (&lt;80 and &lt;90 cm for women and men with Asian race, respectively, and &lt;88 and &lt;102 cm for women and men in all other race and ethnicity categories, respectively) who did not meet criteria for the other stages.</w:t>
            </w:r>
          </w:p>
        </w:tc>
      </w:tr>
      <w:tr w14:paraId="19A9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 w14:paraId="2DD3E8E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Stage 1: Excess or</w:t>
            </w:r>
          </w:p>
          <w:p w14:paraId="26BA5A4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dysfunctional adiposity</w:t>
            </w:r>
          </w:p>
        </w:tc>
        <w:tc>
          <w:tcPr>
            <w:tcW w:w="7431" w:type="dxa"/>
          </w:tcPr>
          <w:p w14:paraId="3EA29038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Individuals with overweight/obesity, abdominal obesity, or adipose tissue dysfunction without other metabolic risk factors, CKD, or subclinical/clinical CVD (1)BMI (≥23 kg/m2 for individuals with Asian race and &gt;25 kg/m2 for all other race and ethnic groups) (2)WC ≥ 102 cm for men or ≥ 88 cm for women (3)FBG levels ranging from 100 to 124 mg/dL, or HbA1c levels between 5.7 and 6.4 %</w:t>
            </w:r>
          </w:p>
        </w:tc>
      </w:tr>
      <w:tr w14:paraId="72E4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 w14:paraId="640F9859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Stage 2: Metabolic risk</w:t>
            </w:r>
          </w:p>
          <w:p w14:paraId="134B61E3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factors and moderate to</w:t>
            </w:r>
          </w:p>
          <w:p w14:paraId="4C23EDBF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high-risk CKD</w:t>
            </w:r>
          </w:p>
        </w:tc>
        <w:tc>
          <w:tcPr>
            <w:tcW w:w="7431" w:type="dxa"/>
          </w:tcPr>
          <w:p w14:paraId="3CD93636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Qualifying metabolic risk factors included elevated fasting serum triglycerides (≥135 mg/dL), hypertension, diabetes, or metabolic syndrome (≥3 of the following: elevated waist circumference, low high density lipoprotein cholesterol (HDL) level [&lt;40 mg/dL or &lt;50 mg/dL for men or women, respectively], fasting serum triglycerides ≥150 mg/dL, elevated blood pressure [systolic blood pressure ≥130, diastolic blood pressure ≥80 mmHg, and/or use of blood pressure-lowering medications], or prediabetes). CKD stages were identified based on GFR and urinary albumin-tocreatinine ratio.</w:t>
            </w:r>
          </w:p>
        </w:tc>
      </w:tr>
      <w:tr w14:paraId="7438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 w14:paraId="7268D1F8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Stage 3: Subclinical CVD</w:t>
            </w:r>
          </w:p>
          <w:p w14:paraId="43F8369C">
            <w:pPr>
              <w:pStyle w:val="2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in CKM</w:t>
            </w:r>
          </w:p>
        </w:tc>
        <w:tc>
          <w:tcPr>
            <w:tcW w:w="7431" w:type="dxa"/>
          </w:tcPr>
          <w:p w14:paraId="61D9F2A3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Presence of very-high-risk KDIGO CKD stages or a high-estimated 10-year cardiovascular disease (CVD) risk. The 10-year CVD risk was assessed using the AHA PREVENT equations for predicting cardiovascular events. A 10-year CVD risk of 20% or greater was classified as high risk.</w:t>
            </w:r>
          </w:p>
        </w:tc>
      </w:tr>
      <w:tr w14:paraId="79DF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vAlign w:val="center"/>
          </w:tcPr>
          <w:p w14:paraId="716FC1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Stage 4: Clinical CVD in</w:t>
            </w:r>
          </w:p>
          <w:p w14:paraId="249769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CKM</w:t>
            </w:r>
          </w:p>
        </w:tc>
        <w:tc>
          <w:tcPr>
            <w:tcW w:w="7431" w:type="dxa"/>
          </w:tcPr>
          <w:p w14:paraId="7072D3F1">
            <w:pPr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Reported history of established cardiovascular conditions, including coronary heart disease, angina, myocardial infarction, heart failure, and cerebrovascular accident.</w:t>
            </w:r>
          </w:p>
        </w:tc>
      </w:tr>
    </w:tbl>
    <w:p w14:paraId="69C70CC0">
      <w:pPr>
        <w:spacing w:line="360" w:lineRule="auto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  <w:t>Abbreviations: CKM syndrome, Cardiovascular-Kidney-Metabolic syndrome; NHANES, National Health and Nutrition Examination Survey; MeTS, metabolic syndrome; CKD, chronic kidney disease; CVD, cardiovascular disease; BMI, body mass index; WC, waist circumference; FBG, fasting blood glucose; HbA1c, glycated hemoglobin A1c; KDIGO, Kidney Disease Improving Global Outcomes; UACR, urine albumin-to-creatinine ratio; eGFR, estimated glomerular filtration rate; TG, triglycerides; SBP, systolic blood pressure; DBP, diastolic blood pressure.</w:t>
      </w:r>
    </w:p>
    <w:p w14:paraId="45B60FF8"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  <w:t>Reference</w:t>
      </w:r>
    </w:p>
    <w:p w14:paraId="51E7C34D">
      <w:pPr>
        <w:pStyle w:val="2"/>
        <w:keepNext w:val="0"/>
        <w:keepLines w:val="0"/>
        <w:widowControl/>
        <w:suppressLineNumbers w:val="0"/>
        <w:spacing w:line="360" w:lineRule="auto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1"/>
          <w:szCs w:val="21"/>
        </w:rPr>
        <w:t>Aggarwal R, Ostrominski JW, Vaduganathan M. Prevalence of cardiovascular-kidney-metabolic syndrome stages in US adults, 2011-2020.</w:t>
      </w:r>
    </w:p>
    <w:p w14:paraId="0301AF78"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 Baseline characteristics of the study population based on the change in CTI</w:t>
      </w:r>
    </w:p>
    <w:tbl>
      <w:tblPr>
        <w:tblStyle w:val="4"/>
        <w:tblpPr w:leftFromText="180" w:rightFromText="180" w:vertAnchor="text" w:horzAnchor="page" w:tblpXSpec="center" w:tblpY="125"/>
        <w:tblOverlap w:val="never"/>
        <w:tblW w:w="11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940"/>
        <w:gridCol w:w="1850"/>
        <w:gridCol w:w="1972"/>
        <w:gridCol w:w="1925"/>
        <w:gridCol w:w="962"/>
      </w:tblGrid>
      <w:tr w14:paraId="2022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AA92F3A">
            <w:pPr>
              <w:spacing w:line="720" w:lineRule="auto"/>
              <w:jc w:val="left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Characteristic</w:t>
            </w:r>
          </w:p>
        </w:tc>
        <w:tc>
          <w:tcPr>
            <w:tcW w:w="19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tbl>
            <w:tblPr>
              <w:tblStyle w:val="4"/>
              <w:tblW w:w="5446" w:type="dxa"/>
              <w:tblInd w:w="-9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1"/>
              <w:gridCol w:w="240"/>
              <w:gridCol w:w="791"/>
              <w:gridCol w:w="2724"/>
            </w:tblGrid>
            <w:tr w14:paraId="169BCC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1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</w:tcBorders>
                  <w:shd w:val="clear" w:color="auto" w:fill="FFFFFF"/>
                </w:tcPr>
                <w:p w14:paraId="26FDDD35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Overall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</w:tcBorders>
                  <w:shd w:val="clear" w:color="auto" w:fill="FFFFFF"/>
                </w:tcPr>
                <w:p w14:paraId="44898F06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791" w:type="dxa"/>
                  <w:vMerge w:val="restart"/>
                  <w:tcBorders>
                    <w:top w:val="nil"/>
                    <w:left w:val="nil"/>
                    <w:right w:val="nil"/>
                    <w:tl2br w:val="nil"/>
                  </w:tcBorders>
                  <w:shd w:val="clear" w:color="auto" w:fill="FFFFFF"/>
                </w:tcPr>
                <w:p w14:paraId="0E8FBBDA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641E8B2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 w14:paraId="7F44E7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9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DB5499E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(n=4452)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7AC318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791" w:type="dxa"/>
                  <w:vMerge w:val="continue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F2869C9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991364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</w:tbl>
          <w:p w14:paraId="39E555E1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tbl>
            <w:tblPr>
              <w:tblStyle w:val="4"/>
              <w:tblW w:w="2402" w:type="dxa"/>
              <w:tblInd w:w="-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11"/>
              <w:gridCol w:w="240"/>
              <w:gridCol w:w="551"/>
            </w:tblGrid>
            <w:tr w14:paraId="6C15C8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1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</w:tcBorders>
                  <w:shd w:val="clear" w:color="auto" w:fill="FFFFFF"/>
                </w:tcPr>
                <w:p w14:paraId="04C5AD0D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Cluster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1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</w:tcBorders>
                  <w:shd w:val="clear" w:color="auto" w:fill="FFFFFF"/>
                </w:tcPr>
                <w:p w14:paraId="30F8EB5A">
                  <w:pPr>
                    <w:spacing w:line="360" w:lineRule="auto"/>
                    <w:jc w:val="both"/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551" w:type="dxa"/>
                  <w:vMerge w:val="restart"/>
                  <w:tcBorders>
                    <w:top w:val="nil"/>
                    <w:left w:val="nil"/>
                    <w:right w:val="nil"/>
                    <w:tl2br w:val="nil"/>
                  </w:tcBorders>
                  <w:shd w:val="clear" w:color="auto" w:fill="FFFFFF"/>
                </w:tcPr>
                <w:p w14:paraId="7BE6129B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 w14:paraId="7DB4B8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1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DEC50F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(n=</w:t>
                  </w: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890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B72766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551" w:type="dxa"/>
                  <w:vMerge w:val="continue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5966F6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</w:tbl>
          <w:p w14:paraId="43139563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tbl>
            <w:tblPr>
              <w:tblStyle w:val="4"/>
              <w:tblW w:w="1952" w:type="dxa"/>
              <w:tblInd w:w="-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2"/>
              <w:gridCol w:w="240"/>
            </w:tblGrid>
            <w:tr w14:paraId="2620DE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2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</w:tcBorders>
                  <w:shd w:val="clear" w:color="auto" w:fill="FFFFFF"/>
                </w:tcPr>
                <w:p w14:paraId="1EB77EC2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C</w:t>
                  </w: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luster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2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</w:tcBorders>
                  <w:shd w:val="clear" w:color="auto" w:fill="FFFFFF"/>
                </w:tcPr>
                <w:p w14:paraId="4C445CDD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 w14:paraId="632BC6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12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62D716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(n=1</w:t>
                  </w: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569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FC4681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</w:tbl>
          <w:p w14:paraId="6024B128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tbl>
            <w:tblPr>
              <w:tblStyle w:val="4"/>
              <w:tblW w:w="1981" w:type="dxa"/>
              <w:tblInd w:w="-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1"/>
              <w:gridCol w:w="240"/>
            </w:tblGrid>
            <w:tr w14:paraId="2A700F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1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</w:tcBorders>
                  <w:shd w:val="clear" w:color="auto" w:fill="FFFFFF"/>
                </w:tcPr>
                <w:p w14:paraId="6228901C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C</w:t>
                  </w: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luster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3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</w:tcBorders>
                  <w:shd w:val="clear" w:color="auto" w:fill="FFFFFF"/>
                </w:tcPr>
                <w:p w14:paraId="00BF9F68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  <w:tr w14:paraId="52375D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1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FB3C70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(n=</w:t>
                  </w:r>
                  <w:r>
                    <w:rPr>
                      <w:rFonts w:hint="eastAsia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1993</w:t>
                  </w: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5C8C87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</w:pPr>
                </w:p>
              </w:tc>
            </w:tr>
          </w:tbl>
          <w:p w14:paraId="19B66A16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F222D7">
            <w:pPr>
              <w:spacing w:line="360" w:lineRule="auto"/>
              <w:jc w:val="left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Pvalue</w:t>
            </w:r>
          </w:p>
        </w:tc>
      </w:tr>
      <w:tr w14:paraId="30E7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C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9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8B0F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58.0±8.5</w:t>
            </w:r>
          </w:p>
        </w:tc>
        <w:tc>
          <w:tcPr>
            <w:tcW w:w="18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B11A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8.3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5D87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7.6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C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1F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</w:tr>
      <w:tr w14:paraId="44E3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1A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8157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C960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552F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0574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A6261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</w:tr>
      <w:tr w14:paraId="375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8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AD6A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2428(54.5)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3465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506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56.9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326F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806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51.4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BE3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1116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44.0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C0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74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A4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C05F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2024(45.5)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11B3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384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(4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F4E8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763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48.6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FB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877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56.0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4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51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8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Educational level,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D63A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C452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CF32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2FF7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A5DA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653</w:t>
            </w:r>
          </w:p>
        </w:tc>
      </w:tr>
      <w:tr w14:paraId="2960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AE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Unread books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DA16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1312(29.5)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BAA7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274 (30.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7435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472 (30.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B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566 (28.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8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FF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DF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Literate without formal education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4737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822(18.5)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4FB3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150 (16.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C4E0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295 (18.8)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FF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377 (18.9)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C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D1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6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Primary school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B78F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981(22.0)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1244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198 (22.2)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7C9FF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329 (2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6C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454 (22.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92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BF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8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0F77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895(20.1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E17B5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187 (21.0)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1542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309 (19.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30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399 (20.0)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79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51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6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school and above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272A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442(9.9)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65B7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81 (9.1)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05F2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164 (10.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B3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197 (9.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9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BE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E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1E5D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E5A6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ABC5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3269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35AD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</w:tr>
      <w:tr w14:paraId="3C9A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5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6F77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2831(63.6)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4E09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574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(6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E2D0F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981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(6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3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1276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(6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A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F9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40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63553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321(7.2)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E106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62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066B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A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165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8.3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509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60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F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C617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1300(29.2)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CF4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254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28.5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B5D9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494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31.5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69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552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27.7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48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37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E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Drinking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4D8DA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163B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BF6B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8186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7FDF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</w:tr>
      <w:tr w14:paraId="36C5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6A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FEBE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2687(60.1)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9CAE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546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61.3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B51D6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926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59.0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1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1215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(6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5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1AC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F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A4CC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341(7.7)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481C4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8.9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67B7A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102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B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2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12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BB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3D69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1424(32.0)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7E5D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265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29.8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FC8C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541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(3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8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618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(3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C1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F1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E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Residence,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4B88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B6C8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0666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CB46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7465F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5BA0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EB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Rural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1F48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3834(86.1)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1D43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743 (83.483)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0FAB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1383 (88.1)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5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1708 (85.7)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95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72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E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Urban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A1830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618(13.9)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53F43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147 (16.517)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BCA4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186 (11.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A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285 (14.3)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F4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DB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0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Marital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53A8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514D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C9F0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7AC42">
            <w:pPr>
              <w:tabs>
                <w:tab w:val="center" w:pos="558"/>
              </w:tabs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B5807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221</w:t>
            </w:r>
          </w:p>
        </w:tc>
      </w:tr>
      <w:tr w14:paraId="7B5C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F6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Married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56A8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3993(89.7)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96B6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798 (89.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24FF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1423 (90.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9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1772 (88.9)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5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FD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A4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AD07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459(10.3)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9E0B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92 (10.3)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348E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146 (9.3)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74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221 (11.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78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A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D4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Work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05DC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5E45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25A36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BACD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DBD5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7FD83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1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Worked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8C58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3209(72.1)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1C09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585 (65.7)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1644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1226 (78.1)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E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1398 (70.1)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4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66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2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F5F7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1243(27.9)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B472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305 (34.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62C4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343 (21.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40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595 (29.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9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C6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DC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CRP, mg/L[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9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1.0(0.5,2.0)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0FCC3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2.8(1.5,6.0)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C3BEE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0.5(0.4,0.8)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20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1.1(0.7,1.9)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C0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4B0E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73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TG, mg/dL[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FB57D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101.8(73.5,149.6)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9CA81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174.8(121.2,262.0)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1B5CF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76.1(60.2,101.8)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03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108.0(80.5,147.8)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16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28C5C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D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FPG, mg/dL[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B4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102.1(94.7,111.8)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69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112.0(101.7,135.0)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58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98.5(92.2,105.8)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5E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102.1(95.0,110.5)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8A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3B76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C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CTI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2011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1918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4.7±0.6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96F1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5.5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F5EE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5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4.8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48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2BDD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C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CTI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2015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80FC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4.8±0.6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3B9F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5.6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97E5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C8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4.9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±0.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1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101A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E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CKM Stage 4,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n(%)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A634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6A83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6A39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5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A0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&lt;0.001</w:t>
            </w:r>
          </w:p>
        </w:tc>
      </w:tr>
      <w:tr w14:paraId="7071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2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B0403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3269(73.4)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C3AE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603 (67.8)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73B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1227 (78.2)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3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1439 (72.2)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C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134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3A20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33F1D7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1183(26.6)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DD3F65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287 (32.2)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E331C2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342 (21.8)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E13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554 (27.8)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BCDC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11614207">
      <w:pPr>
        <w:spacing w:line="360" w:lineRule="auto"/>
        <w:rPr>
          <w:rFonts w:hint="eastAsia" w:ascii="楷体" w:hAnsi="楷体" w:eastAsia="楷体" w:cs="楷体"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olor w:val="0F1115"/>
          <w:sz w:val="21"/>
          <w:szCs w:val="21"/>
        </w:rPr>
        <w:t>Note:</w:t>
      </w:r>
      <w:r>
        <w:rPr>
          <w:rStyle w:val="6"/>
          <w:rFonts w:hint="eastAsia" w:ascii="Times New Roman" w:hAnsi="Times New Roman" w:eastAsia="宋体" w:cs="Times New Roman"/>
          <w:b/>
          <w:bCs/>
          <w:color w:val="0F11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Normally or approximately normally distributed continuous variables are presented as mean ± standard deviation (SD); non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normally distributed variables are expressed as median (interquartile range). Categorical variables are reported as frequency (percentage).CRP,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protein; TG, triglycerides; FPG, fasting plasma glucose; CTI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  <w:vertAlign w:val="subscript"/>
        </w:rPr>
        <w:t>2011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protein–triglyceride–glucose index in 2011; CTI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  <w:vertAlign w:val="subscript"/>
        </w:rPr>
        <w:t>2015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protein–triglyceride–glucose index in 2015.</w:t>
      </w:r>
      <w:bookmarkStart w:id="0" w:name="_GoBack"/>
      <w:bookmarkEnd w:id="0"/>
    </w:p>
    <w:p w14:paraId="50B14487">
      <w:pPr>
        <w:spacing w:line="360" w:lineRule="auto"/>
        <w:rPr>
          <w:rFonts w:hint="default" w:ascii="楷体" w:hAnsi="楷体" w:eastAsia="楷体" w:cs="楷体"/>
          <w:color w:val="000000"/>
          <w:kern w:val="0"/>
          <w:sz w:val="21"/>
          <w:szCs w:val="21"/>
          <w:highlight w:val="none"/>
          <w:lang w:val="en-US" w:eastAsia="zh-CN"/>
        </w:rPr>
      </w:pPr>
    </w:p>
    <w:p w14:paraId="33FCF9B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S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 Baseline characteristics and cumulative metabolic changes stratified by incident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CKM stage 4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 status</w:t>
      </w:r>
    </w:p>
    <w:tbl>
      <w:tblPr>
        <w:tblStyle w:val="4"/>
        <w:tblpPr w:leftFromText="180" w:rightFromText="180" w:vertAnchor="text" w:horzAnchor="page" w:tblpXSpec="center" w:tblpY="125"/>
        <w:tblOverlap w:val="never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8"/>
        <w:gridCol w:w="1756"/>
        <w:gridCol w:w="1842"/>
        <w:gridCol w:w="1853"/>
        <w:gridCol w:w="1117"/>
      </w:tblGrid>
      <w:tr w14:paraId="7627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3088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</w:tcPr>
          <w:p w14:paraId="0116F96D">
            <w:pPr>
              <w:spacing w:line="720" w:lineRule="auto"/>
              <w:jc w:val="left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Characteristic</w:t>
            </w:r>
          </w:p>
        </w:tc>
        <w:tc>
          <w:tcPr>
            <w:tcW w:w="1756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</w:tcPr>
          <w:tbl>
            <w:tblPr>
              <w:tblStyle w:val="4"/>
              <w:tblW w:w="1648" w:type="dxa"/>
              <w:tblInd w:w="-9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8"/>
            </w:tblGrid>
            <w:tr w14:paraId="591AE5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8" w:type="dxa"/>
                  <w:tcBorders>
                    <w:top w:val="nil"/>
                    <w:left w:val="nil"/>
                    <w:bottom w:val="single" w:color="auto" w:sz="4" w:space="0"/>
                    <w:right w:val="nil"/>
                    <w:tl2br w:val="nil"/>
                  </w:tcBorders>
                  <w:shd w:val="clear" w:color="auto" w:fill="FFFFFF"/>
                </w:tcPr>
                <w:p w14:paraId="74AFC7BC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Overall</w:t>
                  </w:r>
                </w:p>
              </w:tc>
            </w:tr>
            <w:tr w14:paraId="514BB7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5517839">
                  <w:pPr>
                    <w:spacing w:line="360" w:lineRule="auto"/>
                    <w:jc w:val="both"/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等线" w:cs="Times New Roman"/>
                      <w:b w:val="0"/>
                      <w:color w:val="000000"/>
                      <w:sz w:val="21"/>
                      <w:szCs w:val="21"/>
                      <w:vertAlign w:val="baseline"/>
                      <w:lang w:eastAsia="zh-CN"/>
                    </w:rPr>
                    <w:t>(n=4452)</w:t>
                  </w:r>
                </w:p>
              </w:tc>
            </w:tr>
          </w:tbl>
          <w:p w14:paraId="3A0147FD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69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F9D481F">
            <w:pPr>
              <w:spacing w:line="360" w:lineRule="auto"/>
              <w:jc w:val="both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CKM stage 4</w:t>
            </w:r>
          </w:p>
        </w:tc>
        <w:tc>
          <w:tcPr>
            <w:tcW w:w="1117" w:type="dxa"/>
            <w:vMerge w:val="restart"/>
            <w:tcBorders>
              <w:top w:val="single" w:color="000000" w:sz="12" w:space="0"/>
              <w:left w:val="nil"/>
              <w:right w:val="nil"/>
            </w:tcBorders>
            <w:shd w:val="clear" w:color="auto" w:fill="FFFFFF"/>
            <w:vAlign w:val="center"/>
          </w:tcPr>
          <w:p w14:paraId="0F04D4C1">
            <w:pPr>
              <w:spacing w:line="360" w:lineRule="auto"/>
              <w:jc w:val="left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Pvalue</w:t>
            </w:r>
          </w:p>
        </w:tc>
      </w:tr>
      <w:tr w14:paraId="1BD4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  <w:jc w:val="center"/>
        </w:trPr>
        <w:tc>
          <w:tcPr>
            <w:tcW w:w="3088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DC8AAC4">
            <w:pPr>
              <w:spacing w:line="360" w:lineRule="auto"/>
              <w:jc w:val="both"/>
            </w:pPr>
          </w:p>
        </w:tc>
        <w:tc>
          <w:tcPr>
            <w:tcW w:w="1756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139CC97">
            <w:pPr>
              <w:spacing w:line="360" w:lineRule="auto"/>
              <w:jc w:val="both"/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65E10C0D">
            <w:pPr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(n=3269)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31476FD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Yes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=1183)</w:t>
            </w:r>
          </w:p>
        </w:tc>
        <w:tc>
          <w:tcPr>
            <w:tcW w:w="1117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E659388">
            <w:pPr>
              <w:spacing w:line="360" w:lineRule="auto"/>
              <w:jc w:val="both"/>
            </w:pPr>
          </w:p>
        </w:tc>
      </w:tr>
      <w:tr w14:paraId="47D7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3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FC09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58.0±8.5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477F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57.5±8.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6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.2±8.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8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</w:tr>
      <w:tr w14:paraId="6632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B0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Gender,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290B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6291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BC10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B8F4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</w:tr>
      <w:tr w14:paraId="441C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4F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5068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2428(54.5)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6C3A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1742(53.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3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686(5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C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3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8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091B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2024(45.5)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12779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1527(46.7)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D0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497(42.0)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7E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AD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B5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Educational level,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A693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01AF5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3195F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0E3B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080</w:t>
            </w:r>
          </w:p>
        </w:tc>
      </w:tr>
      <w:tr w14:paraId="4D55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03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Unread books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748C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1312(29.5)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696C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944(28.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E4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368(31.1)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E1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8A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8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Literate without formal education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87DE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822(18.5)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0124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604(18.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8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218(18.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48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713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3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Primary school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69D9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981(22.0)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E2CA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711(21.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1C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270(22.8)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9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27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A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Middle school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26DB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895(20.1</w:t>
            </w: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0F91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690(21.1)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E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205(17.3)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EA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C3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22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school and above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43D7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442(9.9)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43677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320(9.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03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122(10.3)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4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63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15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Smoking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B9B8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816A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534A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2C64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0.0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 w14:paraId="028C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5F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6389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2831(63.6)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E1AB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2063(63.1)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5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768(64.9)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10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03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EC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FA6FA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321(7.2)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D5A1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220(6.7)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955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101(8.5)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B2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BC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15620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1300(29.2)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B2A5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986(30.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6E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314(26.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E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B8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5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Drinking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39C0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9670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89DE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42D1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&lt;0.001</w:t>
            </w:r>
          </w:p>
        </w:tc>
      </w:tr>
      <w:tr w14:paraId="4614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18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Current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587CC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2687(60.1)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F607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1961(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A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726(61.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3F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66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F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5685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341(7.7)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A8FCC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224(6.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90B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117(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0F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50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91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Never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E865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1424(32.0)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618E7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1084(33.1)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E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340(28.7)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D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C7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10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Residence,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80C3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200E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0B24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56C1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0.290</w:t>
            </w:r>
          </w:p>
        </w:tc>
      </w:tr>
      <w:tr w14:paraId="7CB8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F3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Rural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AFCC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3834(86.1)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D6960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2826(86.4)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4D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1008(85.2)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6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05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4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Urban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48205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618(13.9)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41348">
            <w:pPr>
              <w:tabs>
                <w:tab w:val="center" w:pos="812"/>
              </w:tabs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443(13.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0D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175(14.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8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DB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C67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Marital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20789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1A85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3196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0822FE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0.</w:t>
            </w: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>044</w:t>
            </w:r>
          </w:p>
        </w:tc>
      </w:tr>
      <w:tr w14:paraId="5B9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A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Married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FA4B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3993(89.7)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534B41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2950(90.2)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386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1043(88.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F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78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0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2B32B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459(10.3)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B914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319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9.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4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140(11.8)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E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83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DB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Work Status,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28DE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2941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5851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85AF5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77DC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ED8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Worked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77CA0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3209(72.1)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30717D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2419(7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2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790(66.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0D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75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5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Other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6F94C7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1243(27.9)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5EBC9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850(26.0)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C5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393(33.2)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E8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D3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A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CRP, mg/L[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E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(0.5,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56387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0.9(0.5,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6D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1.1(0.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B4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66CB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3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TG, mg/dL[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D136D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(73.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50.)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1143C">
            <w:pP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100.0(71.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,146.9)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CA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106.2(77.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,155.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E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3C7F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E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FPG, mg/dL[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M(Q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 Q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]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A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102.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(94.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,111.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8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101.7(94.5,111.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5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103.1(95.4,114.1)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4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5FBC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C2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CTI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2011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00F16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4.7±0.6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B68AC">
            <w:pPr>
              <w:rPr>
                <w:rFonts w:hint="eastAsia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±0.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7C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±0.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64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7B08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20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CTI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2015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(mean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CE44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4.8±0.6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57A1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±0.6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1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± 0.6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E7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vertAlign w:val="baseline"/>
                <w:lang w:eastAsia="zh-CN"/>
              </w:rPr>
              <w:t>&lt;0.001</w:t>
            </w:r>
          </w:p>
        </w:tc>
      </w:tr>
      <w:tr w14:paraId="4BB2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6B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Cu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CTI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Q, 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C9BDE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0A263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8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E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&lt;0.001</w:t>
            </w:r>
          </w:p>
        </w:tc>
      </w:tr>
      <w:tr w14:paraId="4101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8F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EF9514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1484(33.3)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9AFC2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162(35.5)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7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322(27.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3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  <w:t>&lt;0.001</w:t>
            </w:r>
          </w:p>
        </w:tc>
      </w:tr>
      <w:tr w14:paraId="33B4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72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CF4C28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1484(33.3)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9683C">
            <w:pPr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1082(33.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7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402(3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A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184C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E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Q3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03F25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1484(33.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53CFF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1025(31.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7CE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459(38.8)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D1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56DE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31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Clus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ter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1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, n(%)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87710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AC176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07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  <w:tr w14:paraId="5AEA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0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Cluster1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A7172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890(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20.0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40864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603(18.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A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287(24.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C0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4F78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E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Cluster2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A9882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1569(35.2)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D5314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1227(37.5)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3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342(28.9)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08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 w14:paraId="2897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0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7429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Cluster3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CFC4DD3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1993(44.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8EDDD6E">
            <w:pPr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1439(44.0)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F8E2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1"/>
                <w:szCs w:val="21"/>
                <w:u w:val="none"/>
              </w:rPr>
              <w:t>554(46.8)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7FA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 w:val="0"/>
                <w:color w:val="00000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</w:tbl>
    <w:p w14:paraId="1F3B062C">
      <w:pPr>
        <w:spacing w:line="360" w:lineRule="auto"/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Style w:val="6"/>
          <w:rFonts w:hint="default" w:ascii="Times New Roman" w:hAnsi="Times New Roman" w:eastAsia="Segoe UI" w:cs="Times New Roman"/>
          <w:b/>
          <w:bCs/>
          <w:color w:val="0F1115"/>
          <w:sz w:val="21"/>
          <w:szCs w:val="21"/>
        </w:rPr>
        <w:t>Note:</w:t>
      </w:r>
      <w:r>
        <w:rPr>
          <w:rStyle w:val="6"/>
          <w:rFonts w:hint="eastAsia" w:ascii="Times New Roman" w:hAnsi="Times New Roman" w:eastAsia="宋体" w:cs="Times New Roman"/>
          <w:b/>
          <w:bCs/>
          <w:color w:val="0F111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Normally or approximately normally distributed continuous variables are presented as mean ± standard deviation (SD); non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normally distributed variables are expressed as median (interquartile range). Categorical variables are reported as frequency (percentage).CRP,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protein; TG, triglycerides; FPG, fasting plasma glucose; CTI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  <w:vertAlign w:val="subscript"/>
        </w:rPr>
        <w:t>2011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protein–triglyceride–glucose index in 2011; CTI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  <w:vertAlign w:val="subscript"/>
        </w:rPr>
        <w:t>2015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, C</w:t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noBreakHyphen/>
      </w:r>
      <w:r>
        <w:rPr>
          <w:rFonts w:hint="default" w:ascii="Times New Roman" w:hAnsi="Times New Roman" w:eastAsia="Segoe UI" w:cs="Times New Roman"/>
          <w:color w:val="0F1115"/>
          <w:sz w:val="21"/>
          <w:szCs w:val="21"/>
        </w:rPr>
        <w:t>reactive protein–triglyceride–glucose index in 2015.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08A7"/>
    <w:rsid w:val="00BA1A55"/>
    <w:rsid w:val="01121891"/>
    <w:rsid w:val="018E7169"/>
    <w:rsid w:val="01A73D87"/>
    <w:rsid w:val="01CF32DE"/>
    <w:rsid w:val="033F6241"/>
    <w:rsid w:val="04114082"/>
    <w:rsid w:val="044D71EC"/>
    <w:rsid w:val="04F96FF0"/>
    <w:rsid w:val="05045994"/>
    <w:rsid w:val="05441D1A"/>
    <w:rsid w:val="060317A8"/>
    <w:rsid w:val="060E0879"/>
    <w:rsid w:val="064A5629"/>
    <w:rsid w:val="06744454"/>
    <w:rsid w:val="074B1659"/>
    <w:rsid w:val="077E1A2E"/>
    <w:rsid w:val="07E2746D"/>
    <w:rsid w:val="08C416C3"/>
    <w:rsid w:val="09436A8B"/>
    <w:rsid w:val="095A3DD5"/>
    <w:rsid w:val="09815806"/>
    <w:rsid w:val="0A2368BD"/>
    <w:rsid w:val="0A2F0DBE"/>
    <w:rsid w:val="0A6D7B38"/>
    <w:rsid w:val="0A8074DF"/>
    <w:rsid w:val="0A851326"/>
    <w:rsid w:val="0ACC2AB1"/>
    <w:rsid w:val="0AE61DC4"/>
    <w:rsid w:val="0B1D50BA"/>
    <w:rsid w:val="0BF202F5"/>
    <w:rsid w:val="0CDA7707"/>
    <w:rsid w:val="0D026C5D"/>
    <w:rsid w:val="0EDB59B8"/>
    <w:rsid w:val="0F9C6EF5"/>
    <w:rsid w:val="0FF7412C"/>
    <w:rsid w:val="110F1949"/>
    <w:rsid w:val="11160F29"/>
    <w:rsid w:val="11963E18"/>
    <w:rsid w:val="12631F4C"/>
    <w:rsid w:val="127557DC"/>
    <w:rsid w:val="12C30C3D"/>
    <w:rsid w:val="131E7C21"/>
    <w:rsid w:val="1347361C"/>
    <w:rsid w:val="13A66595"/>
    <w:rsid w:val="14C447F8"/>
    <w:rsid w:val="15545B7C"/>
    <w:rsid w:val="15610299"/>
    <w:rsid w:val="15CC7E09"/>
    <w:rsid w:val="16ED0036"/>
    <w:rsid w:val="178F10EE"/>
    <w:rsid w:val="17DB2585"/>
    <w:rsid w:val="17EC4792"/>
    <w:rsid w:val="18786026"/>
    <w:rsid w:val="190F698A"/>
    <w:rsid w:val="19157D18"/>
    <w:rsid w:val="19A35324"/>
    <w:rsid w:val="19D16C6A"/>
    <w:rsid w:val="1A1104E0"/>
    <w:rsid w:val="1CB05D8E"/>
    <w:rsid w:val="1CEE2D5A"/>
    <w:rsid w:val="1D6F5C49"/>
    <w:rsid w:val="1E2F53D8"/>
    <w:rsid w:val="1EE2283A"/>
    <w:rsid w:val="202A22FB"/>
    <w:rsid w:val="20803CC9"/>
    <w:rsid w:val="20F36B91"/>
    <w:rsid w:val="21052421"/>
    <w:rsid w:val="210C7C53"/>
    <w:rsid w:val="21EC3348"/>
    <w:rsid w:val="22576CAC"/>
    <w:rsid w:val="242F6132"/>
    <w:rsid w:val="25F27417"/>
    <w:rsid w:val="263712CE"/>
    <w:rsid w:val="265C6F87"/>
    <w:rsid w:val="281C0F26"/>
    <w:rsid w:val="286B34B1"/>
    <w:rsid w:val="28812CD5"/>
    <w:rsid w:val="289724F8"/>
    <w:rsid w:val="28BA1D43"/>
    <w:rsid w:val="29D07A70"/>
    <w:rsid w:val="2A461AE0"/>
    <w:rsid w:val="2B88437A"/>
    <w:rsid w:val="2C354DC9"/>
    <w:rsid w:val="2CF84372"/>
    <w:rsid w:val="2D5E35E4"/>
    <w:rsid w:val="2EFA10EB"/>
    <w:rsid w:val="30354AD0"/>
    <w:rsid w:val="31462D0D"/>
    <w:rsid w:val="32562ADC"/>
    <w:rsid w:val="32B819E9"/>
    <w:rsid w:val="32EB591A"/>
    <w:rsid w:val="33233306"/>
    <w:rsid w:val="34B1049E"/>
    <w:rsid w:val="34B65AB4"/>
    <w:rsid w:val="35977693"/>
    <w:rsid w:val="364041CF"/>
    <w:rsid w:val="36CE3589"/>
    <w:rsid w:val="372C4753"/>
    <w:rsid w:val="3A7E0E22"/>
    <w:rsid w:val="3AB26D1E"/>
    <w:rsid w:val="3ABC194A"/>
    <w:rsid w:val="3BCB0097"/>
    <w:rsid w:val="3C812E4B"/>
    <w:rsid w:val="3DB57251"/>
    <w:rsid w:val="3DD376D7"/>
    <w:rsid w:val="3F11087D"/>
    <w:rsid w:val="3F6A7BC7"/>
    <w:rsid w:val="409C64A6"/>
    <w:rsid w:val="40BE466E"/>
    <w:rsid w:val="40E471B7"/>
    <w:rsid w:val="410A1661"/>
    <w:rsid w:val="41A73354"/>
    <w:rsid w:val="41EF2605"/>
    <w:rsid w:val="42755200"/>
    <w:rsid w:val="436112E1"/>
    <w:rsid w:val="442A5B77"/>
    <w:rsid w:val="452847AC"/>
    <w:rsid w:val="45C53DA9"/>
    <w:rsid w:val="469A6FE4"/>
    <w:rsid w:val="486024AF"/>
    <w:rsid w:val="48E1539E"/>
    <w:rsid w:val="491A265E"/>
    <w:rsid w:val="4A5E47CC"/>
    <w:rsid w:val="4B524331"/>
    <w:rsid w:val="4BE40D01"/>
    <w:rsid w:val="4C485734"/>
    <w:rsid w:val="4D7C38E7"/>
    <w:rsid w:val="4DA42E3E"/>
    <w:rsid w:val="4DEA4CF4"/>
    <w:rsid w:val="4F781E8C"/>
    <w:rsid w:val="4FE319FB"/>
    <w:rsid w:val="50AC44E3"/>
    <w:rsid w:val="51DF4444"/>
    <w:rsid w:val="527252B8"/>
    <w:rsid w:val="530879CB"/>
    <w:rsid w:val="54E16725"/>
    <w:rsid w:val="559D089E"/>
    <w:rsid w:val="56574EF1"/>
    <w:rsid w:val="56AB6FEB"/>
    <w:rsid w:val="56FB3ACE"/>
    <w:rsid w:val="574865E8"/>
    <w:rsid w:val="575925A3"/>
    <w:rsid w:val="57650F48"/>
    <w:rsid w:val="578735B4"/>
    <w:rsid w:val="57F5621E"/>
    <w:rsid w:val="58692CBA"/>
    <w:rsid w:val="5A6F20DD"/>
    <w:rsid w:val="5AEE56F8"/>
    <w:rsid w:val="5B6360E6"/>
    <w:rsid w:val="5B6559BA"/>
    <w:rsid w:val="5B661732"/>
    <w:rsid w:val="5C735EB5"/>
    <w:rsid w:val="5C981DBF"/>
    <w:rsid w:val="5CB0535B"/>
    <w:rsid w:val="5E512226"/>
    <w:rsid w:val="5F57386C"/>
    <w:rsid w:val="60116111"/>
    <w:rsid w:val="61333E65"/>
    <w:rsid w:val="61911D89"/>
    <w:rsid w:val="61923281"/>
    <w:rsid w:val="61F47A98"/>
    <w:rsid w:val="621F43E9"/>
    <w:rsid w:val="62DD22DA"/>
    <w:rsid w:val="63750765"/>
    <w:rsid w:val="63F773CC"/>
    <w:rsid w:val="64D4770D"/>
    <w:rsid w:val="6562740E"/>
    <w:rsid w:val="65F53DDF"/>
    <w:rsid w:val="66391F1D"/>
    <w:rsid w:val="665F74AA"/>
    <w:rsid w:val="675A65EF"/>
    <w:rsid w:val="67E45EB9"/>
    <w:rsid w:val="681542C4"/>
    <w:rsid w:val="681A5D7E"/>
    <w:rsid w:val="68680898"/>
    <w:rsid w:val="690F6F65"/>
    <w:rsid w:val="69313380"/>
    <w:rsid w:val="69794D27"/>
    <w:rsid w:val="69872FA0"/>
    <w:rsid w:val="69BB533F"/>
    <w:rsid w:val="69F34AD9"/>
    <w:rsid w:val="6A876FCF"/>
    <w:rsid w:val="6ADB7A47"/>
    <w:rsid w:val="6BC8789F"/>
    <w:rsid w:val="6C731F01"/>
    <w:rsid w:val="6CAE08A7"/>
    <w:rsid w:val="6E1E4B70"/>
    <w:rsid w:val="6E361438"/>
    <w:rsid w:val="6E82642B"/>
    <w:rsid w:val="6EDD3662"/>
    <w:rsid w:val="6F6D0E8A"/>
    <w:rsid w:val="6FD20CED"/>
    <w:rsid w:val="70293003"/>
    <w:rsid w:val="70C745CA"/>
    <w:rsid w:val="715F4802"/>
    <w:rsid w:val="71722787"/>
    <w:rsid w:val="71D60F68"/>
    <w:rsid w:val="723B526F"/>
    <w:rsid w:val="73351CBE"/>
    <w:rsid w:val="738F7621"/>
    <w:rsid w:val="73B13A3B"/>
    <w:rsid w:val="74416441"/>
    <w:rsid w:val="759C6025"/>
    <w:rsid w:val="76134B46"/>
    <w:rsid w:val="76984A3E"/>
    <w:rsid w:val="76BD44A5"/>
    <w:rsid w:val="77383B2B"/>
    <w:rsid w:val="77FC724F"/>
    <w:rsid w:val="785D7F1F"/>
    <w:rsid w:val="78774B27"/>
    <w:rsid w:val="78B35B5F"/>
    <w:rsid w:val="79181E66"/>
    <w:rsid w:val="7A9D6AC7"/>
    <w:rsid w:val="7C014E34"/>
    <w:rsid w:val="7DC9372F"/>
    <w:rsid w:val="7DDD71DA"/>
    <w:rsid w:val="7DE844FD"/>
    <w:rsid w:val="7ECB34D7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1144</Words>
  <Characters>6015</Characters>
  <Lines>0</Lines>
  <Paragraphs>0</Paragraphs>
  <TotalTime>0</TotalTime>
  <ScaleCrop>false</ScaleCrop>
  <LinksUpToDate>false</LinksUpToDate>
  <CharactersWithSpaces>6531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2026-04-20T03:16:00Z</dcterms:created>
  <dc:creator>Antwan Zhao</dc:creator>
  <cp:lastModifiedBy>Antwan Zhao</cp:lastModifiedBy>
  <dcterms:modified xsi:type="dcterms:W3CDTF">2026-05-17T13:40:51Z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9837DEC04E574FAA95EF47F0D31F91A8_11</vt:lpwstr>
  </property>
  <property fmtid="{D5CDD505-2E9C-101B-9397-08002B2CF9AE}" pid="4" name="KSOTemplateDocerSaveRecord">
    <vt:lpwstr>eyJoZGlkIjoiYzA0MDZkNjJhNTE1YjA4NjIzYThhOWVlY2VhNGJhYWYiLCJ1c2VySWQiOiI1NzgwMzQ5ODQifQ==</vt:lpwstr>
  </property>
</Properties>
</file>