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807" w:type="dxa"/>
        <w:jc w:val="center"/>
        <w:tblLook w:val="04A0" w:firstRow="1" w:lastRow="0" w:firstColumn="1" w:lastColumn="0" w:noHBand="0" w:noVBand="1"/>
      </w:tblPr>
      <w:tblGrid>
        <w:gridCol w:w="2591"/>
        <w:gridCol w:w="1067"/>
        <w:gridCol w:w="892"/>
        <w:gridCol w:w="1179"/>
        <w:gridCol w:w="1134"/>
      </w:tblGrid>
      <w:tr w:rsidR="00DF55EF" w:rsidRPr="00DD56DC" w14:paraId="0672AEE0" w14:textId="77777777" w:rsidTr="00DF55EF">
        <w:trPr>
          <w:trHeight w:val="915"/>
          <w:jc w:val="center"/>
        </w:trPr>
        <w:tc>
          <w:tcPr>
            <w:tcW w:w="6807" w:type="dxa"/>
            <w:gridSpan w:val="5"/>
            <w:tcBorders>
              <w:bottom w:val="single" w:sz="4" w:space="0" w:color="auto"/>
            </w:tcBorders>
            <w:vAlign w:val="bottom"/>
            <w:hideMark/>
          </w:tcPr>
          <w:p w14:paraId="3EB37A96"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b/>
                <w:bCs/>
                <w:color w:val="000000"/>
                <w:kern w:val="0"/>
                <w:sz w:val="22"/>
                <w:szCs w:val="22"/>
                <w:lang w:eastAsia="en-GB"/>
                <w14:ligatures w14:val="none"/>
              </w:rPr>
              <w:t>Supplementary Table S</w:t>
            </w:r>
            <w:r>
              <w:rPr>
                <w:rFonts w:ascii="Times New Roman" w:eastAsia="Times New Roman" w:hAnsi="Times New Roman" w:cs="Times New Roman"/>
                <w:b/>
                <w:bCs/>
                <w:color w:val="000000"/>
                <w:kern w:val="0"/>
                <w:sz w:val="22"/>
                <w:szCs w:val="22"/>
                <w:lang w:eastAsia="en-GB"/>
                <w14:ligatures w14:val="none"/>
              </w:rPr>
              <w:t>1</w:t>
            </w:r>
            <w:r w:rsidRPr="00DD56DC">
              <w:rPr>
                <w:rFonts w:ascii="Times New Roman" w:eastAsia="Times New Roman" w:hAnsi="Times New Roman" w:cs="Times New Roman"/>
                <w:b/>
                <w:bCs/>
                <w:color w:val="000000"/>
                <w:kern w:val="0"/>
                <w:sz w:val="22"/>
                <w:szCs w:val="22"/>
                <w:lang w:eastAsia="en-GB"/>
                <w14:ligatures w14:val="none"/>
              </w:rPr>
              <w:t>.</w:t>
            </w:r>
            <w:r w:rsidRPr="00DD56DC">
              <w:rPr>
                <w:rFonts w:ascii="Times New Roman" w:eastAsia="Times New Roman" w:hAnsi="Times New Roman" w:cs="Times New Roman"/>
                <w:color w:val="000000"/>
                <w:kern w:val="0"/>
                <w:sz w:val="22"/>
                <w:szCs w:val="22"/>
                <w:lang w:eastAsia="en-GB"/>
                <w14:ligatures w14:val="none"/>
              </w:rPr>
              <w:t xml:space="preserve"> Spearman correlations between inflammatory biomarkers and clinical and renal parameters among patients with type 2 diabetes mellitus</w:t>
            </w:r>
          </w:p>
        </w:tc>
      </w:tr>
      <w:tr w:rsidR="00DF55EF" w:rsidRPr="00F11B3B" w14:paraId="6CDD385B" w14:textId="77777777" w:rsidTr="00DF55EF">
        <w:trPr>
          <w:trHeight w:val="300"/>
          <w:jc w:val="center"/>
        </w:trPr>
        <w:tc>
          <w:tcPr>
            <w:tcW w:w="2591" w:type="dxa"/>
            <w:tcBorders>
              <w:top w:val="single" w:sz="4" w:space="0" w:color="auto"/>
              <w:left w:val="single" w:sz="4" w:space="0" w:color="auto"/>
              <w:bottom w:val="single" w:sz="4" w:space="0" w:color="auto"/>
              <w:right w:val="single" w:sz="4" w:space="0" w:color="auto"/>
            </w:tcBorders>
            <w:noWrap/>
            <w:vAlign w:val="bottom"/>
            <w:hideMark/>
          </w:tcPr>
          <w:p w14:paraId="78AB8DCE"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Variable</w:t>
            </w:r>
          </w:p>
        </w:tc>
        <w:tc>
          <w:tcPr>
            <w:tcW w:w="1067" w:type="dxa"/>
            <w:tcBorders>
              <w:top w:val="single" w:sz="4" w:space="0" w:color="auto"/>
              <w:left w:val="nil"/>
              <w:bottom w:val="single" w:sz="4" w:space="0" w:color="auto"/>
              <w:right w:val="single" w:sz="4" w:space="0" w:color="auto"/>
            </w:tcBorders>
            <w:noWrap/>
            <w:vAlign w:val="center"/>
            <w:hideMark/>
          </w:tcPr>
          <w:p w14:paraId="686C0E25" w14:textId="77777777" w:rsidR="00DF55EF" w:rsidRPr="00F11B3B"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0.185</w:t>
            </w:r>
          </w:p>
        </w:tc>
        <w:tc>
          <w:tcPr>
            <w:tcW w:w="836" w:type="dxa"/>
            <w:tcBorders>
              <w:top w:val="single" w:sz="4" w:space="0" w:color="auto"/>
              <w:left w:val="nil"/>
              <w:bottom w:val="single" w:sz="4" w:space="0" w:color="auto"/>
              <w:right w:val="single" w:sz="4" w:space="0" w:color="auto"/>
            </w:tcBorders>
            <w:noWrap/>
            <w:vAlign w:val="center"/>
            <w:hideMark/>
          </w:tcPr>
          <w:p w14:paraId="14679A74"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0.005</w:t>
            </w:r>
          </w:p>
        </w:tc>
        <w:tc>
          <w:tcPr>
            <w:tcW w:w="1179" w:type="dxa"/>
            <w:tcBorders>
              <w:top w:val="single" w:sz="4" w:space="0" w:color="auto"/>
              <w:left w:val="nil"/>
              <w:bottom w:val="single" w:sz="4" w:space="0" w:color="auto"/>
              <w:right w:val="single" w:sz="4" w:space="0" w:color="auto"/>
            </w:tcBorders>
            <w:noWrap/>
            <w:vAlign w:val="center"/>
            <w:hideMark/>
          </w:tcPr>
          <w:p w14:paraId="659D1507" w14:textId="77777777" w:rsidR="00DF55EF" w:rsidRPr="00F11B3B"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0.123</w:t>
            </w:r>
          </w:p>
        </w:tc>
        <w:tc>
          <w:tcPr>
            <w:tcW w:w="1134" w:type="dxa"/>
            <w:tcBorders>
              <w:top w:val="single" w:sz="4" w:space="0" w:color="auto"/>
              <w:left w:val="nil"/>
              <w:bottom w:val="single" w:sz="4" w:space="0" w:color="auto"/>
              <w:right w:val="single" w:sz="4" w:space="0" w:color="auto"/>
            </w:tcBorders>
            <w:noWrap/>
            <w:vAlign w:val="center"/>
            <w:hideMark/>
          </w:tcPr>
          <w:p w14:paraId="563C92EB" w14:textId="77777777" w:rsidR="00DF55EF" w:rsidRPr="00F11B3B"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0.064</w:t>
            </w:r>
          </w:p>
        </w:tc>
      </w:tr>
      <w:tr w:rsidR="00DF55EF" w:rsidRPr="00F11B3B" w14:paraId="1D501E11"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7DC7E5FA"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Age (years)</w:t>
            </w:r>
          </w:p>
        </w:tc>
        <w:tc>
          <w:tcPr>
            <w:tcW w:w="1067" w:type="dxa"/>
            <w:tcBorders>
              <w:top w:val="nil"/>
              <w:left w:val="nil"/>
              <w:bottom w:val="single" w:sz="4" w:space="0" w:color="auto"/>
              <w:right w:val="single" w:sz="4" w:space="0" w:color="auto"/>
            </w:tcBorders>
            <w:noWrap/>
            <w:vAlign w:val="center"/>
            <w:hideMark/>
          </w:tcPr>
          <w:p w14:paraId="78CEAFD0"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0.039</w:t>
            </w:r>
          </w:p>
        </w:tc>
        <w:tc>
          <w:tcPr>
            <w:tcW w:w="836" w:type="dxa"/>
            <w:tcBorders>
              <w:top w:val="nil"/>
              <w:left w:val="nil"/>
              <w:bottom w:val="single" w:sz="4" w:space="0" w:color="auto"/>
              <w:right w:val="single" w:sz="4" w:space="0" w:color="auto"/>
            </w:tcBorders>
            <w:noWrap/>
            <w:vAlign w:val="center"/>
            <w:hideMark/>
          </w:tcPr>
          <w:p w14:paraId="2C3BB27A"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0.561</w:t>
            </w:r>
          </w:p>
        </w:tc>
        <w:tc>
          <w:tcPr>
            <w:tcW w:w="1179" w:type="dxa"/>
            <w:tcBorders>
              <w:top w:val="nil"/>
              <w:left w:val="nil"/>
              <w:bottom w:val="single" w:sz="4" w:space="0" w:color="auto"/>
              <w:right w:val="single" w:sz="4" w:space="0" w:color="auto"/>
            </w:tcBorders>
            <w:noWrap/>
            <w:vAlign w:val="center"/>
            <w:hideMark/>
          </w:tcPr>
          <w:p w14:paraId="093ACC2A"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-0.114</w:t>
            </w:r>
          </w:p>
        </w:tc>
        <w:tc>
          <w:tcPr>
            <w:tcW w:w="1134" w:type="dxa"/>
            <w:tcBorders>
              <w:top w:val="nil"/>
              <w:left w:val="nil"/>
              <w:bottom w:val="single" w:sz="4" w:space="0" w:color="auto"/>
              <w:right w:val="single" w:sz="4" w:space="0" w:color="auto"/>
            </w:tcBorders>
            <w:noWrap/>
            <w:vAlign w:val="center"/>
            <w:hideMark/>
          </w:tcPr>
          <w:p w14:paraId="2FB71291"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0.086</w:t>
            </w:r>
          </w:p>
        </w:tc>
      </w:tr>
      <w:tr w:rsidR="00DF55EF" w:rsidRPr="00F11B3B" w14:paraId="4988C236"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259E4067"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Diabetes duration (years)</w:t>
            </w:r>
          </w:p>
        </w:tc>
        <w:tc>
          <w:tcPr>
            <w:tcW w:w="1067" w:type="dxa"/>
            <w:tcBorders>
              <w:top w:val="nil"/>
              <w:left w:val="nil"/>
              <w:bottom w:val="single" w:sz="4" w:space="0" w:color="auto"/>
              <w:right w:val="single" w:sz="4" w:space="0" w:color="auto"/>
            </w:tcBorders>
            <w:noWrap/>
            <w:vAlign w:val="center"/>
            <w:hideMark/>
          </w:tcPr>
          <w:p w14:paraId="43197B2C"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-0.076</w:t>
            </w:r>
          </w:p>
        </w:tc>
        <w:tc>
          <w:tcPr>
            <w:tcW w:w="836" w:type="dxa"/>
            <w:tcBorders>
              <w:top w:val="nil"/>
              <w:left w:val="nil"/>
              <w:bottom w:val="single" w:sz="4" w:space="0" w:color="auto"/>
              <w:right w:val="single" w:sz="4" w:space="0" w:color="auto"/>
            </w:tcBorders>
            <w:noWrap/>
            <w:vAlign w:val="center"/>
            <w:hideMark/>
          </w:tcPr>
          <w:p w14:paraId="439712F6"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0.252</w:t>
            </w:r>
          </w:p>
        </w:tc>
        <w:tc>
          <w:tcPr>
            <w:tcW w:w="1179" w:type="dxa"/>
            <w:tcBorders>
              <w:top w:val="nil"/>
              <w:left w:val="nil"/>
              <w:bottom w:val="single" w:sz="4" w:space="0" w:color="auto"/>
              <w:right w:val="single" w:sz="4" w:space="0" w:color="auto"/>
            </w:tcBorders>
            <w:noWrap/>
            <w:vAlign w:val="center"/>
            <w:hideMark/>
          </w:tcPr>
          <w:p w14:paraId="15BF4841"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0.018</w:t>
            </w:r>
          </w:p>
        </w:tc>
        <w:tc>
          <w:tcPr>
            <w:tcW w:w="1134" w:type="dxa"/>
            <w:tcBorders>
              <w:top w:val="nil"/>
              <w:left w:val="nil"/>
              <w:bottom w:val="single" w:sz="4" w:space="0" w:color="auto"/>
              <w:right w:val="single" w:sz="4" w:space="0" w:color="auto"/>
            </w:tcBorders>
            <w:noWrap/>
            <w:vAlign w:val="center"/>
            <w:hideMark/>
          </w:tcPr>
          <w:p w14:paraId="664393C4"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0.782</w:t>
            </w:r>
          </w:p>
        </w:tc>
      </w:tr>
      <w:tr w:rsidR="00DF55EF" w:rsidRPr="00F11B3B" w14:paraId="02E0DFE8"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1E8F5CB3"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BMI (kg/m²)</w:t>
            </w:r>
          </w:p>
        </w:tc>
        <w:tc>
          <w:tcPr>
            <w:tcW w:w="1067" w:type="dxa"/>
            <w:tcBorders>
              <w:top w:val="nil"/>
              <w:left w:val="nil"/>
              <w:bottom w:val="single" w:sz="4" w:space="0" w:color="auto"/>
              <w:right w:val="single" w:sz="4" w:space="0" w:color="auto"/>
            </w:tcBorders>
            <w:noWrap/>
            <w:vAlign w:val="center"/>
            <w:hideMark/>
          </w:tcPr>
          <w:p w14:paraId="7CE3F2A6"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-0.006</w:t>
            </w:r>
          </w:p>
        </w:tc>
        <w:tc>
          <w:tcPr>
            <w:tcW w:w="836" w:type="dxa"/>
            <w:tcBorders>
              <w:top w:val="nil"/>
              <w:left w:val="nil"/>
              <w:bottom w:val="single" w:sz="4" w:space="0" w:color="auto"/>
              <w:right w:val="single" w:sz="4" w:space="0" w:color="auto"/>
            </w:tcBorders>
            <w:noWrap/>
            <w:vAlign w:val="center"/>
            <w:hideMark/>
          </w:tcPr>
          <w:p w14:paraId="4FE0D047"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0.926</w:t>
            </w:r>
          </w:p>
        </w:tc>
        <w:tc>
          <w:tcPr>
            <w:tcW w:w="1179" w:type="dxa"/>
            <w:tcBorders>
              <w:top w:val="nil"/>
              <w:left w:val="nil"/>
              <w:bottom w:val="single" w:sz="4" w:space="0" w:color="auto"/>
              <w:right w:val="single" w:sz="4" w:space="0" w:color="auto"/>
            </w:tcBorders>
            <w:noWrap/>
            <w:vAlign w:val="center"/>
            <w:hideMark/>
          </w:tcPr>
          <w:p w14:paraId="7EA304F0"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0.041</w:t>
            </w:r>
          </w:p>
        </w:tc>
        <w:tc>
          <w:tcPr>
            <w:tcW w:w="1134" w:type="dxa"/>
            <w:tcBorders>
              <w:top w:val="nil"/>
              <w:left w:val="nil"/>
              <w:bottom w:val="single" w:sz="4" w:space="0" w:color="auto"/>
              <w:right w:val="single" w:sz="4" w:space="0" w:color="auto"/>
            </w:tcBorders>
            <w:noWrap/>
            <w:vAlign w:val="center"/>
            <w:hideMark/>
          </w:tcPr>
          <w:p w14:paraId="4F016086"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0.535</w:t>
            </w:r>
          </w:p>
        </w:tc>
      </w:tr>
      <w:tr w:rsidR="00DF55EF" w:rsidRPr="00F11B3B" w14:paraId="1F622869"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07FA77FD"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FPG (mmol/L)</w:t>
            </w:r>
          </w:p>
        </w:tc>
        <w:tc>
          <w:tcPr>
            <w:tcW w:w="1067" w:type="dxa"/>
            <w:tcBorders>
              <w:top w:val="nil"/>
              <w:left w:val="nil"/>
              <w:bottom w:val="single" w:sz="4" w:space="0" w:color="auto"/>
              <w:right w:val="single" w:sz="4" w:space="0" w:color="auto"/>
            </w:tcBorders>
            <w:noWrap/>
            <w:vAlign w:val="center"/>
            <w:hideMark/>
          </w:tcPr>
          <w:p w14:paraId="2ED9DAF0"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0.287</w:t>
            </w:r>
          </w:p>
        </w:tc>
        <w:tc>
          <w:tcPr>
            <w:tcW w:w="836" w:type="dxa"/>
            <w:tcBorders>
              <w:top w:val="nil"/>
              <w:left w:val="nil"/>
              <w:bottom w:val="single" w:sz="4" w:space="0" w:color="auto"/>
              <w:right w:val="single" w:sz="4" w:space="0" w:color="auto"/>
            </w:tcBorders>
            <w:noWrap/>
            <w:vAlign w:val="center"/>
            <w:hideMark/>
          </w:tcPr>
          <w:p w14:paraId="76B0F23B"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&lt;0.001</w:t>
            </w:r>
          </w:p>
        </w:tc>
        <w:tc>
          <w:tcPr>
            <w:tcW w:w="1179" w:type="dxa"/>
            <w:tcBorders>
              <w:top w:val="nil"/>
              <w:left w:val="nil"/>
              <w:bottom w:val="single" w:sz="4" w:space="0" w:color="auto"/>
              <w:right w:val="single" w:sz="4" w:space="0" w:color="auto"/>
            </w:tcBorders>
            <w:noWrap/>
            <w:vAlign w:val="center"/>
            <w:hideMark/>
          </w:tcPr>
          <w:p w14:paraId="7D49B635"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0.574</w:t>
            </w:r>
          </w:p>
        </w:tc>
        <w:tc>
          <w:tcPr>
            <w:tcW w:w="1134" w:type="dxa"/>
            <w:tcBorders>
              <w:top w:val="nil"/>
              <w:left w:val="nil"/>
              <w:bottom w:val="single" w:sz="4" w:space="0" w:color="auto"/>
              <w:right w:val="single" w:sz="4" w:space="0" w:color="auto"/>
            </w:tcBorders>
            <w:noWrap/>
            <w:vAlign w:val="center"/>
            <w:hideMark/>
          </w:tcPr>
          <w:p w14:paraId="0FDFFFB9"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&lt;0.001</w:t>
            </w:r>
          </w:p>
        </w:tc>
      </w:tr>
      <w:tr w:rsidR="00DF55EF" w:rsidRPr="00F11B3B" w14:paraId="2BD25341"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13B51392"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HbA1c (%)</w:t>
            </w:r>
          </w:p>
        </w:tc>
        <w:tc>
          <w:tcPr>
            <w:tcW w:w="1067" w:type="dxa"/>
            <w:tcBorders>
              <w:top w:val="nil"/>
              <w:left w:val="nil"/>
              <w:bottom w:val="single" w:sz="4" w:space="0" w:color="auto"/>
              <w:right w:val="single" w:sz="4" w:space="0" w:color="auto"/>
            </w:tcBorders>
            <w:noWrap/>
            <w:vAlign w:val="center"/>
            <w:hideMark/>
          </w:tcPr>
          <w:p w14:paraId="24BC9032"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-0.314</w:t>
            </w:r>
          </w:p>
        </w:tc>
        <w:tc>
          <w:tcPr>
            <w:tcW w:w="836" w:type="dxa"/>
            <w:tcBorders>
              <w:top w:val="nil"/>
              <w:left w:val="nil"/>
              <w:bottom w:val="single" w:sz="4" w:space="0" w:color="auto"/>
              <w:right w:val="single" w:sz="4" w:space="0" w:color="auto"/>
            </w:tcBorders>
            <w:noWrap/>
            <w:vAlign w:val="center"/>
            <w:hideMark/>
          </w:tcPr>
          <w:p w14:paraId="70F4A4EE"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&lt;0.001</w:t>
            </w:r>
          </w:p>
        </w:tc>
        <w:tc>
          <w:tcPr>
            <w:tcW w:w="1179" w:type="dxa"/>
            <w:tcBorders>
              <w:top w:val="nil"/>
              <w:left w:val="nil"/>
              <w:bottom w:val="single" w:sz="4" w:space="0" w:color="auto"/>
              <w:right w:val="single" w:sz="4" w:space="0" w:color="auto"/>
            </w:tcBorders>
            <w:noWrap/>
            <w:vAlign w:val="center"/>
            <w:hideMark/>
          </w:tcPr>
          <w:p w14:paraId="74682556"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-0.516</w:t>
            </w:r>
          </w:p>
        </w:tc>
        <w:tc>
          <w:tcPr>
            <w:tcW w:w="1134" w:type="dxa"/>
            <w:tcBorders>
              <w:top w:val="nil"/>
              <w:left w:val="nil"/>
              <w:bottom w:val="single" w:sz="4" w:space="0" w:color="auto"/>
              <w:right w:val="single" w:sz="4" w:space="0" w:color="auto"/>
            </w:tcBorders>
            <w:noWrap/>
            <w:vAlign w:val="center"/>
            <w:hideMark/>
          </w:tcPr>
          <w:p w14:paraId="5A6D3D37"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&lt;0.001</w:t>
            </w:r>
          </w:p>
        </w:tc>
      </w:tr>
      <w:tr w:rsidR="00DF55EF" w:rsidRPr="00F11B3B" w14:paraId="1310A2C1"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3ED0AA26"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Creatinine (µmol/L)</w:t>
            </w:r>
          </w:p>
        </w:tc>
        <w:tc>
          <w:tcPr>
            <w:tcW w:w="1067" w:type="dxa"/>
            <w:tcBorders>
              <w:top w:val="nil"/>
              <w:left w:val="nil"/>
              <w:bottom w:val="single" w:sz="4" w:space="0" w:color="auto"/>
              <w:right w:val="single" w:sz="4" w:space="0" w:color="auto"/>
            </w:tcBorders>
            <w:noWrap/>
            <w:vAlign w:val="center"/>
            <w:hideMark/>
          </w:tcPr>
          <w:p w14:paraId="661C3CDC"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0.185</w:t>
            </w:r>
          </w:p>
        </w:tc>
        <w:tc>
          <w:tcPr>
            <w:tcW w:w="836" w:type="dxa"/>
            <w:tcBorders>
              <w:top w:val="nil"/>
              <w:left w:val="nil"/>
              <w:bottom w:val="single" w:sz="4" w:space="0" w:color="auto"/>
              <w:right w:val="single" w:sz="4" w:space="0" w:color="auto"/>
            </w:tcBorders>
            <w:noWrap/>
            <w:vAlign w:val="center"/>
            <w:hideMark/>
          </w:tcPr>
          <w:p w14:paraId="6457A195"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0.005</w:t>
            </w:r>
          </w:p>
        </w:tc>
        <w:tc>
          <w:tcPr>
            <w:tcW w:w="1179" w:type="dxa"/>
            <w:tcBorders>
              <w:top w:val="nil"/>
              <w:left w:val="nil"/>
              <w:bottom w:val="single" w:sz="4" w:space="0" w:color="auto"/>
              <w:right w:val="single" w:sz="4" w:space="0" w:color="auto"/>
            </w:tcBorders>
            <w:noWrap/>
            <w:vAlign w:val="center"/>
            <w:hideMark/>
          </w:tcPr>
          <w:p w14:paraId="10DEACEB"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0.123</w:t>
            </w:r>
          </w:p>
        </w:tc>
        <w:tc>
          <w:tcPr>
            <w:tcW w:w="1134" w:type="dxa"/>
            <w:tcBorders>
              <w:top w:val="nil"/>
              <w:left w:val="nil"/>
              <w:bottom w:val="single" w:sz="4" w:space="0" w:color="auto"/>
              <w:right w:val="single" w:sz="4" w:space="0" w:color="auto"/>
            </w:tcBorders>
            <w:noWrap/>
            <w:vAlign w:val="center"/>
            <w:hideMark/>
          </w:tcPr>
          <w:p w14:paraId="499C7A67"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0.064</w:t>
            </w:r>
          </w:p>
        </w:tc>
      </w:tr>
      <w:tr w:rsidR="00DF55EF" w:rsidRPr="00F11B3B" w14:paraId="10CC4C26"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004077B8"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eGFR (mL/min/1.73 m²)</w:t>
            </w:r>
          </w:p>
        </w:tc>
        <w:tc>
          <w:tcPr>
            <w:tcW w:w="1067" w:type="dxa"/>
            <w:tcBorders>
              <w:top w:val="nil"/>
              <w:left w:val="nil"/>
              <w:bottom w:val="single" w:sz="4" w:space="0" w:color="auto"/>
              <w:right w:val="single" w:sz="4" w:space="0" w:color="auto"/>
            </w:tcBorders>
            <w:noWrap/>
            <w:vAlign w:val="center"/>
            <w:hideMark/>
          </w:tcPr>
          <w:p w14:paraId="443D8AC3"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0.039</w:t>
            </w:r>
          </w:p>
        </w:tc>
        <w:tc>
          <w:tcPr>
            <w:tcW w:w="836" w:type="dxa"/>
            <w:tcBorders>
              <w:top w:val="nil"/>
              <w:left w:val="nil"/>
              <w:bottom w:val="single" w:sz="4" w:space="0" w:color="auto"/>
              <w:right w:val="single" w:sz="4" w:space="0" w:color="auto"/>
            </w:tcBorders>
            <w:noWrap/>
            <w:vAlign w:val="center"/>
            <w:hideMark/>
          </w:tcPr>
          <w:p w14:paraId="0801282C"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0.561</w:t>
            </w:r>
          </w:p>
        </w:tc>
        <w:tc>
          <w:tcPr>
            <w:tcW w:w="1179" w:type="dxa"/>
            <w:tcBorders>
              <w:top w:val="nil"/>
              <w:left w:val="nil"/>
              <w:bottom w:val="single" w:sz="4" w:space="0" w:color="auto"/>
              <w:right w:val="single" w:sz="4" w:space="0" w:color="auto"/>
            </w:tcBorders>
            <w:noWrap/>
            <w:vAlign w:val="center"/>
            <w:hideMark/>
          </w:tcPr>
          <w:p w14:paraId="2F6ECCDE"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-0.114</w:t>
            </w:r>
          </w:p>
        </w:tc>
        <w:tc>
          <w:tcPr>
            <w:tcW w:w="1134" w:type="dxa"/>
            <w:tcBorders>
              <w:top w:val="nil"/>
              <w:left w:val="nil"/>
              <w:bottom w:val="single" w:sz="4" w:space="0" w:color="auto"/>
              <w:right w:val="single" w:sz="4" w:space="0" w:color="auto"/>
            </w:tcBorders>
            <w:noWrap/>
            <w:vAlign w:val="center"/>
            <w:hideMark/>
          </w:tcPr>
          <w:p w14:paraId="48B632EB"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0.086</w:t>
            </w:r>
          </w:p>
        </w:tc>
      </w:tr>
      <w:tr w:rsidR="00DF55EF" w:rsidRPr="00F11B3B" w14:paraId="3343335F" w14:textId="77777777" w:rsidTr="00DF55EF">
        <w:trPr>
          <w:trHeight w:val="300"/>
          <w:jc w:val="center"/>
        </w:trPr>
        <w:tc>
          <w:tcPr>
            <w:tcW w:w="2591" w:type="dxa"/>
            <w:tcBorders>
              <w:top w:val="nil"/>
              <w:left w:val="single" w:sz="4" w:space="0" w:color="auto"/>
              <w:bottom w:val="single" w:sz="4" w:space="0" w:color="auto"/>
              <w:right w:val="single" w:sz="4" w:space="0" w:color="auto"/>
            </w:tcBorders>
            <w:noWrap/>
            <w:vAlign w:val="bottom"/>
            <w:hideMark/>
          </w:tcPr>
          <w:p w14:paraId="0891FB11" w14:textId="77777777" w:rsidR="00DF55EF" w:rsidRPr="00DD56DC" w:rsidRDefault="00DF55EF" w:rsidP="00D158C2">
            <w:pPr>
              <w:spacing w:after="0" w:line="240" w:lineRule="auto"/>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color w:val="000000"/>
                <w:kern w:val="0"/>
                <w:sz w:val="22"/>
                <w:szCs w:val="22"/>
                <w:lang w:eastAsia="en-GB"/>
                <w14:ligatures w14:val="none"/>
              </w:rPr>
              <w:t>UACR (mg/g)</w:t>
            </w:r>
          </w:p>
        </w:tc>
        <w:tc>
          <w:tcPr>
            <w:tcW w:w="1067" w:type="dxa"/>
            <w:tcBorders>
              <w:top w:val="nil"/>
              <w:left w:val="nil"/>
              <w:bottom w:val="single" w:sz="4" w:space="0" w:color="auto"/>
              <w:right w:val="single" w:sz="4" w:space="0" w:color="auto"/>
            </w:tcBorders>
            <w:noWrap/>
            <w:vAlign w:val="center"/>
            <w:hideMark/>
          </w:tcPr>
          <w:p w14:paraId="6359638F"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-0.076</w:t>
            </w:r>
          </w:p>
        </w:tc>
        <w:tc>
          <w:tcPr>
            <w:tcW w:w="836" w:type="dxa"/>
            <w:tcBorders>
              <w:top w:val="nil"/>
              <w:left w:val="nil"/>
              <w:bottom w:val="single" w:sz="4" w:space="0" w:color="auto"/>
              <w:right w:val="single" w:sz="4" w:space="0" w:color="auto"/>
            </w:tcBorders>
            <w:noWrap/>
            <w:vAlign w:val="center"/>
            <w:hideMark/>
          </w:tcPr>
          <w:p w14:paraId="774D617A"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0.252</w:t>
            </w:r>
          </w:p>
        </w:tc>
        <w:tc>
          <w:tcPr>
            <w:tcW w:w="1179" w:type="dxa"/>
            <w:tcBorders>
              <w:top w:val="nil"/>
              <w:left w:val="nil"/>
              <w:bottom w:val="single" w:sz="4" w:space="0" w:color="auto"/>
              <w:right w:val="single" w:sz="4" w:space="0" w:color="auto"/>
            </w:tcBorders>
            <w:noWrap/>
            <w:vAlign w:val="center"/>
            <w:hideMark/>
          </w:tcPr>
          <w:p w14:paraId="6EA1812D"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val="uz-Cyrl-UZ" w:eastAsia="en-GB"/>
                <w14:ligatures w14:val="none"/>
              </w:rPr>
            </w:pPr>
            <w:r w:rsidRPr="00F11B3B">
              <w:rPr>
                <w:rFonts w:ascii="Times New Roman" w:hAnsi="Times New Roman" w:cs="Times New Roman"/>
              </w:rPr>
              <w:t>0.018</w:t>
            </w:r>
          </w:p>
        </w:tc>
        <w:tc>
          <w:tcPr>
            <w:tcW w:w="1134" w:type="dxa"/>
            <w:tcBorders>
              <w:top w:val="nil"/>
              <w:left w:val="nil"/>
              <w:bottom w:val="single" w:sz="4" w:space="0" w:color="auto"/>
              <w:right w:val="single" w:sz="4" w:space="0" w:color="auto"/>
            </w:tcBorders>
            <w:noWrap/>
            <w:vAlign w:val="center"/>
            <w:hideMark/>
          </w:tcPr>
          <w:p w14:paraId="44E57EED" w14:textId="77777777" w:rsidR="00DF55EF" w:rsidRPr="00F11B3B"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F11B3B">
              <w:rPr>
                <w:rFonts w:ascii="Times New Roman" w:hAnsi="Times New Roman" w:cs="Times New Roman"/>
              </w:rPr>
              <w:t>0.782</w:t>
            </w:r>
          </w:p>
        </w:tc>
      </w:tr>
      <w:tr w:rsidR="00DF55EF" w:rsidRPr="00DD56DC" w14:paraId="63CD29C9" w14:textId="77777777" w:rsidTr="00DF55EF">
        <w:trPr>
          <w:trHeight w:val="300"/>
          <w:jc w:val="center"/>
        </w:trPr>
        <w:tc>
          <w:tcPr>
            <w:tcW w:w="6807" w:type="dxa"/>
            <w:gridSpan w:val="5"/>
            <w:tcBorders>
              <w:top w:val="nil"/>
              <w:left w:val="single" w:sz="4" w:space="0" w:color="auto"/>
              <w:bottom w:val="single" w:sz="4" w:space="0" w:color="auto"/>
              <w:right w:val="single" w:sz="4" w:space="0" w:color="auto"/>
            </w:tcBorders>
            <w:noWrap/>
            <w:vAlign w:val="bottom"/>
          </w:tcPr>
          <w:p w14:paraId="3416A538" w14:textId="77777777" w:rsidR="00DF55EF" w:rsidRPr="00DD56DC" w:rsidRDefault="00DF55EF" w:rsidP="00D158C2">
            <w:pPr>
              <w:spacing w:after="0" w:line="240" w:lineRule="auto"/>
              <w:jc w:val="center"/>
              <w:rPr>
                <w:rFonts w:ascii="Times New Roman" w:eastAsia="Times New Roman" w:hAnsi="Times New Roman" w:cs="Times New Roman"/>
                <w:color w:val="000000"/>
                <w:kern w:val="0"/>
                <w:sz w:val="22"/>
                <w:szCs w:val="22"/>
                <w:lang w:eastAsia="en-GB"/>
                <w14:ligatures w14:val="none"/>
              </w:rPr>
            </w:pPr>
            <w:r w:rsidRPr="00DD56DC">
              <w:rPr>
                <w:rFonts w:ascii="Times New Roman" w:eastAsia="Times New Roman" w:hAnsi="Times New Roman" w:cs="Times New Roman"/>
                <w:b/>
                <w:bCs/>
                <w:color w:val="000000"/>
                <w:kern w:val="0"/>
                <w:sz w:val="16"/>
                <w:szCs w:val="16"/>
                <w:lang w:eastAsia="en-GB"/>
                <w14:ligatures w14:val="none"/>
              </w:rPr>
              <w:t>Abbreviations</w:t>
            </w:r>
            <w:r w:rsidRPr="00DD56DC">
              <w:rPr>
                <w:rFonts w:ascii="Times New Roman" w:eastAsia="Times New Roman" w:hAnsi="Times New Roman" w:cs="Times New Roman"/>
                <w:color w:val="000000"/>
                <w:kern w:val="0"/>
                <w:sz w:val="16"/>
                <w:szCs w:val="16"/>
                <w:lang w:eastAsia="en-GB"/>
                <w14:ligatures w14:val="none"/>
              </w:rPr>
              <w:t xml:space="preserve">: </w:t>
            </w:r>
            <w:proofErr w:type="spellStart"/>
            <w:r w:rsidRPr="00DD56DC">
              <w:rPr>
                <w:rFonts w:ascii="Times New Roman" w:eastAsia="Times New Roman" w:hAnsi="Times New Roman" w:cs="Times New Roman"/>
                <w:color w:val="000000"/>
                <w:kern w:val="0"/>
                <w:sz w:val="16"/>
                <w:szCs w:val="16"/>
                <w:lang w:eastAsia="en-GB"/>
                <w14:ligatures w14:val="none"/>
              </w:rPr>
              <w:t>hs</w:t>
            </w:r>
            <w:proofErr w:type="spellEnd"/>
            <w:r w:rsidRPr="00DD56DC">
              <w:rPr>
                <w:rFonts w:ascii="Times New Roman" w:eastAsia="Times New Roman" w:hAnsi="Times New Roman" w:cs="Times New Roman"/>
                <w:color w:val="000000"/>
                <w:kern w:val="0"/>
                <w:sz w:val="16"/>
                <w:szCs w:val="16"/>
                <w:lang w:eastAsia="en-GB"/>
                <w14:ligatures w14:val="none"/>
              </w:rPr>
              <w:t>-CRP, high-sensitivity C-reactive protein; IL-6, interleukin-6; BMI, body mass index; FPG, fasting plasma glucose; HbA1c, glycated haemoglobin; eGFR, estimated glomerular filtration rate; UACR, urinary albumin-to-creatinine ratio.</w:t>
            </w:r>
          </w:p>
        </w:tc>
      </w:tr>
    </w:tbl>
    <w:p w14:paraId="7B332FC0" w14:textId="77777777" w:rsidR="007159A9" w:rsidRDefault="007159A9"/>
    <w:p w14:paraId="60318AAA" w14:textId="77777777" w:rsidR="00DF55EF" w:rsidRDefault="00DF55EF"/>
    <w:p w14:paraId="6979FAA9" w14:textId="77777777" w:rsidR="00DF55EF" w:rsidRDefault="00DF55EF"/>
    <w:p w14:paraId="0C3D95D2" w14:textId="77777777" w:rsidR="00DF55EF" w:rsidRDefault="00DF55EF"/>
    <w:p w14:paraId="44B106DF" w14:textId="77777777" w:rsidR="00DF55EF" w:rsidRDefault="00DF55EF"/>
    <w:p w14:paraId="7115E2AB" w14:textId="77777777" w:rsidR="00DF55EF" w:rsidRDefault="00DF55EF"/>
    <w:p w14:paraId="44656E6A" w14:textId="77777777" w:rsidR="00DF55EF" w:rsidRDefault="00DF55EF"/>
    <w:p w14:paraId="5EC4E397" w14:textId="77777777" w:rsidR="00DF55EF" w:rsidRDefault="00DF55EF"/>
    <w:p w14:paraId="5FC3BAC3" w14:textId="77777777" w:rsidR="00DF55EF" w:rsidRDefault="00DF55EF"/>
    <w:p w14:paraId="342ADE8F" w14:textId="77777777" w:rsidR="00DF55EF" w:rsidRDefault="00DF55EF"/>
    <w:p w14:paraId="48168E51" w14:textId="77777777" w:rsidR="00DF55EF" w:rsidRDefault="00DF55EF"/>
    <w:p w14:paraId="5BFC6119" w14:textId="77777777" w:rsidR="00DF55EF" w:rsidRDefault="00DF55EF"/>
    <w:p w14:paraId="533348E8" w14:textId="77777777" w:rsidR="00DF55EF" w:rsidRDefault="00DF55EF"/>
    <w:p w14:paraId="72D8F4F8" w14:textId="77777777" w:rsidR="00DF55EF" w:rsidRDefault="00DF55EF"/>
    <w:p w14:paraId="4F1538E1" w14:textId="77777777" w:rsidR="00DF55EF" w:rsidRDefault="00DF55EF"/>
    <w:p w14:paraId="6E7AC599" w14:textId="77777777" w:rsidR="00DF55EF" w:rsidRDefault="00DF55EF"/>
    <w:p w14:paraId="28FC799D" w14:textId="77777777" w:rsidR="00DF55EF" w:rsidRDefault="00DF55EF"/>
    <w:p w14:paraId="358922D4" w14:textId="77777777" w:rsidR="00DF55EF" w:rsidRDefault="00DF55EF"/>
    <w:p w14:paraId="3C0D58B8" w14:textId="77777777" w:rsidR="00DF55EF" w:rsidRDefault="00DF55EF"/>
    <w:p w14:paraId="1E53C1A6" w14:textId="77777777" w:rsidR="00DF55EF" w:rsidRDefault="00DF55EF"/>
    <w:p w14:paraId="331E9515" w14:textId="77777777" w:rsidR="00DF55EF" w:rsidRDefault="00DF55EF"/>
    <w:p w14:paraId="321729E7" w14:textId="77777777" w:rsidR="00DF55EF" w:rsidRDefault="00DF55EF"/>
    <w:tbl>
      <w:tblPr>
        <w:tblStyle w:val="TableGrid"/>
        <w:tblW w:w="8217" w:type="dxa"/>
        <w:jc w:val="center"/>
        <w:tblLook w:val="04A0" w:firstRow="1" w:lastRow="0" w:firstColumn="1" w:lastColumn="0" w:noHBand="0" w:noVBand="1"/>
      </w:tblPr>
      <w:tblGrid>
        <w:gridCol w:w="2972"/>
        <w:gridCol w:w="3119"/>
        <w:gridCol w:w="2126"/>
      </w:tblGrid>
      <w:tr w:rsidR="00DF55EF" w:rsidRPr="00456921" w14:paraId="545641E9" w14:textId="77777777" w:rsidTr="00DF55EF">
        <w:trPr>
          <w:trHeight w:val="300"/>
          <w:jc w:val="center"/>
        </w:trPr>
        <w:tc>
          <w:tcPr>
            <w:tcW w:w="8217" w:type="dxa"/>
            <w:gridSpan w:val="3"/>
            <w:tcBorders>
              <w:top w:val="nil"/>
              <w:left w:val="nil"/>
              <w:bottom w:val="single" w:sz="4" w:space="0" w:color="auto"/>
              <w:right w:val="nil"/>
            </w:tcBorders>
            <w:noWrap/>
            <w:hideMark/>
          </w:tcPr>
          <w:p w14:paraId="053EC69E" w14:textId="77777777" w:rsidR="00DF55EF" w:rsidRPr="00456921" w:rsidRDefault="00DF55EF" w:rsidP="00D158C2">
            <w:pPr>
              <w:rPr>
                <w:rFonts w:ascii="Times New Roman" w:eastAsia="Times New Roman" w:hAnsi="Times New Roman" w:cs="Times New Roman"/>
                <w:b/>
                <w:bCs/>
                <w:color w:val="000000"/>
                <w:kern w:val="0"/>
                <w:lang w:eastAsia="en-GB"/>
                <w14:ligatures w14:val="none"/>
              </w:rPr>
            </w:pPr>
            <w:r w:rsidRPr="00456921">
              <w:rPr>
                <w:rFonts w:ascii="Times New Roman" w:eastAsia="Times New Roman" w:hAnsi="Times New Roman" w:cs="Times New Roman"/>
                <w:b/>
                <w:bCs/>
                <w:color w:val="000000"/>
                <w:kern w:val="0"/>
                <w:lang w:eastAsia="en-GB"/>
                <w14:ligatures w14:val="none"/>
              </w:rPr>
              <w:t>Supplementary Table S</w:t>
            </w:r>
            <w:r>
              <w:rPr>
                <w:rFonts w:ascii="Times New Roman" w:eastAsia="Times New Roman" w:hAnsi="Times New Roman" w:cs="Times New Roman"/>
                <w:b/>
                <w:bCs/>
                <w:color w:val="000000"/>
                <w:kern w:val="0"/>
                <w:lang w:eastAsia="en-GB"/>
                <w14:ligatures w14:val="none"/>
              </w:rPr>
              <w:t>2</w:t>
            </w:r>
            <w:r w:rsidRPr="00456921">
              <w:rPr>
                <w:rFonts w:ascii="Times New Roman" w:eastAsia="Times New Roman" w:hAnsi="Times New Roman" w:cs="Times New Roman"/>
                <w:b/>
                <w:bCs/>
                <w:color w:val="000000"/>
                <w:kern w:val="0"/>
                <w:lang w:eastAsia="en-GB"/>
                <w14:ligatures w14:val="none"/>
              </w:rPr>
              <w:t xml:space="preserve">. </w:t>
            </w:r>
            <w:r>
              <w:rPr>
                <w:rFonts w:ascii="Times New Roman" w:eastAsia="Times New Roman" w:hAnsi="Times New Roman" w:cs="Times New Roman"/>
                <w:b/>
                <w:bCs/>
                <w:color w:val="000000"/>
                <w:kern w:val="0"/>
                <w:lang w:eastAsia="en-GB"/>
                <w14:ligatures w14:val="none"/>
              </w:rPr>
              <w:t xml:space="preserve"> </w:t>
            </w:r>
            <w:r w:rsidRPr="00456921">
              <w:rPr>
                <w:rFonts w:ascii="Times New Roman" w:eastAsia="Times New Roman" w:hAnsi="Times New Roman" w:cs="Times New Roman"/>
                <w:color w:val="000000"/>
                <w:kern w:val="0"/>
                <w:lang w:eastAsia="en-GB"/>
                <w14:ligatures w14:val="none"/>
              </w:rPr>
              <w:t>Pairwise comparison of ROC curve AUCs using DeLong’s test</w:t>
            </w:r>
          </w:p>
        </w:tc>
      </w:tr>
      <w:tr w:rsidR="00DF55EF" w:rsidRPr="00456921" w14:paraId="05D548D1" w14:textId="77777777" w:rsidTr="00DF55EF">
        <w:trPr>
          <w:trHeight w:val="300"/>
          <w:jc w:val="center"/>
        </w:trPr>
        <w:tc>
          <w:tcPr>
            <w:tcW w:w="2972" w:type="dxa"/>
            <w:tcBorders>
              <w:top w:val="single" w:sz="4" w:space="0" w:color="auto"/>
            </w:tcBorders>
            <w:noWrap/>
            <w:hideMark/>
          </w:tcPr>
          <w:p w14:paraId="0C2B6F6C"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Comparison</w:t>
            </w:r>
          </w:p>
        </w:tc>
        <w:tc>
          <w:tcPr>
            <w:tcW w:w="3119" w:type="dxa"/>
            <w:tcBorders>
              <w:top w:val="single" w:sz="4" w:space="0" w:color="auto"/>
            </w:tcBorders>
            <w:noWrap/>
            <w:hideMark/>
          </w:tcPr>
          <w:p w14:paraId="795E4BA9"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AUC Difference (95% CI)</w:t>
            </w:r>
          </w:p>
        </w:tc>
        <w:tc>
          <w:tcPr>
            <w:tcW w:w="2126" w:type="dxa"/>
            <w:tcBorders>
              <w:top w:val="single" w:sz="4" w:space="0" w:color="auto"/>
            </w:tcBorders>
            <w:noWrap/>
            <w:hideMark/>
          </w:tcPr>
          <w:p w14:paraId="318992E6"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p-value</w:t>
            </w:r>
          </w:p>
        </w:tc>
      </w:tr>
      <w:tr w:rsidR="00DF55EF" w:rsidRPr="00456921" w14:paraId="6698EBA4" w14:textId="77777777" w:rsidTr="00DF55EF">
        <w:trPr>
          <w:trHeight w:val="300"/>
          <w:jc w:val="center"/>
        </w:trPr>
        <w:tc>
          <w:tcPr>
            <w:tcW w:w="2972" w:type="dxa"/>
            <w:noWrap/>
            <w:hideMark/>
          </w:tcPr>
          <w:p w14:paraId="6257236F"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1 vs. Model 2</w:t>
            </w:r>
          </w:p>
        </w:tc>
        <w:tc>
          <w:tcPr>
            <w:tcW w:w="3119" w:type="dxa"/>
            <w:noWrap/>
            <w:hideMark/>
          </w:tcPr>
          <w:p w14:paraId="43F74B4A"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-0.050 (-0.088 to -0.011)</w:t>
            </w:r>
          </w:p>
        </w:tc>
        <w:tc>
          <w:tcPr>
            <w:tcW w:w="2126" w:type="dxa"/>
            <w:noWrap/>
            <w:hideMark/>
          </w:tcPr>
          <w:p w14:paraId="01103A4A"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0.012</w:t>
            </w:r>
          </w:p>
        </w:tc>
      </w:tr>
      <w:tr w:rsidR="00DF55EF" w:rsidRPr="00456921" w14:paraId="6D8A225A" w14:textId="77777777" w:rsidTr="00DF55EF">
        <w:trPr>
          <w:trHeight w:val="300"/>
          <w:jc w:val="center"/>
        </w:trPr>
        <w:tc>
          <w:tcPr>
            <w:tcW w:w="2972" w:type="dxa"/>
            <w:noWrap/>
            <w:hideMark/>
          </w:tcPr>
          <w:p w14:paraId="1394ECB7"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1 vs. Model 3</w:t>
            </w:r>
          </w:p>
        </w:tc>
        <w:tc>
          <w:tcPr>
            <w:tcW w:w="3119" w:type="dxa"/>
            <w:noWrap/>
            <w:hideMark/>
          </w:tcPr>
          <w:p w14:paraId="5349EA44"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-0.112 (-0.159 to -0.064)</w:t>
            </w:r>
          </w:p>
        </w:tc>
        <w:tc>
          <w:tcPr>
            <w:tcW w:w="2126" w:type="dxa"/>
            <w:noWrap/>
            <w:hideMark/>
          </w:tcPr>
          <w:p w14:paraId="55AD1EF9"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&lt;0.001</w:t>
            </w:r>
          </w:p>
        </w:tc>
      </w:tr>
      <w:tr w:rsidR="00DF55EF" w:rsidRPr="00456921" w14:paraId="15CB5A91" w14:textId="77777777" w:rsidTr="00DF55EF">
        <w:trPr>
          <w:trHeight w:val="300"/>
          <w:jc w:val="center"/>
        </w:trPr>
        <w:tc>
          <w:tcPr>
            <w:tcW w:w="2972" w:type="dxa"/>
            <w:noWrap/>
            <w:hideMark/>
          </w:tcPr>
          <w:p w14:paraId="6754C61D"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1 vs. Model 4</w:t>
            </w:r>
          </w:p>
        </w:tc>
        <w:tc>
          <w:tcPr>
            <w:tcW w:w="3119" w:type="dxa"/>
            <w:noWrap/>
            <w:hideMark/>
          </w:tcPr>
          <w:p w14:paraId="3A412445"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-0.119 (-0.167 to -0.070)</w:t>
            </w:r>
          </w:p>
        </w:tc>
        <w:tc>
          <w:tcPr>
            <w:tcW w:w="2126" w:type="dxa"/>
            <w:noWrap/>
            <w:hideMark/>
          </w:tcPr>
          <w:p w14:paraId="70194DD2"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&lt;0.001</w:t>
            </w:r>
          </w:p>
        </w:tc>
      </w:tr>
      <w:tr w:rsidR="00DF55EF" w:rsidRPr="00456921" w14:paraId="1BE089EF" w14:textId="77777777" w:rsidTr="00DF55EF">
        <w:trPr>
          <w:trHeight w:val="300"/>
          <w:jc w:val="center"/>
        </w:trPr>
        <w:tc>
          <w:tcPr>
            <w:tcW w:w="2972" w:type="dxa"/>
            <w:noWrap/>
            <w:hideMark/>
          </w:tcPr>
          <w:p w14:paraId="355E2818"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2 vs. Model 3</w:t>
            </w:r>
          </w:p>
        </w:tc>
        <w:tc>
          <w:tcPr>
            <w:tcW w:w="3119" w:type="dxa"/>
            <w:noWrap/>
            <w:hideMark/>
          </w:tcPr>
          <w:p w14:paraId="7834FC21"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-0.062 (-0.104 to -0.021)</w:t>
            </w:r>
          </w:p>
        </w:tc>
        <w:tc>
          <w:tcPr>
            <w:tcW w:w="2126" w:type="dxa"/>
            <w:noWrap/>
            <w:hideMark/>
          </w:tcPr>
          <w:p w14:paraId="23B96EE8"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0.003</w:t>
            </w:r>
          </w:p>
        </w:tc>
      </w:tr>
      <w:tr w:rsidR="00DF55EF" w:rsidRPr="00456921" w14:paraId="34334AD3" w14:textId="77777777" w:rsidTr="00DF55EF">
        <w:trPr>
          <w:trHeight w:val="300"/>
          <w:jc w:val="center"/>
        </w:trPr>
        <w:tc>
          <w:tcPr>
            <w:tcW w:w="2972" w:type="dxa"/>
            <w:noWrap/>
            <w:hideMark/>
          </w:tcPr>
          <w:p w14:paraId="10184C86"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2 vs. Model 4</w:t>
            </w:r>
          </w:p>
        </w:tc>
        <w:tc>
          <w:tcPr>
            <w:tcW w:w="3119" w:type="dxa"/>
            <w:noWrap/>
            <w:hideMark/>
          </w:tcPr>
          <w:p w14:paraId="0F3C7B16"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-0.069 (-0.105 to -0.033)</w:t>
            </w:r>
          </w:p>
        </w:tc>
        <w:tc>
          <w:tcPr>
            <w:tcW w:w="2126" w:type="dxa"/>
            <w:noWrap/>
            <w:hideMark/>
          </w:tcPr>
          <w:p w14:paraId="1E4ABCA2"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&lt;0.001</w:t>
            </w:r>
          </w:p>
        </w:tc>
      </w:tr>
      <w:tr w:rsidR="00DF55EF" w:rsidRPr="00456921" w14:paraId="41AEFF6A" w14:textId="77777777" w:rsidTr="00DF55EF">
        <w:trPr>
          <w:trHeight w:val="300"/>
          <w:jc w:val="center"/>
        </w:trPr>
        <w:tc>
          <w:tcPr>
            <w:tcW w:w="2972" w:type="dxa"/>
            <w:noWrap/>
            <w:hideMark/>
          </w:tcPr>
          <w:p w14:paraId="2ECA4E6E"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Model 3 vs. Model 4</w:t>
            </w:r>
          </w:p>
        </w:tc>
        <w:tc>
          <w:tcPr>
            <w:tcW w:w="3119" w:type="dxa"/>
            <w:noWrap/>
            <w:hideMark/>
          </w:tcPr>
          <w:p w14:paraId="222F9A45"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-0.007 (-0.018 to 0.004)</w:t>
            </w:r>
          </w:p>
        </w:tc>
        <w:tc>
          <w:tcPr>
            <w:tcW w:w="2126" w:type="dxa"/>
            <w:noWrap/>
            <w:hideMark/>
          </w:tcPr>
          <w:p w14:paraId="173E0769" w14:textId="77777777" w:rsidR="00DF55EF" w:rsidRPr="00456921" w:rsidRDefault="00DF55EF" w:rsidP="00D158C2">
            <w:pPr>
              <w:rPr>
                <w:rFonts w:ascii="Times New Roman" w:eastAsia="Times New Roman" w:hAnsi="Times New Roman" w:cs="Times New Roman"/>
                <w:color w:val="000000"/>
                <w:kern w:val="0"/>
                <w:lang w:eastAsia="en-GB"/>
                <w14:ligatures w14:val="none"/>
              </w:rPr>
            </w:pPr>
            <w:r w:rsidRPr="00456921">
              <w:rPr>
                <w:rFonts w:ascii="Times New Roman" w:eastAsia="Times New Roman" w:hAnsi="Times New Roman" w:cs="Times New Roman"/>
                <w:color w:val="000000"/>
                <w:kern w:val="0"/>
                <w:lang w:eastAsia="en-GB"/>
                <w14:ligatures w14:val="none"/>
              </w:rPr>
              <w:t>0.208</w:t>
            </w:r>
          </w:p>
        </w:tc>
      </w:tr>
      <w:tr w:rsidR="00DF55EF" w:rsidRPr="00456921" w14:paraId="407A2FB7" w14:textId="77777777" w:rsidTr="00DF55EF">
        <w:trPr>
          <w:trHeight w:val="300"/>
          <w:jc w:val="center"/>
        </w:trPr>
        <w:tc>
          <w:tcPr>
            <w:tcW w:w="8217" w:type="dxa"/>
            <w:gridSpan w:val="3"/>
            <w:noWrap/>
            <w:hideMark/>
          </w:tcPr>
          <w:p w14:paraId="71896F27" w14:textId="77777777" w:rsidR="00DF55EF" w:rsidRPr="00456921" w:rsidRDefault="00DF55EF" w:rsidP="00D158C2">
            <w:pPr>
              <w:rPr>
                <w:rFonts w:ascii="Times New Roman" w:eastAsia="Times New Roman" w:hAnsi="Times New Roman" w:cs="Times New Roman"/>
                <w:color w:val="000000"/>
                <w:kern w:val="0"/>
                <w:sz w:val="16"/>
                <w:szCs w:val="16"/>
                <w:lang w:eastAsia="en-GB"/>
                <w14:ligatures w14:val="none"/>
              </w:rPr>
            </w:pPr>
            <w:r w:rsidRPr="00456921">
              <w:rPr>
                <w:rFonts w:ascii="Times New Roman" w:eastAsia="Times New Roman" w:hAnsi="Times New Roman" w:cs="Times New Roman"/>
                <w:b/>
                <w:bCs/>
                <w:color w:val="000000"/>
                <w:kern w:val="0"/>
                <w:sz w:val="16"/>
                <w:szCs w:val="16"/>
                <w:lang w:eastAsia="en-GB"/>
                <w14:ligatures w14:val="none"/>
              </w:rPr>
              <w:t>Note:</w:t>
            </w:r>
            <w:r w:rsidRPr="00456921">
              <w:rPr>
                <w:rFonts w:ascii="Times New Roman" w:eastAsia="Times New Roman" w:hAnsi="Times New Roman" w:cs="Times New Roman"/>
                <w:color w:val="000000"/>
                <w:kern w:val="0"/>
                <w:sz w:val="16"/>
                <w:szCs w:val="16"/>
                <w:lang w:eastAsia="en-GB"/>
                <w14:ligatures w14:val="none"/>
              </w:rPr>
              <w:t xml:space="preserve"> Pairwise comparisons of the area under the receiver operating characteristic curve (AUC) were performed using DeLong’s test. Negative AUC differences indicate superior discriminatory performance of the second model in each comparison. Statistical significance was defined as </w:t>
            </w:r>
            <w:r w:rsidRPr="00456921">
              <w:rPr>
                <w:rFonts w:ascii="Times New Roman" w:eastAsia="Times New Roman" w:hAnsi="Times New Roman" w:cs="Times New Roman"/>
                <w:i/>
                <w:iCs/>
                <w:color w:val="000000"/>
                <w:kern w:val="0"/>
                <w:sz w:val="16"/>
                <w:szCs w:val="16"/>
                <w:lang w:eastAsia="en-GB"/>
                <w14:ligatures w14:val="none"/>
              </w:rPr>
              <w:t>p</w:t>
            </w:r>
            <w:r w:rsidRPr="00456921">
              <w:rPr>
                <w:rFonts w:ascii="Times New Roman" w:eastAsia="Times New Roman" w:hAnsi="Times New Roman" w:cs="Times New Roman"/>
                <w:color w:val="000000"/>
                <w:kern w:val="0"/>
                <w:sz w:val="16"/>
                <w:szCs w:val="16"/>
                <w:lang w:eastAsia="en-GB"/>
                <w14:ligatures w14:val="none"/>
              </w:rPr>
              <w:t xml:space="preserve"> &lt; 0.05.</w:t>
            </w:r>
          </w:p>
        </w:tc>
      </w:tr>
    </w:tbl>
    <w:p w14:paraId="3CB84BC0" w14:textId="77777777" w:rsidR="00DF55EF" w:rsidRDefault="00DF55EF"/>
    <w:sectPr w:rsidR="00DF5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1"/>
    <w:rsid w:val="00395015"/>
    <w:rsid w:val="00514595"/>
    <w:rsid w:val="007159A9"/>
    <w:rsid w:val="007337D1"/>
    <w:rsid w:val="00BA4031"/>
    <w:rsid w:val="00D11426"/>
    <w:rsid w:val="00DF5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2C94"/>
  <w15:chartTrackingRefBased/>
  <w15:docId w15:val="{B4EF6DFB-B2AB-4993-8923-8336454F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EF"/>
  </w:style>
  <w:style w:type="paragraph" w:styleId="Heading1">
    <w:name w:val="heading 1"/>
    <w:basedOn w:val="Normal"/>
    <w:next w:val="Normal"/>
    <w:link w:val="Heading1Char"/>
    <w:uiPriority w:val="9"/>
    <w:qFormat/>
    <w:rsid w:val="00BA4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4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4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4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4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4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4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4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4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4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4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4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4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4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031"/>
    <w:rPr>
      <w:rFonts w:eastAsiaTheme="majorEastAsia" w:cstheme="majorBidi"/>
      <w:color w:val="272727" w:themeColor="text1" w:themeTint="D8"/>
    </w:rPr>
  </w:style>
  <w:style w:type="paragraph" w:styleId="Title">
    <w:name w:val="Title"/>
    <w:basedOn w:val="Normal"/>
    <w:next w:val="Normal"/>
    <w:link w:val="TitleChar"/>
    <w:uiPriority w:val="10"/>
    <w:qFormat/>
    <w:rsid w:val="00BA4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4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031"/>
    <w:pPr>
      <w:spacing w:before="160"/>
      <w:jc w:val="center"/>
    </w:pPr>
    <w:rPr>
      <w:i/>
      <w:iCs/>
      <w:color w:val="404040" w:themeColor="text1" w:themeTint="BF"/>
    </w:rPr>
  </w:style>
  <w:style w:type="character" w:customStyle="1" w:styleId="QuoteChar">
    <w:name w:val="Quote Char"/>
    <w:basedOn w:val="DefaultParagraphFont"/>
    <w:link w:val="Quote"/>
    <w:uiPriority w:val="29"/>
    <w:rsid w:val="00BA4031"/>
    <w:rPr>
      <w:i/>
      <w:iCs/>
      <w:color w:val="404040" w:themeColor="text1" w:themeTint="BF"/>
    </w:rPr>
  </w:style>
  <w:style w:type="paragraph" w:styleId="ListParagraph">
    <w:name w:val="List Paragraph"/>
    <w:basedOn w:val="Normal"/>
    <w:uiPriority w:val="34"/>
    <w:qFormat/>
    <w:rsid w:val="00BA4031"/>
    <w:pPr>
      <w:ind w:left="720"/>
      <w:contextualSpacing/>
    </w:pPr>
  </w:style>
  <w:style w:type="character" w:styleId="IntenseEmphasis">
    <w:name w:val="Intense Emphasis"/>
    <w:basedOn w:val="DefaultParagraphFont"/>
    <w:uiPriority w:val="21"/>
    <w:qFormat/>
    <w:rsid w:val="00BA4031"/>
    <w:rPr>
      <w:i/>
      <w:iCs/>
      <w:color w:val="0F4761" w:themeColor="accent1" w:themeShade="BF"/>
    </w:rPr>
  </w:style>
  <w:style w:type="paragraph" w:styleId="IntenseQuote">
    <w:name w:val="Intense Quote"/>
    <w:basedOn w:val="Normal"/>
    <w:next w:val="Normal"/>
    <w:link w:val="IntenseQuoteChar"/>
    <w:uiPriority w:val="30"/>
    <w:qFormat/>
    <w:rsid w:val="00BA4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4031"/>
    <w:rPr>
      <w:i/>
      <w:iCs/>
      <w:color w:val="0F4761" w:themeColor="accent1" w:themeShade="BF"/>
    </w:rPr>
  </w:style>
  <w:style w:type="character" w:styleId="IntenseReference">
    <w:name w:val="Intense Reference"/>
    <w:basedOn w:val="DefaultParagraphFont"/>
    <w:uiPriority w:val="32"/>
    <w:qFormat/>
    <w:rsid w:val="00BA4031"/>
    <w:rPr>
      <w:b/>
      <w:bCs/>
      <w:smallCaps/>
      <w:color w:val="0F4761" w:themeColor="accent1" w:themeShade="BF"/>
      <w:spacing w:val="5"/>
    </w:rPr>
  </w:style>
  <w:style w:type="table" w:styleId="TableGrid">
    <w:name w:val="Table Grid"/>
    <w:basedOn w:val="TableNormal"/>
    <w:uiPriority w:val="39"/>
    <w:rsid w:val="00DF5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1293</Characters>
  <Application>Microsoft Office Word</Application>
  <DocSecurity>0</DocSecurity>
  <Lines>56</Lines>
  <Paragraphs>57</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Olimjan Nazirkulov</dc:creator>
  <cp:keywords/>
  <dc:description/>
  <cp:lastModifiedBy>Olimjan Nazirkulov</cp:lastModifiedBy>
  <cp:revision>2</cp:revision>
  <dcterms:created xsi:type="dcterms:W3CDTF">2026-06-18T10:47:00Z</dcterms:created>
  <dcterms:modified xsi:type="dcterms:W3CDTF">2026-06-18T10:48:00Z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4b3a6006-711f-4882-801f-fd1be2e03d0b</vt:lpwstr>
  </property>
</Properties>
</file>