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B8861">
      <w:pPr>
        <w:spacing w:line="360" w:lineRule="auto"/>
        <w:jc w:val="center"/>
        <w:rPr>
          <w:rFonts w:hint="eastAsia" w:ascii="Times New Roman" w:hAnsi="Times New Roman" w:eastAsia="黑体"/>
          <w:b/>
          <w:bCs/>
          <w:color w:val="000000"/>
          <w:sz w:val="24"/>
          <w:szCs w:val="20"/>
        </w:rPr>
      </w:pPr>
      <w:bookmarkStart w:id="4" w:name="_GoBack"/>
      <w:r>
        <w:rPr>
          <w:rFonts w:hint="eastAsia" w:ascii="Times New Roman" w:hAnsi="Times New Roman" w:eastAsia="黑体"/>
          <w:b/>
          <w:bCs/>
          <w:color w:val="000000"/>
          <w:sz w:val="24"/>
          <w:szCs w:val="20"/>
        </w:rPr>
        <w:t>Valorization of Pomelo Peel into a Carboxyl</w:t>
      </w:r>
      <w:r>
        <w:rPr>
          <w:rFonts w:hint="eastAsia" w:ascii="Times New Roman" w:hAnsi="Times New Roman" w:eastAsia="黑体"/>
          <w:b/>
          <w:bCs/>
          <w:color w:val="000000"/>
          <w:sz w:val="24"/>
          <w:szCs w:val="20"/>
          <w:lang w:val="en-US" w:eastAsia="zh-CN"/>
        </w:rPr>
        <w:t>-</w:t>
      </w:r>
      <w:r>
        <w:rPr>
          <w:rFonts w:hint="eastAsia" w:ascii="Times New Roman" w:hAnsi="Times New Roman" w:eastAsia="黑体"/>
          <w:b/>
          <w:bCs/>
          <w:color w:val="000000"/>
          <w:sz w:val="24"/>
          <w:szCs w:val="20"/>
        </w:rPr>
        <w:t>Rich Adsorbent for Charge-Selective Removal of Cationic Dyes</w:t>
      </w:r>
    </w:p>
    <w:bookmarkEnd w:id="4"/>
    <w:p w14:paraId="44AA116E">
      <w:pPr>
        <w:spacing w:line="360" w:lineRule="auto"/>
        <w:jc w:val="center"/>
        <w:rPr>
          <w:rFonts w:ascii="Times New Roman" w:hAnsi="Times New Roman"/>
          <w:bCs/>
          <w:color w:val="000000" w:themeColor="text1"/>
          <w:kern w:val="0"/>
          <w:sz w:val="20"/>
          <w:vertAlign w:val="superscript"/>
          <w:lang w:bidi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Cs/>
          <w:color w:val="000000" w:themeColor="text1"/>
          <w:kern w:val="0"/>
          <w:sz w:val="20"/>
          <w:lang w:bidi="en-US"/>
          <w14:textFill>
            <w14:solidFill>
              <w14:schemeClr w14:val="tx1"/>
            </w14:solidFill>
          </w14:textFill>
        </w:rPr>
        <w:t>Linlin Du</w:t>
      </w:r>
      <w:r>
        <w:rPr>
          <w:rFonts w:hint="eastAsia" w:ascii="Times New Roman" w:hAnsi="Times New Roman"/>
          <w:bCs/>
          <w:color w:val="000000" w:themeColor="text1"/>
          <w:kern w:val="0"/>
          <w:sz w:val="20"/>
          <w:vertAlign w:val="superscript"/>
          <w:lang w:bidi="en-US"/>
          <w14:textFill>
            <w14:solidFill>
              <w14:schemeClr w14:val="tx1"/>
            </w14:solidFill>
          </w14:textFill>
        </w:rPr>
        <w:t>a*</w:t>
      </w:r>
      <w:r>
        <w:rPr>
          <w:rFonts w:hint="eastAsia" w:ascii="Times New Roman" w:hAnsi="Times New Roman"/>
          <w:bCs/>
          <w:color w:val="000000" w:themeColor="text1"/>
          <w:kern w:val="0"/>
          <w:sz w:val="20"/>
          <w:lang w:bidi="en-US"/>
          <w14:textFill>
            <w14:solidFill>
              <w14:schemeClr w14:val="tx1"/>
            </w14:solidFill>
          </w14:textFill>
        </w:rPr>
        <w:t>, Jiaxing Jiang</w:t>
      </w:r>
      <w:r>
        <w:rPr>
          <w:rFonts w:hint="eastAsia" w:ascii="Times New Roman" w:hAnsi="Times New Roman"/>
          <w:bCs/>
          <w:color w:val="000000" w:themeColor="text1"/>
          <w:kern w:val="0"/>
          <w:sz w:val="20"/>
          <w:vertAlign w:val="superscript"/>
          <w:lang w:bidi="en-US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/>
          <w:bCs/>
          <w:color w:val="000000" w:themeColor="text1"/>
          <w:kern w:val="0"/>
          <w:sz w:val="20"/>
          <w:lang w:bidi="en-US"/>
          <w14:textFill>
            <w14:solidFill>
              <w14:schemeClr w14:val="tx1"/>
            </w14:solidFill>
          </w14:textFill>
        </w:rPr>
        <w:t>, Dayong Xie</w:t>
      </w:r>
      <w:r>
        <w:rPr>
          <w:rFonts w:hint="eastAsia" w:ascii="Times New Roman" w:hAnsi="Times New Roman"/>
          <w:bCs/>
          <w:color w:val="000000" w:themeColor="text1"/>
          <w:kern w:val="0"/>
          <w:sz w:val="20"/>
          <w:vertAlign w:val="superscript"/>
          <w:lang w:bidi="en-US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/>
          <w:bCs/>
          <w:color w:val="000000" w:themeColor="text1"/>
          <w:kern w:val="0"/>
          <w:sz w:val="20"/>
          <w:lang w:bidi="en-US"/>
          <w14:textFill>
            <w14:solidFill>
              <w14:schemeClr w14:val="tx1"/>
            </w14:solidFill>
          </w14:textFill>
        </w:rPr>
        <w:t>, Yingbo Zhang</w:t>
      </w:r>
      <w:r>
        <w:rPr>
          <w:rFonts w:hint="eastAsia" w:ascii="Times New Roman" w:hAnsi="Times New Roman"/>
          <w:bCs/>
          <w:color w:val="000000" w:themeColor="text1"/>
          <w:kern w:val="0"/>
          <w:sz w:val="20"/>
          <w:vertAlign w:val="superscript"/>
          <w:lang w:bidi="en-US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/>
          <w:bCs/>
          <w:color w:val="000000" w:themeColor="text1"/>
          <w:kern w:val="0"/>
          <w:sz w:val="20"/>
          <w:lang w:bidi="en-US"/>
          <w14:textFill>
            <w14:solidFill>
              <w14:schemeClr w14:val="tx1"/>
            </w14:solidFill>
          </w14:textFill>
        </w:rPr>
        <w:t>, Bing Niu</w:t>
      </w:r>
      <w:r>
        <w:rPr>
          <w:rFonts w:hint="eastAsia" w:ascii="Times New Roman" w:hAnsi="Times New Roman"/>
          <w:bCs/>
          <w:color w:val="000000" w:themeColor="text1"/>
          <w:kern w:val="0"/>
          <w:sz w:val="20"/>
          <w:vertAlign w:val="superscript"/>
          <w:lang w:bidi="en-US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/>
          <w:bCs/>
          <w:color w:val="000000" w:themeColor="text1"/>
          <w:kern w:val="0"/>
          <w:sz w:val="20"/>
          <w:lang w:bidi="en-US"/>
          <w14:textFill>
            <w14:solidFill>
              <w14:schemeClr w14:val="tx1"/>
            </w14:solidFill>
          </w14:textFill>
        </w:rPr>
        <w:t>, Sisi Ma</w:t>
      </w:r>
      <w:r>
        <w:rPr>
          <w:rFonts w:hint="eastAsia" w:ascii="Times New Roman" w:hAnsi="Times New Roman"/>
          <w:bCs/>
          <w:color w:val="000000" w:themeColor="text1"/>
          <w:kern w:val="0"/>
          <w:sz w:val="20"/>
          <w:vertAlign w:val="superscript"/>
          <w:lang w:bidi="en-US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/>
          <w:bCs/>
          <w:color w:val="000000" w:themeColor="text1"/>
          <w:kern w:val="0"/>
          <w:sz w:val="20"/>
          <w:lang w:bidi="en-US"/>
          <w14:textFill>
            <w14:solidFill>
              <w14:schemeClr w14:val="tx1"/>
            </w14:solidFill>
          </w14:textFill>
        </w:rPr>
        <w:t>, Wenying Shi</w:t>
      </w:r>
      <w:r>
        <w:rPr>
          <w:rFonts w:hint="eastAsia" w:ascii="Times New Roman" w:hAnsi="Times New Roman"/>
          <w:bCs/>
          <w:color w:val="000000" w:themeColor="text1"/>
          <w:kern w:val="0"/>
          <w:sz w:val="20"/>
          <w:vertAlign w:val="superscript"/>
          <w:lang w:bidi="en-US"/>
          <w14:textFill>
            <w14:solidFill>
              <w14:schemeClr w14:val="tx1"/>
            </w14:solidFill>
          </w14:textFill>
        </w:rPr>
        <w:t>a</w:t>
      </w:r>
    </w:p>
    <w:p w14:paraId="2781A008">
      <w:pPr>
        <w:spacing w:line="360" w:lineRule="auto"/>
        <w:jc w:val="center"/>
        <w:rPr>
          <w:rFonts w:ascii="Times New Roman" w:hAnsi="Times New Roman"/>
          <w:color w:val="000000" w:themeColor="text1"/>
          <w:kern w:val="0"/>
          <w:sz w:val="18"/>
          <w:szCs w:val="20"/>
          <w:lang w:bidi="en-US"/>
          <w14:textFill>
            <w14:solidFill>
              <w14:schemeClr w14:val="tx1"/>
            </w14:solidFill>
          </w14:textFill>
        </w:rPr>
      </w:pPr>
      <w:bookmarkStart w:id="0" w:name="_Hlk204183081"/>
      <w:r>
        <w:rPr>
          <w:rFonts w:hint="eastAsia" w:ascii="Times New Roman" w:hAnsi="Times New Roman"/>
          <w:color w:val="000000" w:themeColor="text1"/>
          <w:kern w:val="0"/>
          <w:sz w:val="18"/>
          <w:szCs w:val="20"/>
          <w:vertAlign w:val="superscript"/>
          <w:lang w:bidi="en-US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/>
          <w:color w:val="000000" w:themeColor="text1"/>
          <w:kern w:val="0"/>
          <w:sz w:val="18"/>
          <w:szCs w:val="20"/>
          <w:lang w:bidi="en-US"/>
          <w14:textFill>
            <w14:solidFill>
              <w14:schemeClr w14:val="tx1"/>
            </w14:solidFill>
          </w14:textFill>
        </w:rPr>
        <w:t xml:space="preserve"> College</w:t>
      </w:r>
      <w:r>
        <w:rPr>
          <w:rFonts w:ascii="Times New Roman" w:hAnsi="Times New Roman" w:eastAsia="Times New Roman"/>
          <w:color w:val="000000" w:themeColor="text1"/>
          <w:kern w:val="0"/>
          <w:sz w:val="18"/>
          <w:szCs w:val="20"/>
          <w:lang w:eastAsia="de-DE" w:bidi="en-US"/>
          <w14:textFill>
            <w14:solidFill>
              <w14:schemeClr w14:val="tx1"/>
            </w14:solidFill>
          </w14:textFill>
        </w:rPr>
        <w:t xml:space="preserve"> of Textile Engineering</w:t>
      </w:r>
      <w:bookmarkEnd w:id="0"/>
      <w:r>
        <w:rPr>
          <w:rFonts w:ascii="Times New Roman" w:hAnsi="Times New Roman" w:eastAsia="Times New Roman"/>
          <w:color w:val="000000" w:themeColor="text1"/>
          <w:kern w:val="0"/>
          <w:sz w:val="18"/>
          <w:szCs w:val="20"/>
          <w:lang w:eastAsia="de-DE" w:bidi="en-US"/>
          <w14:textFill>
            <w14:solidFill>
              <w14:schemeClr w14:val="tx1"/>
            </w14:solidFill>
          </w14:textFill>
        </w:rPr>
        <w:t xml:space="preserve">, </w:t>
      </w:r>
      <w:bookmarkStart w:id="1" w:name="OLE_LINK17"/>
      <w:r>
        <w:rPr>
          <w:rFonts w:ascii="Times New Roman" w:hAnsi="Times New Roman" w:eastAsia="Times New Roman"/>
          <w:color w:val="000000" w:themeColor="text1"/>
          <w:kern w:val="0"/>
          <w:sz w:val="18"/>
          <w:szCs w:val="20"/>
          <w:lang w:eastAsia="de-DE" w:bidi="en-US"/>
          <w14:textFill>
            <w14:solidFill>
              <w14:schemeClr w14:val="tx1"/>
            </w14:solidFill>
          </w14:textFill>
        </w:rPr>
        <w:t>Henan University of Engineering</w:t>
      </w:r>
      <w:bookmarkEnd w:id="1"/>
      <w:r>
        <w:rPr>
          <w:rFonts w:ascii="Times New Roman" w:hAnsi="Times New Roman" w:eastAsia="Times New Roman"/>
          <w:color w:val="000000" w:themeColor="text1"/>
          <w:kern w:val="0"/>
          <w:sz w:val="18"/>
          <w:szCs w:val="20"/>
          <w:lang w:eastAsia="de-DE" w:bidi="en-US"/>
          <w14:textFill>
            <w14:solidFill>
              <w14:schemeClr w14:val="tx1"/>
            </w14:solidFill>
          </w14:textFill>
        </w:rPr>
        <w:t xml:space="preserve">, Zhengzhou </w:t>
      </w:r>
      <w:r>
        <w:rPr>
          <w:rFonts w:hint="eastAsia" w:ascii="Times New Roman" w:hAnsi="Times New Roman" w:eastAsia="Times New Roman"/>
          <w:color w:val="000000" w:themeColor="text1"/>
          <w:kern w:val="0"/>
          <w:sz w:val="18"/>
          <w:szCs w:val="20"/>
          <w:lang w:eastAsia="de-DE" w:bidi="en-US"/>
          <w14:textFill>
            <w14:solidFill>
              <w14:schemeClr w14:val="tx1"/>
            </w14:solidFill>
          </w14:textFill>
        </w:rPr>
        <w:t>451191</w:t>
      </w:r>
      <w:r>
        <w:rPr>
          <w:rFonts w:ascii="Times New Roman" w:hAnsi="Times New Roman" w:eastAsia="Times New Roman"/>
          <w:color w:val="000000" w:themeColor="text1"/>
          <w:kern w:val="0"/>
          <w:sz w:val="18"/>
          <w:szCs w:val="20"/>
          <w:lang w:eastAsia="de-DE" w:bidi="en-US"/>
          <w14:textFill>
            <w14:solidFill>
              <w14:schemeClr w14:val="tx1"/>
            </w14:solidFill>
          </w14:textFill>
        </w:rPr>
        <w:t>, China</w:t>
      </w:r>
    </w:p>
    <w:p w14:paraId="51F1B846">
      <w:pPr>
        <w:spacing w:line="360" w:lineRule="auto"/>
        <w:jc w:val="center"/>
        <w:rPr>
          <w:rFonts w:ascii="Times New Roman" w:hAnsi="Times New Roman"/>
          <w:color w:val="000000" w:themeColor="text1"/>
          <w:kern w:val="0"/>
          <w:sz w:val="18"/>
          <w:szCs w:val="20"/>
          <w:lang w:bidi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kern w:val="0"/>
          <w:sz w:val="18"/>
          <w:szCs w:val="20"/>
          <w:lang w:bidi="en-US"/>
          <w14:textFill>
            <w14:solidFill>
              <w14:schemeClr w14:val="tx1"/>
            </w14:solidFill>
          </w14:textFill>
        </w:rPr>
        <w:t xml:space="preserve">b. </w:t>
      </w:r>
      <w:r>
        <w:rPr>
          <w:rFonts w:ascii="Times New Roman" w:hAnsi="Times New Roman"/>
          <w:color w:val="000000" w:themeColor="text1"/>
          <w:kern w:val="0"/>
          <w:sz w:val="18"/>
          <w:szCs w:val="20"/>
          <w:lang w:bidi="en-US"/>
          <w14:textFill>
            <w14:solidFill>
              <w14:schemeClr w14:val="tx1"/>
            </w14:solidFill>
          </w14:textFill>
        </w:rPr>
        <w:t>Henan Tongtai Textile Co., Ltd</w:t>
      </w:r>
      <w:r>
        <w:rPr>
          <w:rFonts w:hint="eastAsia" w:ascii="Times New Roman" w:hAnsi="Times New Roman"/>
          <w:color w:val="000000" w:themeColor="text1"/>
          <w:kern w:val="0"/>
          <w:sz w:val="18"/>
          <w:szCs w:val="20"/>
          <w:lang w:bidi="en-US"/>
          <w14:textFill>
            <w14:solidFill>
              <w14:schemeClr w14:val="tx1"/>
            </w14:solidFill>
          </w14:textFill>
        </w:rPr>
        <w:t xml:space="preserve">, Zhoukou 475400, </w:t>
      </w:r>
      <w:r>
        <w:rPr>
          <w:rFonts w:ascii="Times New Roman" w:hAnsi="Times New Roman" w:eastAsia="Times New Roman"/>
          <w:color w:val="000000" w:themeColor="text1"/>
          <w:kern w:val="0"/>
          <w:sz w:val="18"/>
          <w:szCs w:val="20"/>
          <w:lang w:eastAsia="de-DE" w:bidi="en-US"/>
          <w14:textFill>
            <w14:solidFill>
              <w14:schemeClr w14:val="tx1"/>
            </w14:solidFill>
          </w14:textFill>
        </w:rPr>
        <w:t>China</w:t>
      </w:r>
    </w:p>
    <w:p w14:paraId="190ECE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AFB061">
      <w:pPr>
        <w:spacing w:line="480" w:lineRule="auto"/>
        <w:rPr>
          <w:rFonts w:hint="eastAsia" w:ascii="Times New Roman" w:hAnsi="Times New Roman" w:cs="Times New Roman"/>
          <w:sz w:val="24"/>
          <w:szCs w:val="24"/>
        </w:rPr>
      </w:pPr>
    </w:p>
    <w:p w14:paraId="434541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987040"/>
            <wp:effectExtent l="0" t="0" r="0" b="0"/>
            <wp:docPr id="7985799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79926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E390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Synthesis flow chart and adsorption effect diagram of CPP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247F8B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124D1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4806315" cy="3801745"/>
            <wp:effectExtent l="0" t="0" r="0" b="8255"/>
            <wp:docPr id="4980293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2931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4635" t="3937" r="4218" b="4222"/>
                    <a:stretch>
                      <a:fillRect/>
                    </a:stretch>
                  </pic:blipFill>
                  <pic:spPr>
                    <a:xfrm>
                      <a:off x="0" y="0"/>
                      <a:ext cx="4807360" cy="380243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0F97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Figure S2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DLS curves of PP and CPP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0BD13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D74C1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4185920" cy="3159125"/>
            <wp:effectExtent l="0" t="0" r="5080" b="3175"/>
            <wp:docPr id="19633355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335588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9" r="10305"/>
                    <a:stretch>
                      <a:fillRect/>
                    </a:stretch>
                  </pic:blipFill>
                  <pic:spPr>
                    <a:xfrm>
                      <a:off x="0" y="0"/>
                      <a:ext cx="4206017" cy="317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31E8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Figure S3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Images of </w:t>
      </w:r>
      <w:bookmarkStart w:id="2" w:name="OLE_LINK1"/>
      <w:r>
        <w:rPr>
          <w:rFonts w:ascii="Times New Roman" w:hAnsi="Times New Roman" w:cs="Times New Roman"/>
          <w:sz w:val="24"/>
          <w:szCs w:val="24"/>
        </w:rPr>
        <w:t>water contact angles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of CPP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4F498C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691A2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162810"/>
            <wp:effectExtent l="0" t="0" r="0" b="0"/>
            <wp:docPr id="8935075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507596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84" b="130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13276">
      <w:pPr>
        <w:spacing w:line="360" w:lineRule="auto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Figure S4. </w:t>
      </w:r>
      <w:r>
        <w:rPr>
          <w:rFonts w:ascii="Times New Roman" w:hAnsi="Times New Roman" w:cs="Times New Roman"/>
          <w:sz w:val="22"/>
          <w:szCs w:val="24"/>
        </w:rPr>
        <w:t>(a) Pseudo-first-order kinetic model. (b) Intraparticle diffusion model.</w:t>
      </w:r>
    </w:p>
    <w:p w14:paraId="4A4D725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107B2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184140" cy="2137410"/>
            <wp:effectExtent l="0" t="0" r="0" b="0"/>
            <wp:docPr id="14918640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86409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6" t="13414" b="14527"/>
                    <a:stretch>
                      <a:fillRect/>
                    </a:stretch>
                  </pic:blipFill>
                  <pic:spPr>
                    <a:xfrm>
                      <a:off x="0" y="0"/>
                      <a:ext cx="5185394" cy="213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363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Figure S5. </w:t>
      </w:r>
      <w:r>
        <w:rPr>
          <w:rFonts w:ascii="Times New Roman" w:hAnsi="Times New Roman" w:cs="Times New Roman"/>
          <w:sz w:val="24"/>
          <w:szCs w:val="28"/>
        </w:rPr>
        <w:t>(a) Freundlich isotherm model. (b) Temkin isotherm model.</w:t>
      </w:r>
    </w:p>
    <w:p w14:paraId="6CC19A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C7057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1862455"/>
            <wp:effectExtent l="0" t="0" r="0" b="0"/>
            <wp:docPr id="6481347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34778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5A12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Figure S6. </w:t>
      </w:r>
      <w:bookmarkStart w:id="3" w:name="OLE_LINK11"/>
      <w:r>
        <w:rPr>
          <w:rFonts w:ascii="Times New Roman" w:hAnsi="Times New Roman" w:eastAsia="宋体" w:cs="Times New Roman"/>
          <w:sz w:val="24"/>
          <w:szCs w:val="24"/>
        </w:rPr>
        <w:t>Video snapshots of an MB/MO mixed solution</w:t>
      </w:r>
      <w:bookmarkEnd w:id="3"/>
      <w:r>
        <w:rPr>
          <w:rFonts w:ascii="Times New Roman" w:hAnsi="Times New Roman" w:eastAsia="宋体" w:cs="Times New Roman"/>
          <w:sz w:val="24"/>
          <w:szCs w:val="24"/>
        </w:rPr>
        <w:t xml:space="preserve"> flowing through a packed column filled with C</w:t>
      </w:r>
      <w:r>
        <w:rPr>
          <w:rFonts w:hint="eastAsia" w:ascii="Times New Roman" w:hAnsi="Times New Roman" w:eastAsia="宋体" w:cs="Times New Roman"/>
          <w:sz w:val="24"/>
          <w:szCs w:val="24"/>
        </w:rPr>
        <w:t>P</w:t>
      </w:r>
      <w:r>
        <w:rPr>
          <w:rFonts w:ascii="Times New Roman" w:hAnsi="Times New Roman" w:eastAsia="宋体" w:cs="Times New Roman"/>
          <w:sz w:val="24"/>
          <w:szCs w:val="24"/>
        </w:rPr>
        <w:t>P powder (MB and MO concentrations: 10 mg</w:t>
      </w:r>
      <w:r>
        <w:rPr>
          <w:rFonts w:hint="default" w:ascii="Times New Roman" w:hAnsi="Times New Roman" w:eastAsia="宋体" w:cs="Times New Roman"/>
          <w:sz w:val="24"/>
          <w:szCs w:val="24"/>
        </w:rPr>
        <w:t>·</w:t>
      </w:r>
      <w:r>
        <w:rPr>
          <w:rFonts w:ascii="Times New Roman" w:hAnsi="Times New Roman" w:eastAsia="宋体" w:cs="Times New Roman"/>
          <w:sz w:val="24"/>
          <w:szCs w:val="24"/>
        </w:rPr>
        <w:t>L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eastAsia="宋体" w:cs="Times New Roman"/>
          <w:sz w:val="24"/>
          <w:szCs w:val="24"/>
        </w:rPr>
        <w:t>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10"/>
    <w:rsid w:val="000201E5"/>
    <w:rsid w:val="000852DE"/>
    <w:rsid w:val="00093F95"/>
    <w:rsid w:val="000F3C22"/>
    <w:rsid w:val="00121655"/>
    <w:rsid w:val="001479F2"/>
    <w:rsid w:val="0016216A"/>
    <w:rsid w:val="0016774B"/>
    <w:rsid w:val="00175B04"/>
    <w:rsid w:val="00182F84"/>
    <w:rsid w:val="00183670"/>
    <w:rsid w:val="001876E6"/>
    <w:rsid w:val="001C79FC"/>
    <w:rsid w:val="001E5CAE"/>
    <w:rsid w:val="002050DA"/>
    <w:rsid w:val="00226765"/>
    <w:rsid w:val="00245169"/>
    <w:rsid w:val="002843CE"/>
    <w:rsid w:val="00294BF1"/>
    <w:rsid w:val="002D0221"/>
    <w:rsid w:val="002D2687"/>
    <w:rsid w:val="002D2D05"/>
    <w:rsid w:val="002E47EE"/>
    <w:rsid w:val="002F3797"/>
    <w:rsid w:val="0035180C"/>
    <w:rsid w:val="0036212B"/>
    <w:rsid w:val="00382A9E"/>
    <w:rsid w:val="003C21A6"/>
    <w:rsid w:val="003D5915"/>
    <w:rsid w:val="004353FE"/>
    <w:rsid w:val="004423C8"/>
    <w:rsid w:val="00466910"/>
    <w:rsid w:val="004D120A"/>
    <w:rsid w:val="00510585"/>
    <w:rsid w:val="00513EC9"/>
    <w:rsid w:val="00522265"/>
    <w:rsid w:val="00570EBB"/>
    <w:rsid w:val="00571847"/>
    <w:rsid w:val="005919E6"/>
    <w:rsid w:val="005B3D44"/>
    <w:rsid w:val="005C33BE"/>
    <w:rsid w:val="005C624B"/>
    <w:rsid w:val="005D39CF"/>
    <w:rsid w:val="005F60BD"/>
    <w:rsid w:val="00602761"/>
    <w:rsid w:val="00606F3D"/>
    <w:rsid w:val="00657797"/>
    <w:rsid w:val="006B114F"/>
    <w:rsid w:val="006D1FAD"/>
    <w:rsid w:val="006D2D8F"/>
    <w:rsid w:val="006D5784"/>
    <w:rsid w:val="00746CF7"/>
    <w:rsid w:val="00754C62"/>
    <w:rsid w:val="007810BB"/>
    <w:rsid w:val="007C4D66"/>
    <w:rsid w:val="007C6552"/>
    <w:rsid w:val="00802693"/>
    <w:rsid w:val="00814141"/>
    <w:rsid w:val="00821068"/>
    <w:rsid w:val="008548A1"/>
    <w:rsid w:val="008776D6"/>
    <w:rsid w:val="008A388C"/>
    <w:rsid w:val="008B614B"/>
    <w:rsid w:val="00900BB2"/>
    <w:rsid w:val="00904CCB"/>
    <w:rsid w:val="00917756"/>
    <w:rsid w:val="00927842"/>
    <w:rsid w:val="00945E21"/>
    <w:rsid w:val="009A0BA5"/>
    <w:rsid w:val="00A60165"/>
    <w:rsid w:val="00A66458"/>
    <w:rsid w:val="00A738C2"/>
    <w:rsid w:val="00AA2AD6"/>
    <w:rsid w:val="00AC595B"/>
    <w:rsid w:val="00AE7A46"/>
    <w:rsid w:val="00AF7125"/>
    <w:rsid w:val="00B03AEC"/>
    <w:rsid w:val="00B54F10"/>
    <w:rsid w:val="00B71101"/>
    <w:rsid w:val="00B91157"/>
    <w:rsid w:val="00BE2937"/>
    <w:rsid w:val="00BF45A8"/>
    <w:rsid w:val="00C00ED7"/>
    <w:rsid w:val="00C422CA"/>
    <w:rsid w:val="00C65C6A"/>
    <w:rsid w:val="00CA23B5"/>
    <w:rsid w:val="00CB2D52"/>
    <w:rsid w:val="00CC3232"/>
    <w:rsid w:val="00CE2326"/>
    <w:rsid w:val="00CE44E9"/>
    <w:rsid w:val="00D31E94"/>
    <w:rsid w:val="00D33099"/>
    <w:rsid w:val="00D35BCA"/>
    <w:rsid w:val="00D44448"/>
    <w:rsid w:val="00D61425"/>
    <w:rsid w:val="00D74656"/>
    <w:rsid w:val="00D86071"/>
    <w:rsid w:val="00DD0121"/>
    <w:rsid w:val="00DE77A7"/>
    <w:rsid w:val="00E046FA"/>
    <w:rsid w:val="00E065F0"/>
    <w:rsid w:val="00E60A16"/>
    <w:rsid w:val="00E80255"/>
    <w:rsid w:val="00E907EA"/>
    <w:rsid w:val="00E9240E"/>
    <w:rsid w:val="00E93D03"/>
    <w:rsid w:val="00EB5F86"/>
    <w:rsid w:val="00EC3224"/>
    <w:rsid w:val="00EC719F"/>
    <w:rsid w:val="00F15DDA"/>
    <w:rsid w:val="00F3380D"/>
    <w:rsid w:val="00F4402B"/>
    <w:rsid w:val="00F600BF"/>
    <w:rsid w:val="00FB6FCE"/>
    <w:rsid w:val="00FC48A6"/>
    <w:rsid w:val="30777E1F"/>
    <w:rsid w:val="7C1C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120</Words>
  <Characters>688</Characters>
  <Lines>5</Lines>
  <Paragraphs>1</Paragraphs>
  <TotalTime>0</TotalTime>
  <ScaleCrop>false</ScaleCrop>
  <LinksUpToDate>false</LinksUpToDate>
  <CharactersWithSpaces>798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2026-04-24T12:11:00Z</dcterms:created>
  <dc:creator>Muzi</dc:creator>
  <cp:lastModifiedBy>微信用户</cp:lastModifiedBy>
  <dcterms:modified xsi:type="dcterms:W3CDTF">2026-06-18T07:57:05Z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eyJoZGlkIjoiMTA1NDNjZTU2ODM0MjAwODkwYTViZjg5YmZjNjUxNDAiLCJ1c2VySWQiOiIxMjg4NDAwNjAzIn0=</vt:lpwstr>
  </property>
  <property fmtid="{D5CDD505-2E9C-101B-9397-08002B2CF9AE}" pid="4" name="ICV">
    <vt:lpwstr>5696DC2C0048497D9953B36521A6A860_12</vt:lpwstr>
  </property>
</Properties>
</file>