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0F991" w14:textId="77777777" w:rsidR="00FA1D32" w:rsidRDefault="00000000">
      <w:pPr>
        <w:spacing w:before="3600" w:after="240"/>
        <w:jc w:val="center"/>
      </w:pPr>
      <w:r>
        <w:rPr>
          <w:b/>
          <w:bCs/>
          <w:sz w:val="36"/>
          <w:szCs w:val="36"/>
        </w:rPr>
        <w:t>Supplementary Appendix</w:t>
      </w:r>
    </w:p>
    <w:p w14:paraId="609495BD" w14:textId="77777777" w:rsidR="00FA1D32" w:rsidRDefault="00FA1D32">
      <w:pPr>
        <w:sectPr w:rsidR="00FA1D32">
          <w:pgSz w:w="12240" w:h="15840"/>
          <w:pgMar w:top="1440" w:right="1440" w:bottom="1440" w:left="1440" w:header="708" w:footer="708" w:gutter="0"/>
          <w:cols w:space="720"/>
          <w:docGrid w:linePitch="360"/>
        </w:sectPr>
      </w:pPr>
    </w:p>
    <w:p w14:paraId="3F4164CD" w14:textId="77777777" w:rsidR="00FA1D32" w:rsidRDefault="00000000">
      <w:pPr>
        <w:pStyle w:val="Heading1"/>
        <w:spacing w:before="0" w:after="360"/>
      </w:pPr>
      <w:bookmarkStart w:id="0" w:name="_Toc229893904"/>
      <w:r>
        <w:lastRenderedPageBreak/>
        <w:t>Table of Contents</w:t>
      </w:r>
      <w:bookmarkEnd w:id="0"/>
    </w:p>
    <w:sdt>
      <w:sdtPr>
        <w:id w:val="-1763064571"/>
        <w:docPartObj>
          <w:docPartGallery w:val="Table of Contents"/>
          <w:docPartUnique/>
        </w:docPartObj>
      </w:sdtPr>
      <w:sdtContent>
        <w:p w14:paraId="5E352A0E" w14:textId="1726EFB2" w:rsidR="002546B4" w:rsidRDefault="00000000">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29893904" w:history="1">
            <w:r w:rsidR="002546B4" w:rsidRPr="00ED6C8F">
              <w:rPr>
                <w:rStyle w:val="Hyperlink"/>
                <w:noProof/>
              </w:rPr>
              <w:t>Table of Contents</w:t>
            </w:r>
            <w:r w:rsidR="002546B4">
              <w:rPr>
                <w:noProof/>
                <w:webHidden/>
              </w:rPr>
              <w:tab/>
            </w:r>
            <w:r w:rsidR="002546B4">
              <w:rPr>
                <w:noProof/>
                <w:webHidden/>
              </w:rPr>
              <w:fldChar w:fldCharType="begin"/>
            </w:r>
            <w:r w:rsidR="002546B4">
              <w:rPr>
                <w:noProof/>
                <w:webHidden/>
              </w:rPr>
              <w:instrText xml:space="preserve"> PAGEREF _Toc229893904 \h </w:instrText>
            </w:r>
            <w:r w:rsidR="002546B4">
              <w:rPr>
                <w:noProof/>
                <w:webHidden/>
              </w:rPr>
            </w:r>
            <w:r w:rsidR="002546B4">
              <w:rPr>
                <w:noProof/>
                <w:webHidden/>
              </w:rPr>
              <w:fldChar w:fldCharType="separate"/>
            </w:r>
            <w:r w:rsidR="002546B4">
              <w:rPr>
                <w:noProof/>
                <w:webHidden/>
              </w:rPr>
              <w:t>1</w:t>
            </w:r>
            <w:r w:rsidR="002546B4">
              <w:rPr>
                <w:noProof/>
                <w:webHidden/>
              </w:rPr>
              <w:fldChar w:fldCharType="end"/>
            </w:r>
          </w:hyperlink>
        </w:p>
        <w:p w14:paraId="389B4E2D" w14:textId="4CB0B039" w:rsidR="002546B4" w:rsidRDefault="002546B4">
          <w:pPr>
            <w:pStyle w:val="TOC1"/>
            <w:tabs>
              <w:tab w:val="right" w:leader="dot" w:pos="9350"/>
            </w:tabs>
            <w:rPr>
              <w:rFonts w:asciiTheme="minorHAnsi" w:eastAsiaTheme="minorEastAsia" w:hAnsiTheme="minorHAnsi" w:cstheme="minorBidi"/>
              <w:noProof/>
            </w:rPr>
          </w:pPr>
          <w:hyperlink w:anchor="_Toc229893905" w:history="1">
            <w:r w:rsidRPr="00ED6C8F">
              <w:rPr>
                <w:rStyle w:val="Hyperlink"/>
                <w:noProof/>
              </w:rPr>
              <w:t>Introductory description</w:t>
            </w:r>
            <w:r>
              <w:rPr>
                <w:noProof/>
                <w:webHidden/>
              </w:rPr>
              <w:tab/>
            </w:r>
            <w:r>
              <w:rPr>
                <w:noProof/>
                <w:webHidden/>
              </w:rPr>
              <w:fldChar w:fldCharType="begin"/>
            </w:r>
            <w:r>
              <w:rPr>
                <w:noProof/>
                <w:webHidden/>
              </w:rPr>
              <w:instrText xml:space="preserve"> PAGEREF _Toc229893905 \h </w:instrText>
            </w:r>
            <w:r>
              <w:rPr>
                <w:noProof/>
                <w:webHidden/>
              </w:rPr>
            </w:r>
            <w:r>
              <w:rPr>
                <w:noProof/>
                <w:webHidden/>
              </w:rPr>
              <w:fldChar w:fldCharType="separate"/>
            </w:r>
            <w:r>
              <w:rPr>
                <w:noProof/>
                <w:webHidden/>
              </w:rPr>
              <w:t>1</w:t>
            </w:r>
            <w:r>
              <w:rPr>
                <w:noProof/>
                <w:webHidden/>
              </w:rPr>
              <w:fldChar w:fldCharType="end"/>
            </w:r>
          </w:hyperlink>
        </w:p>
        <w:p w14:paraId="3912EE30" w14:textId="1971B1B7" w:rsidR="002546B4" w:rsidRDefault="002546B4">
          <w:pPr>
            <w:pStyle w:val="TOC2"/>
            <w:tabs>
              <w:tab w:val="right" w:leader="dot" w:pos="9350"/>
            </w:tabs>
            <w:rPr>
              <w:rFonts w:asciiTheme="minorHAnsi" w:eastAsiaTheme="minorEastAsia" w:hAnsiTheme="minorHAnsi" w:cstheme="minorBidi"/>
              <w:noProof/>
            </w:rPr>
          </w:pPr>
          <w:hyperlink w:anchor="_Toc229893906" w:history="1">
            <w:r w:rsidRPr="00ED6C8F">
              <w:rPr>
                <w:rStyle w:val="Hyperlink"/>
                <w:noProof/>
              </w:rPr>
              <w:t>Part A</w:t>
            </w:r>
            <w:r>
              <w:rPr>
                <w:noProof/>
                <w:webHidden/>
              </w:rPr>
              <w:tab/>
            </w:r>
            <w:r>
              <w:rPr>
                <w:noProof/>
                <w:webHidden/>
              </w:rPr>
              <w:fldChar w:fldCharType="begin"/>
            </w:r>
            <w:r>
              <w:rPr>
                <w:noProof/>
                <w:webHidden/>
              </w:rPr>
              <w:instrText xml:space="preserve"> PAGEREF _Toc229893906 \h </w:instrText>
            </w:r>
            <w:r>
              <w:rPr>
                <w:noProof/>
                <w:webHidden/>
              </w:rPr>
            </w:r>
            <w:r>
              <w:rPr>
                <w:noProof/>
                <w:webHidden/>
              </w:rPr>
              <w:fldChar w:fldCharType="separate"/>
            </w:r>
            <w:r>
              <w:rPr>
                <w:noProof/>
                <w:webHidden/>
              </w:rPr>
              <w:t>2</w:t>
            </w:r>
            <w:r>
              <w:rPr>
                <w:noProof/>
                <w:webHidden/>
              </w:rPr>
              <w:fldChar w:fldCharType="end"/>
            </w:r>
          </w:hyperlink>
        </w:p>
        <w:p w14:paraId="2648791C" w14:textId="547558D2" w:rsidR="002546B4" w:rsidRDefault="002546B4">
          <w:pPr>
            <w:pStyle w:val="TOC2"/>
            <w:tabs>
              <w:tab w:val="right" w:leader="dot" w:pos="9350"/>
            </w:tabs>
            <w:rPr>
              <w:rFonts w:asciiTheme="minorHAnsi" w:eastAsiaTheme="minorEastAsia" w:hAnsiTheme="minorHAnsi" w:cstheme="minorBidi"/>
              <w:noProof/>
            </w:rPr>
          </w:pPr>
          <w:hyperlink w:anchor="_Toc229893907" w:history="1">
            <w:r w:rsidRPr="00ED6C8F">
              <w:rPr>
                <w:rStyle w:val="Hyperlink"/>
                <w:noProof/>
              </w:rPr>
              <w:t>Worked examples: five representative combinations</w:t>
            </w:r>
            <w:r>
              <w:rPr>
                <w:noProof/>
                <w:webHidden/>
              </w:rPr>
              <w:tab/>
            </w:r>
            <w:r>
              <w:rPr>
                <w:noProof/>
                <w:webHidden/>
              </w:rPr>
              <w:fldChar w:fldCharType="begin"/>
            </w:r>
            <w:r>
              <w:rPr>
                <w:noProof/>
                <w:webHidden/>
              </w:rPr>
              <w:instrText xml:space="preserve"> PAGEREF _Toc229893907 \h </w:instrText>
            </w:r>
            <w:r>
              <w:rPr>
                <w:noProof/>
                <w:webHidden/>
              </w:rPr>
            </w:r>
            <w:r>
              <w:rPr>
                <w:noProof/>
                <w:webHidden/>
              </w:rPr>
              <w:fldChar w:fldCharType="separate"/>
            </w:r>
            <w:r>
              <w:rPr>
                <w:noProof/>
                <w:webHidden/>
              </w:rPr>
              <w:t>2</w:t>
            </w:r>
            <w:r>
              <w:rPr>
                <w:noProof/>
                <w:webHidden/>
              </w:rPr>
              <w:fldChar w:fldCharType="end"/>
            </w:r>
          </w:hyperlink>
        </w:p>
        <w:p w14:paraId="455B0090" w14:textId="7BDBDAA4" w:rsidR="002546B4" w:rsidRDefault="002546B4">
          <w:pPr>
            <w:pStyle w:val="TOC2"/>
            <w:tabs>
              <w:tab w:val="right" w:leader="dot" w:pos="9350"/>
            </w:tabs>
            <w:rPr>
              <w:rFonts w:asciiTheme="minorHAnsi" w:eastAsiaTheme="minorEastAsia" w:hAnsiTheme="minorHAnsi" w:cstheme="minorBidi"/>
              <w:noProof/>
            </w:rPr>
          </w:pPr>
          <w:hyperlink w:anchor="_Toc229893908" w:history="1">
            <w:r w:rsidRPr="00ED6C8F">
              <w:rPr>
                <w:rStyle w:val="Hyperlink"/>
                <w:noProof/>
              </w:rPr>
              <w:t>Part B</w:t>
            </w:r>
            <w:r>
              <w:rPr>
                <w:noProof/>
                <w:webHidden/>
              </w:rPr>
              <w:tab/>
            </w:r>
            <w:r>
              <w:rPr>
                <w:noProof/>
                <w:webHidden/>
              </w:rPr>
              <w:fldChar w:fldCharType="begin"/>
            </w:r>
            <w:r>
              <w:rPr>
                <w:noProof/>
                <w:webHidden/>
              </w:rPr>
              <w:instrText xml:space="preserve"> PAGEREF _Toc229893908 \h </w:instrText>
            </w:r>
            <w:r>
              <w:rPr>
                <w:noProof/>
                <w:webHidden/>
              </w:rPr>
            </w:r>
            <w:r>
              <w:rPr>
                <w:noProof/>
                <w:webHidden/>
              </w:rPr>
              <w:fldChar w:fldCharType="separate"/>
            </w:r>
            <w:r>
              <w:rPr>
                <w:noProof/>
                <w:webHidden/>
              </w:rPr>
              <w:t>5</w:t>
            </w:r>
            <w:r>
              <w:rPr>
                <w:noProof/>
                <w:webHidden/>
              </w:rPr>
              <w:fldChar w:fldCharType="end"/>
            </w:r>
          </w:hyperlink>
        </w:p>
        <w:p w14:paraId="4F316289" w14:textId="09941F80" w:rsidR="002546B4" w:rsidRDefault="002546B4">
          <w:pPr>
            <w:pStyle w:val="TOC2"/>
            <w:tabs>
              <w:tab w:val="right" w:leader="dot" w:pos="9350"/>
            </w:tabs>
            <w:rPr>
              <w:rFonts w:asciiTheme="minorHAnsi" w:eastAsiaTheme="minorEastAsia" w:hAnsiTheme="minorHAnsi" w:cstheme="minorBidi"/>
              <w:noProof/>
            </w:rPr>
          </w:pPr>
          <w:hyperlink w:anchor="_Toc229893909" w:history="1">
            <w:r w:rsidRPr="00ED6C8F">
              <w:rPr>
                <w:rStyle w:val="Hyperlink"/>
                <w:noProof/>
              </w:rPr>
              <w:t>Empirical CDFs for the 25 quantitative criteria</w:t>
            </w:r>
            <w:r>
              <w:rPr>
                <w:noProof/>
                <w:webHidden/>
              </w:rPr>
              <w:tab/>
            </w:r>
            <w:r>
              <w:rPr>
                <w:noProof/>
                <w:webHidden/>
              </w:rPr>
              <w:fldChar w:fldCharType="begin"/>
            </w:r>
            <w:r>
              <w:rPr>
                <w:noProof/>
                <w:webHidden/>
              </w:rPr>
              <w:instrText xml:space="preserve"> PAGEREF _Toc229893909 \h </w:instrText>
            </w:r>
            <w:r>
              <w:rPr>
                <w:noProof/>
                <w:webHidden/>
              </w:rPr>
            </w:r>
            <w:r>
              <w:rPr>
                <w:noProof/>
                <w:webHidden/>
              </w:rPr>
              <w:fldChar w:fldCharType="separate"/>
            </w:r>
            <w:r>
              <w:rPr>
                <w:noProof/>
                <w:webHidden/>
              </w:rPr>
              <w:t>5</w:t>
            </w:r>
            <w:r>
              <w:rPr>
                <w:noProof/>
                <w:webHidden/>
              </w:rPr>
              <w:fldChar w:fldCharType="end"/>
            </w:r>
          </w:hyperlink>
        </w:p>
        <w:p w14:paraId="349E13E3" w14:textId="566A3657" w:rsidR="002546B4" w:rsidRDefault="002546B4">
          <w:pPr>
            <w:pStyle w:val="TOC3"/>
            <w:tabs>
              <w:tab w:val="right" w:leader="dot" w:pos="9350"/>
            </w:tabs>
            <w:rPr>
              <w:rFonts w:asciiTheme="minorHAnsi" w:eastAsiaTheme="minorEastAsia" w:hAnsiTheme="minorHAnsi" w:cstheme="minorBidi"/>
              <w:noProof/>
            </w:rPr>
          </w:pPr>
          <w:hyperlink w:anchor="_Toc229893910" w:history="1">
            <w:r w:rsidRPr="00ED6C8F">
              <w:rPr>
                <w:rStyle w:val="Hyperlink"/>
                <w:noProof/>
              </w:rPr>
              <w:t>Category: Data adequacy</w:t>
            </w:r>
            <w:r>
              <w:rPr>
                <w:noProof/>
                <w:webHidden/>
              </w:rPr>
              <w:tab/>
            </w:r>
            <w:r>
              <w:rPr>
                <w:noProof/>
                <w:webHidden/>
              </w:rPr>
              <w:fldChar w:fldCharType="begin"/>
            </w:r>
            <w:r>
              <w:rPr>
                <w:noProof/>
                <w:webHidden/>
              </w:rPr>
              <w:instrText xml:space="preserve"> PAGEREF _Toc229893910 \h </w:instrText>
            </w:r>
            <w:r>
              <w:rPr>
                <w:noProof/>
                <w:webHidden/>
              </w:rPr>
            </w:r>
            <w:r>
              <w:rPr>
                <w:noProof/>
                <w:webHidden/>
              </w:rPr>
              <w:fldChar w:fldCharType="separate"/>
            </w:r>
            <w:r>
              <w:rPr>
                <w:noProof/>
                <w:webHidden/>
              </w:rPr>
              <w:t>5</w:t>
            </w:r>
            <w:r>
              <w:rPr>
                <w:noProof/>
                <w:webHidden/>
              </w:rPr>
              <w:fldChar w:fldCharType="end"/>
            </w:r>
          </w:hyperlink>
        </w:p>
        <w:p w14:paraId="2F6DB772" w14:textId="64BFB35E" w:rsidR="002546B4" w:rsidRDefault="002546B4">
          <w:pPr>
            <w:pStyle w:val="TOC3"/>
            <w:tabs>
              <w:tab w:val="right" w:leader="dot" w:pos="9350"/>
            </w:tabs>
            <w:rPr>
              <w:rFonts w:asciiTheme="minorHAnsi" w:eastAsiaTheme="minorEastAsia" w:hAnsiTheme="minorHAnsi" w:cstheme="minorBidi"/>
              <w:noProof/>
            </w:rPr>
          </w:pPr>
          <w:hyperlink w:anchor="_Toc229893911" w:history="1">
            <w:r w:rsidRPr="00ED6C8F">
              <w:rPr>
                <w:rStyle w:val="Hyperlink"/>
                <w:noProof/>
              </w:rPr>
              <w:t>Category: Cohesion</w:t>
            </w:r>
            <w:r>
              <w:rPr>
                <w:noProof/>
                <w:webHidden/>
              </w:rPr>
              <w:tab/>
            </w:r>
            <w:r>
              <w:rPr>
                <w:noProof/>
                <w:webHidden/>
              </w:rPr>
              <w:fldChar w:fldCharType="begin"/>
            </w:r>
            <w:r>
              <w:rPr>
                <w:noProof/>
                <w:webHidden/>
              </w:rPr>
              <w:instrText xml:space="preserve"> PAGEREF _Toc229893911 \h </w:instrText>
            </w:r>
            <w:r>
              <w:rPr>
                <w:noProof/>
                <w:webHidden/>
              </w:rPr>
            </w:r>
            <w:r>
              <w:rPr>
                <w:noProof/>
                <w:webHidden/>
              </w:rPr>
              <w:fldChar w:fldCharType="separate"/>
            </w:r>
            <w:r>
              <w:rPr>
                <w:noProof/>
                <w:webHidden/>
              </w:rPr>
              <w:t>9</w:t>
            </w:r>
            <w:r>
              <w:rPr>
                <w:noProof/>
                <w:webHidden/>
              </w:rPr>
              <w:fldChar w:fldCharType="end"/>
            </w:r>
          </w:hyperlink>
        </w:p>
        <w:p w14:paraId="1F234AEF" w14:textId="14F28E99" w:rsidR="002546B4" w:rsidRDefault="002546B4">
          <w:pPr>
            <w:pStyle w:val="TOC3"/>
            <w:tabs>
              <w:tab w:val="right" w:leader="dot" w:pos="9350"/>
            </w:tabs>
            <w:rPr>
              <w:rFonts w:asciiTheme="minorHAnsi" w:eastAsiaTheme="minorEastAsia" w:hAnsiTheme="minorHAnsi" w:cstheme="minorBidi"/>
              <w:noProof/>
            </w:rPr>
          </w:pPr>
          <w:hyperlink w:anchor="_Toc229893912" w:history="1">
            <w:r w:rsidRPr="00ED6C8F">
              <w:rPr>
                <w:rStyle w:val="Hyperlink"/>
                <w:noProof/>
              </w:rPr>
              <w:t>Category: Unidimensionality</w:t>
            </w:r>
            <w:r>
              <w:rPr>
                <w:noProof/>
                <w:webHidden/>
              </w:rPr>
              <w:tab/>
            </w:r>
            <w:r>
              <w:rPr>
                <w:noProof/>
                <w:webHidden/>
              </w:rPr>
              <w:fldChar w:fldCharType="begin"/>
            </w:r>
            <w:r>
              <w:rPr>
                <w:noProof/>
                <w:webHidden/>
              </w:rPr>
              <w:instrText xml:space="preserve"> PAGEREF _Toc229893912 \h </w:instrText>
            </w:r>
            <w:r>
              <w:rPr>
                <w:noProof/>
                <w:webHidden/>
              </w:rPr>
            </w:r>
            <w:r>
              <w:rPr>
                <w:noProof/>
                <w:webHidden/>
              </w:rPr>
              <w:fldChar w:fldCharType="separate"/>
            </w:r>
            <w:r>
              <w:rPr>
                <w:noProof/>
                <w:webHidden/>
              </w:rPr>
              <w:t>10</w:t>
            </w:r>
            <w:r>
              <w:rPr>
                <w:noProof/>
                <w:webHidden/>
              </w:rPr>
              <w:fldChar w:fldCharType="end"/>
            </w:r>
          </w:hyperlink>
        </w:p>
        <w:p w14:paraId="27FE8758" w14:textId="16677F4C" w:rsidR="002546B4" w:rsidRDefault="002546B4">
          <w:pPr>
            <w:pStyle w:val="TOC3"/>
            <w:tabs>
              <w:tab w:val="right" w:leader="dot" w:pos="9350"/>
            </w:tabs>
            <w:rPr>
              <w:rFonts w:asciiTheme="minorHAnsi" w:eastAsiaTheme="minorEastAsia" w:hAnsiTheme="minorHAnsi" w:cstheme="minorBidi"/>
              <w:noProof/>
            </w:rPr>
          </w:pPr>
          <w:hyperlink w:anchor="_Toc229893913" w:history="1">
            <w:r w:rsidRPr="00ED6C8F">
              <w:rPr>
                <w:rStyle w:val="Hyperlink"/>
                <w:noProof/>
              </w:rPr>
              <w:t>Category: Temporal stability</w:t>
            </w:r>
            <w:r>
              <w:rPr>
                <w:noProof/>
                <w:webHidden/>
              </w:rPr>
              <w:tab/>
            </w:r>
            <w:r>
              <w:rPr>
                <w:noProof/>
                <w:webHidden/>
              </w:rPr>
              <w:fldChar w:fldCharType="begin"/>
            </w:r>
            <w:r>
              <w:rPr>
                <w:noProof/>
                <w:webHidden/>
              </w:rPr>
              <w:instrText xml:space="preserve"> PAGEREF _Toc229893913 \h </w:instrText>
            </w:r>
            <w:r>
              <w:rPr>
                <w:noProof/>
                <w:webHidden/>
              </w:rPr>
            </w:r>
            <w:r>
              <w:rPr>
                <w:noProof/>
                <w:webHidden/>
              </w:rPr>
              <w:fldChar w:fldCharType="separate"/>
            </w:r>
            <w:r>
              <w:rPr>
                <w:noProof/>
                <w:webHidden/>
              </w:rPr>
              <w:t>16</w:t>
            </w:r>
            <w:r>
              <w:rPr>
                <w:noProof/>
                <w:webHidden/>
              </w:rPr>
              <w:fldChar w:fldCharType="end"/>
            </w:r>
          </w:hyperlink>
        </w:p>
        <w:p w14:paraId="60135C6D" w14:textId="6A9B109C" w:rsidR="00FA1D32" w:rsidRDefault="00000000">
          <w:pPr>
            <w:spacing w:after="120"/>
          </w:pPr>
          <w:r>
            <w:fldChar w:fldCharType="end"/>
          </w:r>
        </w:p>
      </w:sdtContent>
    </w:sdt>
    <w:p w14:paraId="61CD9FA2" w14:textId="22F50F86" w:rsidR="00781D14" w:rsidRDefault="00011E5C">
      <w:pPr>
        <w:pStyle w:val="Heading1"/>
      </w:pPr>
      <w:bookmarkStart w:id="1" w:name="_Toc229893905"/>
      <w:r>
        <w:t>Introductory description</w:t>
      </w:r>
      <w:bookmarkEnd w:id="1"/>
    </w:p>
    <w:p w14:paraId="2871E21E" w14:textId="6190AA40" w:rsidR="00781D14" w:rsidRDefault="00000000" w:rsidP="00927753">
      <w:pPr>
        <w:spacing w:after="120" w:line="360" w:lineRule="auto"/>
        <w:jc w:val="both"/>
      </w:pPr>
      <w:r>
        <w:t>This appendix supplements the empirical analysis chapter with two pieces of detail. Part A reports the full per-criterion decision values for five worked-example combinations drawn from the 20-index pool, showing how the population-level results translate into concrete cases of varying size and substantive composition. Part B reproduces the empirical cumulative distribution functions (ECDFs) for each of the 25 quantitative criteria across all 654,046 evaluated combinations, providing a granular view of the criterion-by-criterion evidence behind the headline summary in Table 2 of the main chapter.</w:t>
      </w:r>
    </w:p>
    <w:p w14:paraId="05E040A8" w14:textId="77777777" w:rsidR="00011E5C" w:rsidRDefault="00011E5C">
      <w:pPr>
        <w:spacing w:after="120" w:line="320" w:lineRule="auto"/>
        <w:jc w:val="both"/>
      </w:pPr>
    </w:p>
    <w:p w14:paraId="33FC71B1" w14:textId="77777777" w:rsidR="00727EBA" w:rsidRDefault="00000000" w:rsidP="00727EBA">
      <w:pPr>
        <w:pStyle w:val="Heading2"/>
        <w:jc w:val="center"/>
      </w:pPr>
      <w:bookmarkStart w:id="2" w:name="_Toc229893906"/>
      <w:r>
        <w:lastRenderedPageBreak/>
        <w:t>Part A</w:t>
      </w:r>
      <w:bookmarkEnd w:id="2"/>
    </w:p>
    <w:p w14:paraId="76A25024" w14:textId="77777777" w:rsidR="00781D14" w:rsidRDefault="00000000">
      <w:pPr>
        <w:pStyle w:val="Heading2"/>
      </w:pPr>
      <w:bookmarkStart w:id="3" w:name="_Toc229893907"/>
      <w:r>
        <w:t>Worked examples: five representative combinations</w:t>
      </w:r>
      <w:bookmarkEnd w:id="3"/>
    </w:p>
    <w:p w14:paraId="4BE961CC" w14:textId="77777777" w:rsidR="00781D14" w:rsidRDefault="00000000">
      <w:pPr>
        <w:spacing w:after="120" w:line="320" w:lineRule="auto"/>
        <w:jc w:val="both"/>
      </w:pPr>
      <w:r>
        <w:t>To illustrate the population-level brute-force result with concrete cases, we re-ran the same analysis pipeline (pooled and yearly PCA, pooled and yearly maximum-likelihood one-factor confirmatory factor analysis, and the full 27-criteria battery) on five hand-picked combinations from the 20-index pool. The combinations were chosen to span a wide range of pool size (from 4 to 16 indices), substantive composition (core governance; governance plus democracy; governance plus development; mixed broad; near-full pool), and joint country-year sample size (from 227 to 1,734).</w:t>
      </w:r>
    </w:p>
    <w:p w14:paraId="5359BE87" w14:textId="37678A0A" w:rsidR="00781D14" w:rsidRDefault="00000000">
      <w:pPr>
        <w:spacing w:after="120" w:line="320" w:lineRule="auto"/>
        <w:jc w:val="both"/>
      </w:pPr>
      <w:r>
        <w:t>Table A1 reports the per-criterion decision values for each example. Green-shaded cells indicate that the criterion is satisfied for the combination; pink-shaded cells indicate failure. The table is read by criterion (row) and combination (column).</w:t>
      </w:r>
    </w:p>
    <w:p w14:paraId="1A276B4A" w14:textId="77777777" w:rsidR="00927753" w:rsidRDefault="00927753">
      <w:pPr>
        <w:spacing w:after="120" w:line="320" w:lineRule="auto"/>
        <w:jc w:val="both"/>
      </w:pPr>
    </w:p>
    <w:p w14:paraId="34EF1EB4" w14:textId="77777777" w:rsidR="00781D14" w:rsidRPr="00927753" w:rsidRDefault="00000000">
      <w:pPr>
        <w:spacing w:before="80" w:after="80"/>
      </w:pPr>
      <w:r w:rsidRPr="00927753">
        <w:rPr>
          <w:b/>
          <w:bCs/>
          <w:i/>
          <w:iCs/>
        </w:rPr>
        <w:t xml:space="preserve">Table A1. </w:t>
      </w:r>
      <w:r w:rsidRPr="00927753">
        <w:t>Per-criterion decision values for five representative combinations from the 20-index pool.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112"/>
        <w:gridCol w:w="1112"/>
        <w:gridCol w:w="1112"/>
        <w:gridCol w:w="1112"/>
        <w:gridCol w:w="1112"/>
      </w:tblGrid>
      <w:tr w:rsidR="00781D14" w:rsidRPr="00927753" w14:paraId="11F89307" w14:textId="77777777" w:rsidTr="00727EBA">
        <w:trPr>
          <w:tblHeader/>
        </w:trPr>
        <w:tc>
          <w:tcPr>
            <w:tcW w:w="380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5479BB2D" w14:textId="77777777" w:rsidR="00781D14" w:rsidRPr="00927753" w:rsidRDefault="00000000" w:rsidP="00927753">
            <w:pPr>
              <w:spacing w:line="240" w:lineRule="auto"/>
            </w:pPr>
            <w:r w:rsidRPr="00927753">
              <w:rPr>
                <w:b/>
                <w:bCs/>
              </w:rPr>
              <w:t>Criterion</w:t>
            </w:r>
          </w:p>
        </w:tc>
        <w:tc>
          <w:tcPr>
            <w:tcW w:w="111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5D0E9ABE" w14:textId="77777777" w:rsidR="00781D14" w:rsidRPr="00927753" w:rsidRDefault="00000000" w:rsidP="00927753">
            <w:pPr>
              <w:spacing w:line="240" w:lineRule="auto"/>
              <w:jc w:val="center"/>
            </w:pPr>
            <w:r w:rsidRPr="00927753">
              <w:rPr>
                <w:b/>
                <w:bCs/>
              </w:rPr>
              <w:t>E1</w:t>
            </w:r>
          </w:p>
        </w:tc>
        <w:tc>
          <w:tcPr>
            <w:tcW w:w="111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14534C5C" w14:textId="77777777" w:rsidR="00781D14" w:rsidRPr="00927753" w:rsidRDefault="00000000" w:rsidP="00927753">
            <w:pPr>
              <w:spacing w:line="240" w:lineRule="auto"/>
              <w:jc w:val="center"/>
            </w:pPr>
            <w:r w:rsidRPr="00927753">
              <w:rPr>
                <w:b/>
                <w:bCs/>
              </w:rPr>
              <w:t>E2</w:t>
            </w:r>
          </w:p>
        </w:tc>
        <w:tc>
          <w:tcPr>
            <w:tcW w:w="111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5AA51706" w14:textId="77777777" w:rsidR="00781D14" w:rsidRPr="00927753" w:rsidRDefault="00000000" w:rsidP="00927753">
            <w:pPr>
              <w:spacing w:line="240" w:lineRule="auto"/>
              <w:jc w:val="center"/>
            </w:pPr>
            <w:r w:rsidRPr="00927753">
              <w:rPr>
                <w:b/>
                <w:bCs/>
              </w:rPr>
              <w:t>E3</w:t>
            </w:r>
          </w:p>
        </w:tc>
        <w:tc>
          <w:tcPr>
            <w:tcW w:w="111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0A712477" w14:textId="77777777" w:rsidR="00781D14" w:rsidRPr="00927753" w:rsidRDefault="00000000" w:rsidP="00927753">
            <w:pPr>
              <w:spacing w:line="240" w:lineRule="auto"/>
              <w:jc w:val="center"/>
            </w:pPr>
            <w:r w:rsidRPr="00927753">
              <w:rPr>
                <w:b/>
                <w:bCs/>
              </w:rPr>
              <w:t>E4</w:t>
            </w:r>
          </w:p>
        </w:tc>
        <w:tc>
          <w:tcPr>
            <w:tcW w:w="1112"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60" w:type="dxa"/>
              <w:left w:w="100" w:type="dxa"/>
              <w:bottom w:w="60" w:type="dxa"/>
              <w:right w:w="100" w:type="dxa"/>
            </w:tcMar>
            <w:vAlign w:val="center"/>
          </w:tcPr>
          <w:p w14:paraId="31909032" w14:textId="77777777" w:rsidR="00781D14" w:rsidRPr="00927753" w:rsidRDefault="00000000" w:rsidP="00927753">
            <w:pPr>
              <w:spacing w:line="240" w:lineRule="auto"/>
              <w:jc w:val="center"/>
            </w:pPr>
            <w:r w:rsidRPr="00927753">
              <w:rPr>
                <w:b/>
                <w:bCs/>
              </w:rPr>
              <w:t>E5</w:t>
            </w:r>
          </w:p>
        </w:tc>
      </w:tr>
      <w:tr w:rsidR="00781D14" w:rsidRPr="00927753" w14:paraId="1F892205"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82D2440" w14:textId="77777777" w:rsidR="00781D14" w:rsidRPr="00927753" w:rsidRDefault="00000000" w:rsidP="00927753">
            <w:pPr>
              <w:spacing w:line="240" w:lineRule="auto"/>
            </w:pPr>
            <w:r w:rsidRPr="00927753">
              <w:rPr>
                <w:b/>
                <w:bCs/>
              </w:rPr>
              <w:t>Indices in combination</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6D46146" w14:textId="77777777" w:rsidR="00781D14" w:rsidRPr="00927753" w:rsidRDefault="00000000" w:rsidP="00927753">
            <w:pPr>
              <w:spacing w:line="240" w:lineRule="auto"/>
              <w:jc w:val="center"/>
            </w:pPr>
            <w:r w:rsidRPr="00927753">
              <w:t>CPI, WGI-GE, WGI-RL, V-Dem LD</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CA492D8" w14:textId="77777777" w:rsidR="00781D14" w:rsidRPr="00927753" w:rsidRDefault="00000000" w:rsidP="00927753">
            <w:pPr>
              <w:spacing w:line="240" w:lineRule="auto"/>
              <w:jc w:val="center"/>
            </w:pPr>
            <w:r w:rsidRPr="00927753">
              <w:t>CPI, WGI-GE, WGI-RL, V-Dem LD, V-Dem Poly, FH</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0A24F32" w14:textId="77777777" w:rsidR="00781D14" w:rsidRPr="00927753" w:rsidRDefault="00000000" w:rsidP="00927753">
            <w:pPr>
              <w:spacing w:line="240" w:lineRule="auto"/>
              <w:jc w:val="center"/>
            </w:pPr>
            <w:r w:rsidRPr="00927753">
              <w:t>CPI, WGI-GE, WGI-RL, V-Dem LD, HDI, IAHDI, SPI, WHR</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DC50C20" w14:textId="77777777" w:rsidR="00781D14" w:rsidRPr="00927753" w:rsidRDefault="00000000" w:rsidP="00927753">
            <w:pPr>
              <w:spacing w:line="240" w:lineRule="auto"/>
              <w:jc w:val="center"/>
            </w:pPr>
            <w:r w:rsidRPr="00927753">
              <w:t>CPI, WGI-GE, V-Dem LD, HDI, SPI, WHR, GPI, WPFI, HER, Henley</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B6F1518" w14:textId="77777777" w:rsidR="00781D14" w:rsidRPr="00927753" w:rsidRDefault="00000000" w:rsidP="00927753">
            <w:pPr>
              <w:spacing w:line="240" w:lineRule="auto"/>
              <w:jc w:val="center"/>
            </w:pPr>
            <w:r w:rsidRPr="00927753">
              <w:t>CPI, WGI-GE, WGI-RL, V-Dem LD, V-Dem Poly, FH, HDI, IAHDI, GII, SPI, WHR, GPI, WPFI, HER, GII-inn, Henley</w:t>
            </w:r>
          </w:p>
        </w:tc>
      </w:tr>
      <w:tr w:rsidR="00781D14" w:rsidRPr="00927753" w14:paraId="0FCAF609"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AEAEDA9" w14:textId="77777777" w:rsidR="00781D14" w:rsidRPr="00927753" w:rsidRDefault="00000000" w:rsidP="00927753">
            <w:pPr>
              <w:spacing w:line="240" w:lineRule="auto"/>
            </w:pPr>
            <w:r w:rsidRPr="00927753">
              <w:rPr>
                <w:b/>
                <w:bCs/>
              </w:rPr>
              <w:lastRenderedPageBreak/>
              <w:t>p (number of indices)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1AC500C" w14:textId="77777777" w:rsidR="00781D14" w:rsidRPr="00927753" w:rsidRDefault="00000000" w:rsidP="00927753">
            <w:pPr>
              <w:spacing w:line="240" w:lineRule="auto"/>
              <w:jc w:val="center"/>
            </w:pPr>
            <w:r w:rsidRPr="00927753">
              <w:t>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A87CCAD" w14:textId="77777777" w:rsidR="00781D14" w:rsidRPr="00927753" w:rsidRDefault="00000000" w:rsidP="00927753">
            <w:pPr>
              <w:spacing w:line="240" w:lineRule="auto"/>
              <w:jc w:val="center"/>
            </w:pPr>
            <w:r w:rsidRPr="00927753">
              <w:t>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6C3ED67" w14:textId="77777777" w:rsidR="00781D14" w:rsidRPr="00927753" w:rsidRDefault="00000000" w:rsidP="00927753">
            <w:pPr>
              <w:spacing w:line="240" w:lineRule="auto"/>
              <w:jc w:val="center"/>
            </w:pPr>
            <w:r w:rsidRPr="00927753">
              <w:t>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577591E" w14:textId="77777777" w:rsidR="00781D14" w:rsidRPr="00927753" w:rsidRDefault="00000000" w:rsidP="00927753">
            <w:pPr>
              <w:spacing w:line="240" w:lineRule="auto"/>
              <w:jc w:val="center"/>
            </w:pPr>
            <w:r w:rsidRPr="00927753">
              <w:t>10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EA29F6E" w14:textId="77777777" w:rsidR="00781D14" w:rsidRPr="00927753" w:rsidRDefault="00000000" w:rsidP="00927753">
            <w:pPr>
              <w:spacing w:line="240" w:lineRule="auto"/>
              <w:jc w:val="center"/>
            </w:pPr>
            <w:r w:rsidRPr="00927753">
              <w:t>16</w:t>
            </w:r>
          </w:p>
        </w:tc>
      </w:tr>
      <w:tr w:rsidR="00781D14" w:rsidRPr="00927753" w14:paraId="07FAC425"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84D7E26" w14:textId="77777777" w:rsidR="00781D14" w:rsidRPr="00927753" w:rsidRDefault="00000000" w:rsidP="00927753">
            <w:pPr>
              <w:spacing w:line="240" w:lineRule="auto"/>
            </w:pPr>
            <w:r w:rsidRPr="00927753">
              <w:rPr>
                <w:b/>
                <w:bCs/>
              </w:rPr>
              <w:t>n (joint country-years)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FED7190" w14:textId="77777777" w:rsidR="00781D14" w:rsidRPr="00927753" w:rsidRDefault="00000000" w:rsidP="00927753">
            <w:pPr>
              <w:spacing w:line="240" w:lineRule="auto"/>
              <w:jc w:val="center"/>
            </w:pPr>
            <w:r w:rsidRPr="00927753">
              <w:t>1,734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32A8198" w14:textId="77777777" w:rsidR="00781D14" w:rsidRPr="00927753" w:rsidRDefault="00000000" w:rsidP="00927753">
            <w:pPr>
              <w:spacing w:line="240" w:lineRule="auto"/>
              <w:jc w:val="center"/>
            </w:pPr>
            <w:r w:rsidRPr="00927753">
              <w:t>1,368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0BA8DB7" w14:textId="77777777" w:rsidR="00781D14" w:rsidRPr="00927753" w:rsidRDefault="00000000" w:rsidP="00927753">
            <w:pPr>
              <w:spacing w:line="240" w:lineRule="auto"/>
              <w:jc w:val="center"/>
            </w:pPr>
            <w:r w:rsidRPr="00927753">
              <w:t>1,217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FDB9C18" w14:textId="77777777" w:rsidR="00781D14" w:rsidRPr="00927753" w:rsidRDefault="00000000" w:rsidP="00927753">
            <w:pPr>
              <w:spacing w:line="240" w:lineRule="auto"/>
              <w:jc w:val="center"/>
            </w:pPr>
            <w:r w:rsidRPr="00927753">
              <w:t>1,229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7000CDF" w14:textId="77777777" w:rsidR="00781D14" w:rsidRPr="00927753" w:rsidRDefault="00000000" w:rsidP="00927753">
            <w:pPr>
              <w:spacing w:line="240" w:lineRule="auto"/>
              <w:jc w:val="center"/>
            </w:pPr>
            <w:r w:rsidRPr="00927753">
              <w:t>227</w:t>
            </w:r>
          </w:p>
        </w:tc>
      </w:tr>
      <w:tr w:rsidR="00781D14" w:rsidRPr="00927753" w14:paraId="28D23F5D" w14:textId="77777777" w:rsidTr="00727EBA">
        <w:tc>
          <w:tcPr>
            <w:tcW w:w="9360" w:type="dxa"/>
            <w:gridSpan w:val="6"/>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tcPr>
          <w:p w14:paraId="3A437FF5" w14:textId="77777777" w:rsidR="00727EBA" w:rsidRPr="00927753" w:rsidRDefault="00727EBA" w:rsidP="00927753">
            <w:pPr>
              <w:spacing w:line="240" w:lineRule="auto"/>
              <w:rPr>
                <w:b/>
                <w:bCs/>
              </w:rPr>
            </w:pPr>
          </w:p>
          <w:p w14:paraId="4A909C8A" w14:textId="77777777" w:rsidR="00781D14" w:rsidRPr="00927753" w:rsidRDefault="00000000" w:rsidP="00927753">
            <w:pPr>
              <w:spacing w:line="240" w:lineRule="auto"/>
            </w:pPr>
            <w:r w:rsidRPr="00927753">
              <w:rPr>
                <w:b/>
                <w:bCs/>
              </w:rPr>
              <w:t>DATA ADEQUACY</w:t>
            </w:r>
          </w:p>
        </w:tc>
      </w:tr>
      <w:tr w:rsidR="00781D14" w:rsidRPr="00927753" w14:paraId="0006F426"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4D59579" w14:textId="77777777" w:rsidR="00781D14" w:rsidRPr="00927753" w:rsidRDefault="00000000" w:rsidP="00927753">
            <w:pPr>
              <w:spacing w:line="240" w:lineRule="auto"/>
            </w:pPr>
            <w:r w:rsidRPr="00927753">
              <w:t>n ≥ 100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0D40FC3" w14:textId="77777777" w:rsidR="00781D14" w:rsidRPr="00927753" w:rsidRDefault="00000000" w:rsidP="00927753">
            <w:pPr>
              <w:spacing w:line="240" w:lineRule="auto"/>
              <w:jc w:val="center"/>
            </w:pPr>
            <w:r w:rsidRPr="00927753">
              <w:t>1734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26D6648" w14:textId="77777777" w:rsidR="00781D14" w:rsidRPr="00927753" w:rsidRDefault="00000000" w:rsidP="00927753">
            <w:pPr>
              <w:spacing w:line="240" w:lineRule="auto"/>
              <w:jc w:val="center"/>
            </w:pPr>
            <w:r w:rsidRPr="00927753">
              <w:t>1368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9F9CC12" w14:textId="77777777" w:rsidR="00781D14" w:rsidRPr="00927753" w:rsidRDefault="00000000" w:rsidP="00927753">
            <w:pPr>
              <w:spacing w:line="240" w:lineRule="auto"/>
              <w:jc w:val="center"/>
            </w:pPr>
            <w:r w:rsidRPr="00927753">
              <w:t>1217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F16A84E" w14:textId="77777777" w:rsidR="00781D14" w:rsidRPr="00927753" w:rsidRDefault="00000000" w:rsidP="00927753">
            <w:pPr>
              <w:spacing w:line="240" w:lineRule="auto"/>
              <w:jc w:val="center"/>
            </w:pPr>
            <w:r w:rsidRPr="00927753">
              <w:t>1229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3438309" w14:textId="77777777" w:rsidR="00781D14" w:rsidRPr="00927753" w:rsidRDefault="00000000" w:rsidP="00927753">
            <w:pPr>
              <w:spacing w:line="240" w:lineRule="auto"/>
              <w:jc w:val="center"/>
            </w:pPr>
            <w:r w:rsidRPr="00927753">
              <w:t>227</w:t>
            </w:r>
          </w:p>
        </w:tc>
      </w:tr>
      <w:tr w:rsidR="00781D14" w:rsidRPr="00927753" w14:paraId="309074B9"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5D0FD4B" w14:textId="77777777" w:rsidR="00781D14" w:rsidRPr="00927753" w:rsidRDefault="00000000" w:rsidP="00927753">
            <w:pPr>
              <w:spacing w:line="240" w:lineRule="auto"/>
            </w:pPr>
            <w:r w:rsidRPr="00927753">
              <w:t>Max |z| ≤ 4.00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D91F585" w14:textId="77777777" w:rsidR="00781D14" w:rsidRPr="00927753" w:rsidRDefault="00000000" w:rsidP="00927753">
            <w:pPr>
              <w:spacing w:line="240" w:lineRule="auto"/>
              <w:jc w:val="center"/>
            </w:pPr>
            <w:r w:rsidRPr="00927753">
              <w:t>2.530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384DD89" w14:textId="77777777" w:rsidR="00781D14" w:rsidRPr="00927753" w:rsidRDefault="00000000" w:rsidP="00927753">
            <w:pPr>
              <w:spacing w:line="240" w:lineRule="auto"/>
              <w:jc w:val="center"/>
            </w:pPr>
            <w:r w:rsidRPr="00927753">
              <w:t>2.541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B33B206" w14:textId="77777777" w:rsidR="00781D14" w:rsidRPr="00927753" w:rsidRDefault="00000000" w:rsidP="00927753">
            <w:pPr>
              <w:spacing w:line="240" w:lineRule="auto"/>
              <w:jc w:val="center"/>
            </w:pPr>
            <w:r w:rsidRPr="00927753">
              <w:t>3.258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941878A" w14:textId="77777777" w:rsidR="00781D14" w:rsidRPr="00927753" w:rsidRDefault="00000000" w:rsidP="00927753">
            <w:pPr>
              <w:spacing w:line="240" w:lineRule="auto"/>
              <w:jc w:val="center"/>
            </w:pPr>
            <w:r w:rsidRPr="00927753">
              <w:t>3.870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1F9A089" w14:textId="77777777" w:rsidR="00781D14" w:rsidRPr="00927753" w:rsidRDefault="00000000" w:rsidP="00927753">
            <w:pPr>
              <w:spacing w:line="240" w:lineRule="auto"/>
              <w:jc w:val="center"/>
            </w:pPr>
            <w:r w:rsidRPr="00927753">
              <w:t>3.221</w:t>
            </w:r>
          </w:p>
        </w:tc>
      </w:tr>
      <w:tr w:rsidR="00781D14" w:rsidRPr="00927753" w14:paraId="4941C46E"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0DAA597" w14:textId="77777777" w:rsidR="00781D14" w:rsidRPr="00927753" w:rsidRDefault="00000000" w:rsidP="00927753">
            <w:pPr>
              <w:spacing w:line="240" w:lineRule="auto"/>
            </w:pPr>
            <w:r w:rsidRPr="00927753">
              <w:t>n/p ≥ 10.00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F0F572A" w14:textId="77777777" w:rsidR="00781D14" w:rsidRPr="00927753" w:rsidRDefault="00000000" w:rsidP="00927753">
            <w:pPr>
              <w:spacing w:line="240" w:lineRule="auto"/>
              <w:jc w:val="center"/>
            </w:pPr>
            <w:r w:rsidRPr="00927753">
              <w:t>433.5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A8FC0C6" w14:textId="77777777" w:rsidR="00781D14" w:rsidRPr="00927753" w:rsidRDefault="00000000" w:rsidP="00927753">
            <w:pPr>
              <w:spacing w:line="240" w:lineRule="auto"/>
              <w:jc w:val="center"/>
            </w:pPr>
            <w:r w:rsidRPr="00927753">
              <w:t>228.0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7E32F98" w14:textId="77777777" w:rsidR="00781D14" w:rsidRPr="00927753" w:rsidRDefault="00000000" w:rsidP="00927753">
            <w:pPr>
              <w:spacing w:line="240" w:lineRule="auto"/>
              <w:jc w:val="center"/>
            </w:pPr>
            <w:r w:rsidRPr="00927753">
              <w:t>152.1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1A58E86" w14:textId="77777777" w:rsidR="00781D14" w:rsidRPr="00927753" w:rsidRDefault="00000000" w:rsidP="00927753">
            <w:pPr>
              <w:spacing w:line="240" w:lineRule="auto"/>
              <w:jc w:val="center"/>
            </w:pPr>
            <w:r w:rsidRPr="00927753">
              <w:t>122.9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75955EA" w14:textId="77777777" w:rsidR="00781D14" w:rsidRPr="00927753" w:rsidRDefault="00000000" w:rsidP="00927753">
            <w:pPr>
              <w:spacing w:line="240" w:lineRule="auto"/>
              <w:jc w:val="center"/>
            </w:pPr>
            <w:r w:rsidRPr="00927753">
              <w:t>14.2</w:t>
            </w:r>
          </w:p>
        </w:tc>
      </w:tr>
      <w:tr w:rsidR="00781D14" w:rsidRPr="00927753" w14:paraId="4342809A"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B198DC5" w14:textId="77777777" w:rsidR="00781D14" w:rsidRPr="00927753" w:rsidRDefault="00000000" w:rsidP="00927753">
            <w:pPr>
              <w:spacing w:line="240" w:lineRule="auto"/>
            </w:pPr>
            <w:r w:rsidRPr="00927753">
              <w:t>det(R) &gt; 0.00001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E60A84B" w14:textId="77777777" w:rsidR="00781D14" w:rsidRPr="00927753" w:rsidRDefault="00000000" w:rsidP="00927753">
            <w:pPr>
              <w:spacing w:line="240" w:lineRule="auto"/>
              <w:jc w:val="center"/>
            </w:pPr>
            <w:r w:rsidRPr="00927753">
              <w:t>0.0025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D25041C" w14:textId="77777777" w:rsidR="00781D14" w:rsidRPr="00927753" w:rsidRDefault="00000000" w:rsidP="00927753">
            <w:pPr>
              <w:spacing w:line="240" w:lineRule="auto"/>
              <w:jc w:val="center"/>
            </w:pPr>
            <w:r w:rsidRPr="00927753">
              <w:t>5.8e-6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01B8F39" w14:textId="77777777" w:rsidR="00781D14" w:rsidRPr="00927753" w:rsidRDefault="00000000" w:rsidP="00927753">
            <w:pPr>
              <w:spacing w:line="240" w:lineRule="auto"/>
              <w:jc w:val="center"/>
            </w:pPr>
            <w:r w:rsidRPr="00927753">
              <w:t>1.1e-7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C524AA9" w14:textId="77777777" w:rsidR="00781D14" w:rsidRPr="00927753" w:rsidRDefault="00000000" w:rsidP="00927753">
            <w:pPr>
              <w:spacing w:line="240" w:lineRule="auto"/>
              <w:jc w:val="center"/>
            </w:pPr>
            <w:r w:rsidRPr="00927753">
              <w:t>1.7e-6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C06FDC6" w14:textId="77777777" w:rsidR="00781D14" w:rsidRPr="00927753" w:rsidRDefault="00000000" w:rsidP="00927753">
            <w:pPr>
              <w:spacing w:line="240" w:lineRule="auto"/>
              <w:jc w:val="center"/>
            </w:pPr>
            <w:r w:rsidRPr="00927753">
              <w:t>5.9e-15</w:t>
            </w:r>
          </w:p>
        </w:tc>
      </w:tr>
      <w:tr w:rsidR="00781D14" w:rsidRPr="00927753" w14:paraId="16A4D244"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94C6E75" w14:textId="77777777" w:rsidR="00781D14" w:rsidRPr="00927753" w:rsidRDefault="00000000" w:rsidP="00927753">
            <w:pPr>
              <w:spacing w:line="240" w:lineRule="auto"/>
            </w:pPr>
            <w:r w:rsidRPr="00927753">
              <w:t>KMO ≥ 0.70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4366887" w14:textId="77777777" w:rsidR="00781D14" w:rsidRPr="00927753" w:rsidRDefault="00000000" w:rsidP="00927753">
            <w:pPr>
              <w:spacing w:line="240" w:lineRule="auto"/>
              <w:jc w:val="center"/>
            </w:pPr>
            <w:r w:rsidRPr="00927753">
              <w:t>0.791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654DDB5" w14:textId="77777777" w:rsidR="00781D14" w:rsidRPr="00927753" w:rsidRDefault="00000000" w:rsidP="00927753">
            <w:pPr>
              <w:spacing w:line="240" w:lineRule="auto"/>
              <w:jc w:val="center"/>
            </w:pPr>
            <w:r w:rsidRPr="00927753">
              <w:t>0.849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0CA3A5A" w14:textId="77777777" w:rsidR="00781D14" w:rsidRPr="00927753" w:rsidRDefault="00000000" w:rsidP="00927753">
            <w:pPr>
              <w:spacing w:line="240" w:lineRule="auto"/>
              <w:jc w:val="center"/>
            </w:pPr>
            <w:r w:rsidRPr="00927753">
              <w:t>0.892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92D611F" w14:textId="77777777" w:rsidR="00781D14" w:rsidRPr="00927753" w:rsidRDefault="00000000" w:rsidP="00927753">
            <w:pPr>
              <w:spacing w:line="240" w:lineRule="auto"/>
              <w:jc w:val="center"/>
            </w:pPr>
            <w:r w:rsidRPr="00927753">
              <w:t>0.897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CF38E3F" w14:textId="77777777" w:rsidR="00781D14" w:rsidRPr="00927753" w:rsidRDefault="00000000" w:rsidP="00927753">
            <w:pPr>
              <w:spacing w:line="240" w:lineRule="auto"/>
              <w:jc w:val="center"/>
            </w:pPr>
            <w:r w:rsidRPr="00927753">
              <w:t>0.935</w:t>
            </w:r>
          </w:p>
        </w:tc>
      </w:tr>
      <w:tr w:rsidR="00781D14" w:rsidRPr="00927753" w14:paraId="463892A8"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C234A34" w14:textId="77777777" w:rsidR="00781D14" w:rsidRPr="00927753" w:rsidRDefault="00000000" w:rsidP="00927753">
            <w:pPr>
              <w:spacing w:line="240" w:lineRule="auto"/>
            </w:pPr>
            <w:r w:rsidRPr="00927753">
              <w:t>Bartlett (p &lt; 0.05)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0E27C05"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BBC781A"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8583E55"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C5C33C2"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83A78CA" w14:textId="77777777" w:rsidR="00781D14" w:rsidRPr="00927753" w:rsidRDefault="00000000" w:rsidP="00927753">
            <w:pPr>
              <w:spacing w:line="240" w:lineRule="auto"/>
              <w:jc w:val="center"/>
            </w:pPr>
            <w:r w:rsidRPr="00927753">
              <w:t>&lt; 0.001</w:t>
            </w:r>
          </w:p>
        </w:tc>
      </w:tr>
      <w:tr w:rsidR="00781D14" w:rsidRPr="00927753" w14:paraId="6AEF74C3" w14:textId="77777777" w:rsidTr="00727EBA">
        <w:tc>
          <w:tcPr>
            <w:tcW w:w="9360" w:type="dxa"/>
            <w:gridSpan w:val="6"/>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tcPr>
          <w:p w14:paraId="035F167E" w14:textId="77777777" w:rsidR="00727EBA" w:rsidRPr="00927753" w:rsidRDefault="00727EBA" w:rsidP="00927753">
            <w:pPr>
              <w:spacing w:line="240" w:lineRule="auto"/>
              <w:rPr>
                <w:b/>
                <w:bCs/>
              </w:rPr>
            </w:pPr>
          </w:p>
          <w:p w14:paraId="71EEA2FB" w14:textId="77777777" w:rsidR="00781D14" w:rsidRPr="00927753" w:rsidRDefault="00000000" w:rsidP="00927753">
            <w:pPr>
              <w:spacing w:line="240" w:lineRule="auto"/>
            </w:pPr>
            <w:r w:rsidRPr="00927753">
              <w:rPr>
                <w:b/>
                <w:bCs/>
              </w:rPr>
              <w:t>COHESION</w:t>
            </w:r>
          </w:p>
        </w:tc>
      </w:tr>
      <w:tr w:rsidR="00781D14" w:rsidRPr="00927753" w14:paraId="1DCEFB7F"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F5F4729" w14:textId="77777777" w:rsidR="00781D14" w:rsidRPr="00927753" w:rsidRDefault="00000000" w:rsidP="00927753">
            <w:pPr>
              <w:spacing w:line="240" w:lineRule="auto"/>
            </w:pPr>
            <w:r w:rsidRPr="00927753">
              <w:t>Min |r| ≥ 0.35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539E683" w14:textId="77777777" w:rsidR="00781D14" w:rsidRPr="00927753" w:rsidRDefault="00000000" w:rsidP="00927753">
            <w:pPr>
              <w:spacing w:line="240" w:lineRule="auto"/>
              <w:jc w:val="center"/>
            </w:pPr>
            <w:r w:rsidRPr="00927753">
              <w:t>0.698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94CD163" w14:textId="77777777" w:rsidR="00781D14" w:rsidRPr="00927753" w:rsidRDefault="00000000" w:rsidP="00927753">
            <w:pPr>
              <w:spacing w:line="240" w:lineRule="auto"/>
              <w:jc w:val="center"/>
            </w:pPr>
            <w:r w:rsidRPr="00927753">
              <w:t>0.635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309735F" w14:textId="77777777" w:rsidR="00781D14" w:rsidRPr="00927753" w:rsidRDefault="00000000" w:rsidP="00927753">
            <w:pPr>
              <w:spacing w:line="240" w:lineRule="auto"/>
              <w:jc w:val="center"/>
            </w:pPr>
            <w:r w:rsidRPr="00927753">
              <w:t>0.627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C9BC407" w14:textId="77777777" w:rsidR="00781D14" w:rsidRPr="00927753" w:rsidRDefault="00000000" w:rsidP="00927753">
            <w:pPr>
              <w:spacing w:line="240" w:lineRule="auto"/>
              <w:jc w:val="center"/>
            </w:pPr>
            <w:r w:rsidRPr="00927753">
              <w:t>0.323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EBC0314" w14:textId="77777777" w:rsidR="00781D14" w:rsidRPr="00927753" w:rsidRDefault="00000000" w:rsidP="00927753">
            <w:pPr>
              <w:spacing w:line="240" w:lineRule="auto"/>
              <w:jc w:val="center"/>
            </w:pPr>
            <w:r w:rsidRPr="00927753">
              <w:t>0.428</w:t>
            </w:r>
          </w:p>
        </w:tc>
      </w:tr>
      <w:tr w:rsidR="00781D14" w:rsidRPr="00927753" w14:paraId="19D0E103"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892F9D3" w14:textId="77777777" w:rsidR="00781D14" w:rsidRPr="00927753" w:rsidRDefault="00000000" w:rsidP="00927753">
            <w:pPr>
              <w:spacing w:line="240" w:lineRule="auto"/>
            </w:pPr>
            <w:r w:rsidRPr="00927753">
              <w:t>Mean |r| ≥ 0.55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986E075" w14:textId="77777777" w:rsidR="00781D14" w:rsidRPr="00927753" w:rsidRDefault="00000000" w:rsidP="00927753">
            <w:pPr>
              <w:spacing w:line="240" w:lineRule="auto"/>
              <w:jc w:val="center"/>
            </w:pPr>
            <w:r w:rsidRPr="00927753">
              <w:t>0.849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65DA2F3" w14:textId="77777777" w:rsidR="00781D14" w:rsidRPr="00927753" w:rsidRDefault="00000000" w:rsidP="00927753">
            <w:pPr>
              <w:spacing w:line="240" w:lineRule="auto"/>
              <w:jc w:val="center"/>
            </w:pPr>
            <w:r w:rsidRPr="00927753">
              <w:t>0.819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14111D4" w14:textId="77777777" w:rsidR="00781D14" w:rsidRPr="00927753" w:rsidRDefault="00000000" w:rsidP="00927753">
            <w:pPr>
              <w:spacing w:line="240" w:lineRule="auto"/>
              <w:jc w:val="center"/>
            </w:pPr>
            <w:r w:rsidRPr="00927753">
              <w:t>0.815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855CBC7" w14:textId="77777777" w:rsidR="00781D14" w:rsidRPr="00927753" w:rsidRDefault="00000000" w:rsidP="00927753">
            <w:pPr>
              <w:spacing w:line="240" w:lineRule="auto"/>
              <w:jc w:val="center"/>
            </w:pPr>
            <w:r w:rsidRPr="00927753">
              <w:t>0.682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E77825D" w14:textId="77777777" w:rsidR="00781D14" w:rsidRPr="00927753" w:rsidRDefault="00000000" w:rsidP="00927753">
            <w:pPr>
              <w:spacing w:line="240" w:lineRule="auto"/>
              <w:jc w:val="center"/>
            </w:pPr>
            <w:r w:rsidRPr="00927753">
              <w:t>0.741</w:t>
            </w:r>
          </w:p>
        </w:tc>
      </w:tr>
      <w:tr w:rsidR="00781D14" w:rsidRPr="00927753" w14:paraId="788A9E6C"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D54DE8B" w14:textId="77777777" w:rsidR="00781D14" w:rsidRPr="00927753" w:rsidRDefault="00000000" w:rsidP="00927753">
            <w:pPr>
              <w:spacing w:line="240" w:lineRule="auto"/>
            </w:pPr>
            <w:r w:rsidRPr="00927753">
              <w:t>Sign coherence (PC1)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BEA6C03"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B3E9020"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A2BD7B8"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EFF7B3F"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A27EBB7" w14:textId="77777777" w:rsidR="00781D14" w:rsidRPr="00927753" w:rsidRDefault="00000000" w:rsidP="00927753">
            <w:pPr>
              <w:spacing w:line="240" w:lineRule="auto"/>
              <w:jc w:val="center"/>
            </w:pPr>
            <w:r w:rsidRPr="00927753">
              <w:t>Pass</w:t>
            </w:r>
          </w:p>
        </w:tc>
      </w:tr>
      <w:tr w:rsidR="00781D14" w:rsidRPr="00927753" w14:paraId="4BAC172B"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8EC985B" w14:textId="77777777" w:rsidR="00781D14" w:rsidRPr="00927753" w:rsidRDefault="00000000" w:rsidP="00927753">
            <w:pPr>
              <w:spacing w:line="240" w:lineRule="auto"/>
            </w:pPr>
            <w:r w:rsidRPr="00927753">
              <w:t>Sign coherence (FA1)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79DD678"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D39735C"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00B9259"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6FA38F8" w14:textId="77777777" w:rsidR="00781D14" w:rsidRPr="00927753" w:rsidRDefault="00000000" w:rsidP="00927753">
            <w:pPr>
              <w:spacing w:line="240" w:lineRule="auto"/>
              <w:jc w:val="center"/>
            </w:pPr>
            <w:r w:rsidRPr="00927753">
              <w:t>Pass</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8687DBA" w14:textId="77777777" w:rsidR="00781D14" w:rsidRPr="00927753" w:rsidRDefault="00000000" w:rsidP="00927753">
            <w:pPr>
              <w:spacing w:line="240" w:lineRule="auto"/>
              <w:jc w:val="center"/>
            </w:pPr>
            <w:r w:rsidRPr="00927753">
              <w:t>Pass</w:t>
            </w:r>
          </w:p>
        </w:tc>
      </w:tr>
      <w:tr w:rsidR="00781D14" w:rsidRPr="00927753" w14:paraId="253FF13D" w14:textId="77777777" w:rsidTr="00727EBA">
        <w:tc>
          <w:tcPr>
            <w:tcW w:w="9360" w:type="dxa"/>
            <w:gridSpan w:val="6"/>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tcPr>
          <w:p w14:paraId="2401BB38" w14:textId="77777777" w:rsidR="00727EBA" w:rsidRPr="00927753" w:rsidRDefault="00727EBA" w:rsidP="00927753">
            <w:pPr>
              <w:spacing w:line="240" w:lineRule="auto"/>
              <w:rPr>
                <w:b/>
                <w:bCs/>
              </w:rPr>
            </w:pPr>
          </w:p>
          <w:p w14:paraId="71780AB7" w14:textId="77777777" w:rsidR="00781D14" w:rsidRPr="00927753" w:rsidRDefault="00000000" w:rsidP="00927753">
            <w:pPr>
              <w:spacing w:line="240" w:lineRule="auto"/>
            </w:pPr>
            <w:r w:rsidRPr="00927753">
              <w:rPr>
                <w:b/>
                <w:bCs/>
              </w:rPr>
              <w:t>UNIDIMENSIONALITY</w:t>
            </w:r>
          </w:p>
        </w:tc>
      </w:tr>
      <w:tr w:rsidR="00781D14" w:rsidRPr="00927753" w14:paraId="499EBC7E"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1167439" w14:textId="77777777" w:rsidR="00781D14" w:rsidRPr="00927753" w:rsidRDefault="00000000" w:rsidP="00927753">
            <w:pPr>
              <w:spacing w:line="240" w:lineRule="auto"/>
            </w:pPr>
            <w:r w:rsidRPr="00927753">
              <w:t>Kaiser (λ₂ &lt; 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57577FC" w14:textId="77777777" w:rsidR="00781D14" w:rsidRPr="00927753" w:rsidRDefault="00000000" w:rsidP="00927753">
            <w:pPr>
              <w:spacing w:line="240" w:lineRule="auto"/>
              <w:jc w:val="center"/>
            </w:pPr>
            <w:r w:rsidRPr="00927753">
              <w:t>0.346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688F11D" w14:textId="77777777" w:rsidR="00781D14" w:rsidRPr="00927753" w:rsidRDefault="00000000" w:rsidP="00927753">
            <w:pPr>
              <w:spacing w:line="240" w:lineRule="auto"/>
              <w:jc w:val="center"/>
            </w:pPr>
            <w:r w:rsidRPr="00927753">
              <w:t>0.727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E96B509" w14:textId="77777777" w:rsidR="00781D14" w:rsidRPr="00927753" w:rsidRDefault="00000000" w:rsidP="00927753">
            <w:pPr>
              <w:spacing w:line="240" w:lineRule="auto"/>
              <w:jc w:val="center"/>
            </w:pPr>
            <w:r w:rsidRPr="00927753">
              <w:t>0.663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6ABE965" w14:textId="77777777" w:rsidR="00781D14" w:rsidRPr="00927753" w:rsidRDefault="00000000" w:rsidP="00927753">
            <w:pPr>
              <w:spacing w:line="240" w:lineRule="auto"/>
              <w:jc w:val="center"/>
            </w:pPr>
            <w:r w:rsidRPr="00927753">
              <w:t>1.053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C259A55" w14:textId="77777777" w:rsidR="00781D14" w:rsidRPr="00927753" w:rsidRDefault="00000000" w:rsidP="00927753">
            <w:pPr>
              <w:spacing w:line="240" w:lineRule="auto"/>
              <w:jc w:val="center"/>
            </w:pPr>
            <w:r w:rsidRPr="00927753">
              <w:t>1.546</w:t>
            </w:r>
          </w:p>
        </w:tc>
      </w:tr>
      <w:tr w:rsidR="00781D14" w:rsidRPr="00927753" w14:paraId="38E7BEE0"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9B2134D" w14:textId="77777777" w:rsidR="00781D14" w:rsidRPr="00927753" w:rsidRDefault="00000000" w:rsidP="00927753">
            <w:pPr>
              <w:spacing w:line="240" w:lineRule="auto"/>
            </w:pPr>
            <w:r w:rsidRPr="00927753">
              <w:t>Eigenvalue separation λ₁/λ₂ ≥ 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F9B4F88" w14:textId="77777777" w:rsidR="00781D14" w:rsidRPr="00927753" w:rsidRDefault="00000000" w:rsidP="00927753">
            <w:pPr>
              <w:spacing w:line="240" w:lineRule="auto"/>
              <w:jc w:val="center"/>
            </w:pPr>
            <w:r w:rsidRPr="00927753">
              <w:t>10.27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446F716" w14:textId="77777777" w:rsidR="00781D14" w:rsidRPr="00927753" w:rsidRDefault="00000000" w:rsidP="00927753">
            <w:pPr>
              <w:spacing w:line="240" w:lineRule="auto"/>
              <w:jc w:val="center"/>
            </w:pPr>
            <w:r w:rsidRPr="00927753">
              <w:t>7.01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181E960" w14:textId="77777777" w:rsidR="00781D14" w:rsidRPr="00927753" w:rsidRDefault="00000000" w:rsidP="00927753">
            <w:pPr>
              <w:spacing w:line="240" w:lineRule="auto"/>
              <w:jc w:val="center"/>
            </w:pPr>
            <w:r w:rsidRPr="00927753">
              <w:t>10.14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FE2CE50" w14:textId="77777777" w:rsidR="00781D14" w:rsidRPr="00927753" w:rsidRDefault="00000000" w:rsidP="00927753">
            <w:pPr>
              <w:spacing w:line="240" w:lineRule="auto"/>
              <w:jc w:val="center"/>
            </w:pPr>
            <w:r w:rsidRPr="00927753">
              <w:t>6.84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B117CA7" w14:textId="77777777" w:rsidR="00781D14" w:rsidRPr="00927753" w:rsidRDefault="00000000" w:rsidP="00927753">
            <w:pPr>
              <w:spacing w:line="240" w:lineRule="auto"/>
              <w:jc w:val="center"/>
            </w:pPr>
            <w:r w:rsidRPr="00927753">
              <w:t>7.88</w:t>
            </w:r>
          </w:p>
        </w:tc>
      </w:tr>
      <w:tr w:rsidR="00781D14" w:rsidRPr="00927753" w14:paraId="19A853E7"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D9277A9" w14:textId="77777777" w:rsidR="00781D14" w:rsidRPr="00927753" w:rsidRDefault="00000000" w:rsidP="00927753">
            <w:pPr>
              <w:spacing w:line="240" w:lineRule="auto"/>
            </w:pPr>
            <w:r w:rsidRPr="00927753">
              <w:t>PC1 explained variance ≥ 0.60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7055187" w14:textId="77777777" w:rsidR="00781D14" w:rsidRPr="00927753" w:rsidRDefault="00000000" w:rsidP="00927753">
            <w:pPr>
              <w:spacing w:line="240" w:lineRule="auto"/>
              <w:jc w:val="center"/>
            </w:pPr>
            <w:r w:rsidRPr="00927753">
              <w:t>0.889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2159EA7" w14:textId="77777777" w:rsidR="00781D14" w:rsidRPr="00927753" w:rsidRDefault="00000000" w:rsidP="00927753">
            <w:pPr>
              <w:spacing w:line="240" w:lineRule="auto"/>
              <w:jc w:val="center"/>
            </w:pPr>
            <w:r w:rsidRPr="00927753">
              <w:t>0.850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2745B1D" w14:textId="77777777" w:rsidR="00781D14" w:rsidRPr="00927753" w:rsidRDefault="00000000" w:rsidP="00927753">
            <w:pPr>
              <w:spacing w:line="240" w:lineRule="auto"/>
              <w:jc w:val="center"/>
            </w:pPr>
            <w:r w:rsidRPr="00927753">
              <w:t>0.840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4D83755" w14:textId="77777777" w:rsidR="00781D14" w:rsidRPr="00927753" w:rsidRDefault="00000000" w:rsidP="00927753">
            <w:pPr>
              <w:spacing w:line="240" w:lineRule="auto"/>
              <w:jc w:val="center"/>
            </w:pPr>
            <w:r w:rsidRPr="00927753">
              <w:t>0.721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5CFA2E0" w14:textId="77777777" w:rsidR="00781D14" w:rsidRPr="00927753" w:rsidRDefault="00000000" w:rsidP="00927753">
            <w:pPr>
              <w:spacing w:line="240" w:lineRule="auto"/>
              <w:jc w:val="center"/>
            </w:pPr>
            <w:r w:rsidRPr="00927753">
              <w:t>0.761</w:t>
            </w:r>
          </w:p>
        </w:tc>
      </w:tr>
      <w:tr w:rsidR="00781D14" w:rsidRPr="00927753" w14:paraId="32E0A2BD"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9A7874D" w14:textId="77777777" w:rsidR="00781D14" w:rsidRPr="00927753" w:rsidRDefault="00000000" w:rsidP="00927753">
            <w:pPr>
              <w:spacing w:line="240" w:lineRule="auto"/>
            </w:pPr>
            <w:r w:rsidRPr="00927753">
              <w:t>Mean h² ≥ 0.45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AFE92A0" w14:textId="77777777" w:rsidR="00781D14" w:rsidRPr="00927753" w:rsidRDefault="00000000" w:rsidP="00927753">
            <w:pPr>
              <w:spacing w:line="240" w:lineRule="auto"/>
              <w:jc w:val="center"/>
            </w:pPr>
            <w:r w:rsidRPr="00927753">
              <w:t>0.868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34BF56A" w14:textId="77777777" w:rsidR="00781D14" w:rsidRPr="00927753" w:rsidRDefault="00000000" w:rsidP="00927753">
            <w:pPr>
              <w:spacing w:line="240" w:lineRule="auto"/>
              <w:jc w:val="center"/>
            </w:pPr>
            <w:r w:rsidRPr="00927753">
              <w:t>0.775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412D5EC" w14:textId="77777777" w:rsidR="00781D14" w:rsidRPr="00927753" w:rsidRDefault="00000000" w:rsidP="00927753">
            <w:pPr>
              <w:spacing w:line="240" w:lineRule="auto"/>
              <w:jc w:val="center"/>
            </w:pPr>
            <w:r w:rsidRPr="00927753">
              <w:t>0.797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1A5A6A9" w14:textId="77777777" w:rsidR="00781D14" w:rsidRPr="00927753" w:rsidRDefault="00000000" w:rsidP="00927753">
            <w:pPr>
              <w:spacing w:line="240" w:lineRule="auto"/>
              <w:jc w:val="center"/>
            </w:pPr>
            <w:r w:rsidRPr="00927753">
              <w:t>0.688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AF778C2" w14:textId="77777777" w:rsidR="00781D14" w:rsidRPr="00927753" w:rsidRDefault="00000000" w:rsidP="00927753">
            <w:pPr>
              <w:spacing w:line="240" w:lineRule="auto"/>
              <w:jc w:val="center"/>
            </w:pPr>
            <w:r w:rsidRPr="00927753">
              <w:t>0.716</w:t>
            </w:r>
          </w:p>
        </w:tc>
      </w:tr>
      <w:tr w:rsidR="00781D14" w:rsidRPr="00927753" w14:paraId="76A105FB"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ECFF4AA" w14:textId="77777777" w:rsidR="00781D14" w:rsidRPr="00927753" w:rsidRDefault="00000000" w:rsidP="00927753">
            <w:pPr>
              <w:spacing w:line="240" w:lineRule="auto"/>
            </w:pPr>
            <w:r w:rsidRPr="00927753">
              <w:t>Min h² ≥ 0.35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AEA0CF4" w14:textId="77777777" w:rsidR="00781D14" w:rsidRPr="00927753" w:rsidRDefault="00000000" w:rsidP="00927753">
            <w:pPr>
              <w:spacing w:line="240" w:lineRule="auto"/>
              <w:jc w:val="center"/>
            </w:pPr>
            <w:r w:rsidRPr="00927753">
              <w:t>0.659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FFFB565" w14:textId="77777777" w:rsidR="00781D14" w:rsidRPr="00927753" w:rsidRDefault="00000000" w:rsidP="00927753">
            <w:pPr>
              <w:spacing w:line="240" w:lineRule="auto"/>
              <w:jc w:val="center"/>
            </w:pPr>
            <w:r w:rsidRPr="00927753">
              <w:t>0.518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FDECBD7" w14:textId="77777777" w:rsidR="00781D14" w:rsidRPr="00927753" w:rsidRDefault="00000000" w:rsidP="00927753">
            <w:pPr>
              <w:spacing w:line="240" w:lineRule="auto"/>
              <w:jc w:val="center"/>
            </w:pPr>
            <w:r w:rsidRPr="00927753">
              <w:t>0.552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13EE361" w14:textId="77777777" w:rsidR="00781D14" w:rsidRPr="00927753" w:rsidRDefault="00000000" w:rsidP="00927753">
            <w:pPr>
              <w:spacing w:line="240" w:lineRule="auto"/>
              <w:jc w:val="center"/>
            </w:pPr>
            <w:r w:rsidRPr="00927753">
              <w:t>0.298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4A5C5C5" w14:textId="77777777" w:rsidR="00781D14" w:rsidRPr="00927753" w:rsidRDefault="00000000" w:rsidP="00927753">
            <w:pPr>
              <w:spacing w:line="240" w:lineRule="auto"/>
              <w:jc w:val="center"/>
            </w:pPr>
            <w:r w:rsidRPr="00927753">
              <w:t>0.319</w:t>
            </w:r>
          </w:p>
        </w:tc>
      </w:tr>
      <w:tr w:rsidR="00781D14" w:rsidRPr="00927753" w14:paraId="1DC30D9B"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A6F7236" w14:textId="77777777" w:rsidR="00781D14" w:rsidRPr="00927753" w:rsidRDefault="00000000" w:rsidP="00927753">
            <w:pPr>
              <w:spacing w:line="240" w:lineRule="auto"/>
            </w:pPr>
            <w:r w:rsidRPr="00927753">
              <w:t>SRMR ≤ 0.08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07D3731" w14:textId="77777777" w:rsidR="00781D14" w:rsidRPr="00927753" w:rsidRDefault="00000000" w:rsidP="00927753">
            <w:pPr>
              <w:spacing w:line="240" w:lineRule="auto"/>
              <w:jc w:val="center"/>
            </w:pPr>
            <w:r w:rsidRPr="00927753">
              <w:t>0.112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EBB27C6" w14:textId="77777777" w:rsidR="00781D14" w:rsidRPr="00927753" w:rsidRDefault="00000000" w:rsidP="00927753">
            <w:pPr>
              <w:spacing w:line="240" w:lineRule="auto"/>
              <w:jc w:val="center"/>
            </w:pPr>
            <w:r w:rsidRPr="00927753">
              <w:t>0.138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CF189A9" w14:textId="77777777" w:rsidR="00781D14" w:rsidRPr="00927753" w:rsidRDefault="00000000" w:rsidP="00927753">
            <w:pPr>
              <w:spacing w:line="240" w:lineRule="auto"/>
              <w:jc w:val="center"/>
            </w:pPr>
            <w:r w:rsidRPr="00927753">
              <w:t>0.130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93ACAC0" w14:textId="77777777" w:rsidR="00781D14" w:rsidRPr="00927753" w:rsidRDefault="00000000" w:rsidP="00927753">
            <w:pPr>
              <w:spacing w:line="240" w:lineRule="auto"/>
              <w:jc w:val="center"/>
            </w:pPr>
            <w:r w:rsidRPr="00927753">
              <w:t>0.197</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F80DD9F" w14:textId="77777777" w:rsidR="00781D14" w:rsidRPr="00927753" w:rsidRDefault="00000000" w:rsidP="00927753">
            <w:pPr>
              <w:spacing w:line="240" w:lineRule="auto"/>
              <w:jc w:val="center"/>
            </w:pPr>
            <w:r w:rsidRPr="00927753">
              <w:t>0.166</w:t>
            </w:r>
          </w:p>
        </w:tc>
      </w:tr>
      <w:tr w:rsidR="00781D14" w:rsidRPr="00927753" w14:paraId="6FD44D6E"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EEDBBEA" w14:textId="77777777" w:rsidR="00781D14" w:rsidRPr="00927753" w:rsidRDefault="00000000" w:rsidP="00927753">
            <w:pPr>
              <w:spacing w:line="240" w:lineRule="auto"/>
            </w:pPr>
            <w:r w:rsidRPr="00927753">
              <w:t>RMSEA ≤ 0.06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14EDA38" w14:textId="77777777" w:rsidR="00781D14" w:rsidRPr="00927753" w:rsidRDefault="00000000" w:rsidP="00927753">
            <w:pPr>
              <w:spacing w:line="240" w:lineRule="auto"/>
              <w:jc w:val="center"/>
            </w:pPr>
            <w:r w:rsidRPr="00927753">
              <w:t>0.332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9168ADC" w14:textId="77777777" w:rsidR="00781D14" w:rsidRPr="00927753" w:rsidRDefault="00000000" w:rsidP="00927753">
            <w:pPr>
              <w:spacing w:line="240" w:lineRule="auto"/>
              <w:jc w:val="center"/>
            </w:pPr>
            <w:r w:rsidRPr="00927753">
              <w:t>0.658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0D9DEB4" w14:textId="77777777" w:rsidR="00781D14" w:rsidRPr="00927753" w:rsidRDefault="00000000" w:rsidP="00927753">
            <w:pPr>
              <w:spacing w:line="240" w:lineRule="auto"/>
              <w:jc w:val="center"/>
            </w:pPr>
            <w:r w:rsidRPr="00927753">
              <w:t>0.472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214195DB" w14:textId="77777777" w:rsidR="00781D14" w:rsidRPr="00927753" w:rsidRDefault="00000000" w:rsidP="00927753">
            <w:pPr>
              <w:spacing w:line="240" w:lineRule="auto"/>
              <w:jc w:val="center"/>
            </w:pPr>
            <w:r w:rsidRPr="00927753">
              <w:t>0.311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C1EACB3" w14:textId="77777777" w:rsidR="00781D14" w:rsidRPr="00927753" w:rsidRDefault="00000000" w:rsidP="00927753">
            <w:pPr>
              <w:spacing w:line="240" w:lineRule="auto"/>
              <w:jc w:val="center"/>
            </w:pPr>
            <w:r w:rsidRPr="00927753">
              <w:t>0.341</w:t>
            </w:r>
          </w:p>
        </w:tc>
      </w:tr>
      <w:tr w:rsidR="00781D14" w:rsidRPr="00927753" w14:paraId="5550AF27"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EAB5F49" w14:textId="77777777" w:rsidR="00781D14" w:rsidRPr="00927753" w:rsidRDefault="00000000" w:rsidP="00927753">
            <w:pPr>
              <w:spacing w:line="240" w:lineRule="auto"/>
            </w:pPr>
            <w:r w:rsidRPr="00927753">
              <w:t>CFI ≥ 0.95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F7343C4" w14:textId="77777777" w:rsidR="00781D14" w:rsidRPr="00927753" w:rsidRDefault="00000000" w:rsidP="00927753">
            <w:pPr>
              <w:spacing w:line="240" w:lineRule="auto"/>
              <w:jc w:val="center"/>
            </w:pPr>
            <w:r w:rsidRPr="00927753">
              <w:t>0.963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3FBA4A7" w14:textId="77777777" w:rsidR="00781D14" w:rsidRPr="00927753" w:rsidRDefault="00000000" w:rsidP="00927753">
            <w:pPr>
              <w:spacing w:line="240" w:lineRule="auto"/>
              <w:jc w:val="center"/>
            </w:pPr>
            <w:r w:rsidRPr="00927753">
              <w:t>0.676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7E8441B" w14:textId="77777777" w:rsidR="00781D14" w:rsidRPr="00927753" w:rsidRDefault="00000000" w:rsidP="00927753">
            <w:pPr>
              <w:spacing w:line="240" w:lineRule="auto"/>
              <w:jc w:val="center"/>
            </w:pPr>
            <w:r w:rsidRPr="00927753">
              <w:t>0.722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4898471" w14:textId="77777777" w:rsidR="00781D14" w:rsidRPr="00927753" w:rsidRDefault="00000000" w:rsidP="00927753">
            <w:pPr>
              <w:spacing w:line="240" w:lineRule="auto"/>
              <w:jc w:val="center"/>
            </w:pPr>
            <w:r w:rsidRPr="00927753">
              <w:t>0.744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AAACB94" w14:textId="77777777" w:rsidR="00781D14" w:rsidRPr="00927753" w:rsidRDefault="00000000" w:rsidP="00927753">
            <w:pPr>
              <w:spacing w:line="240" w:lineRule="auto"/>
              <w:jc w:val="center"/>
            </w:pPr>
            <w:r w:rsidRPr="00927753">
              <w:t>0.626</w:t>
            </w:r>
          </w:p>
        </w:tc>
      </w:tr>
      <w:tr w:rsidR="00781D14" w:rsidRPr="00927753" w14:paraId="212FE031"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35C4276" w14:textId="77777777" w:rsidR="00781D14" w:rsidRPr="00927753" w:rsidRDefault="00000000" w:rsidP="00927753">
            <w:pPr>
              <w:spacing w:line="240" w:lineRule="auto"/>
            </w:pPr>
            <w:r w:rsidRPr="00927753">
              <w:t>χ² (p &gt; 0.05)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56E73CB"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95D252A"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5677DBF"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E4FD8C8" w14:textId="77777777" w:rsidR="00781D14" w:rsidRPr="00927753" w:rsidRDefault="00000000" w:rsidP="00927753">
            <w:pPr>
              <w:spacing w:line="240" w:lineRule="auto"/>
              <w:jc w:val="center"/>
            </w:pPr>
            <w:r w:rsidRPr="00927753">
              <w:t>&lt; 0.001</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83C6D09" w14:textId="77777777" w:rsidR="00781D14" w:rsidRPr="00927753" w:rsidRDefault="00000000" w:rsidP="00927753">
            <w:pPr>
              <w:spacing w:line="240" w:lineRule="auto"/>
              <w:jc w:val="center"/>
            </w:pPr>
            <w:r w:rsidRPr="00927753">
              <w:t>&lt; 0.001</w:t>
            </w:r>
          </w:p>
        </w:tc>
      </w:tr>
      <w:tr w:rsidR="00781D14" w:rsidRPr="00927753" w14:paraId="71419717"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4B87D2F" w14:textId="77777777" w:rsidR="00781D14" w:rsidRPr="00927753" w:rsidRDefault="00000000" w:rsidP="00927753">
            <w:pPr>
              <w:spacing w:line="240" w:lineRule="auto"/>
            </w:pPr>
            <w:r w:rsidRPr="00927753">
              <w:t>Min |loading| (PC1) ≥ 0.25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4A7558E" w14:textId="77777777" w:rsidR="00781D14" w:rsidRPr="00927753" w:rsidRDefault="00000000" w:rsidP="00927753">
            <w:pPr>
              <w:spacing w:line="240" w:lineRule="auto"/>
              <w:jc w:val="center"/>
            </w:pPr>
            <w:r w:rsidRPr="00927753">
              <w:t>0.456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28A0E7D" w14:textId="77777777" w:rsidR="00781D14" w:rsidRPr="00927753" w:rsidRDefault="00000000" w:rsidP="00927753">
            <w:pPr>
              <w:spacing w:line="240" w:lineRule="auto"/>
              <w:jc w:val="center"/>
            </w:pPr>
            <w:r w:rsidRPr="00927753">
              <w:t>0.394</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55AAC73" w14:textId="77777777" w:rsidR="00781D14" w:rsidRPr="00927753" w:rsidRDefault="00000000" w:rsidP="00927753">
            <w:pPr>
              <w:spacing w:line="240" w:lineRule="auto"/>
              <w:jc w:val="center"/>
            </w:pPr>
            <w:r w:rsidRPr="00927753">
              <w:t>0.318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29685DA" w14:textId="77777777" w:rsidR="00781D14" w:rsidRPr="00927753" w:rsidRDefault="00000000" w:rsidP="00927753">
            <w:pPr>
              <w:spacing w:line="240" w:lineRule="auto"/>
              <w:jc w:val="center"/>
            </w:pPr>
            <w:r w:rsidRPr="00927753">
              <w:t>0.242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399E05F" w14:textId="77777777" w:rsidR="00781D14" w:rsidRPr="00927753" w:rsidRDefault="00000000" w:rsidP="00927753">
            <w:pPr>
              <w:spacing w:line="240" w:lineRule="auto"/>
              <w:jc w:val="center"/>
            </w:pPr>
            <w:r w:rsidRPr="00927753">
              <w:t>0.202</w:t>
            </w:r>
          </w:p>
        </w:tc>
      </w:tr>
      <w:tr w:rsidR="00781D14" w:rsidRPr="00927753" w14:paraId="5F9DF275"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7C4E53D9" w14:textId="77777777" w:rsidR="00781D14" w:rsidRPr="00927753" w:rsidRDefault="00000000" w:rsidP="00927753">
            <w:pPr>
              <w:spacing w:line="240" w:lineRule="auto"/>
            </w:pPr>
            <w:r w:rsidRPr="00927753">
              <w:t>Min |loading| (FA1) ≥ 0.40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63F3ADD5" w14:textId="77777777" w:rsidR="00781D14" w:rsidRPr="00927753" w:rsidRDefault="00000000" w:rsidP="00927753">
            <w:pPr>
              <w:spacing w:line="240" w:lineRule="auto"/>
              <w:jc w:val="center"/>
            </w:pPr>
            <w:r w:rsidRPr="00927753">
              <w:t>0.812</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660A3EA" w14:textId="77777777" w:rsidR="00781D14" w:rsidRPr="00927753" w:rsidRDefault="00000000" w:rsidP="00927753">
            <w:pPr>
              <w:spacing w:line="240" w:lineRule="auto"/>
              <w:jc w:val="center"/>
            </w:pPr>
            <w:r w:rsidRPr="00927753">
              <w:t>0.720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47D1231" w14:textId="77777777" w:rsidR="00781D14" w:rsidRPr="00927753" w:rsidRDefault="00000000" w:rsidP="00927753">
            <w:pPr>
              <w:spacing w:line="240" w:lineRule="auto"/>
              <w:jc w:val="center"/>
            </w:pPr>
            <w:r w:rsidRPr="00927753">
              <w:t>0.743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1D2F8E89" w14:textId="77777777" w:rsidR="00781D14" w:rsidRPr="00927753" w:rsidRDefault="00000000" w:rsidP="00927753">
            <w:pPr>
              <w:spacing w:line="240" w:lineRule="auto"/>
              <w:jc w:val="center"/>
            </w:pPr>
            <w:r w:rsidRPr="00927753">
              <w:t>0.546</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47BE21B" w14:textId="77777777" w:rsidR="00781D14" w:rsidRPr="00927753" w:rsidRDefault="00000000" w:rsidP="00927753">
            <w:pPr>
              <w:spacing w:line="240" w:lineRule="auto"/>
              <w:jc w:val="center"/>
            </w:pPr>
            <w:r w:rsidRPr="00927753">
              <w:t>0.564</w:t>
            </w:r>
          </w:p>
        </w:tc>
      </w:tr>
      <w:tr w:rsidR="00781D14" w:rsidRPr="00927753" w14:paraId="42037D8F" w14:textId="77777777" w:rsidTr="00727EBA">
        <w:tc>
          <w:tcPr>
            <w:tcW w:w="3800"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496B6BBD" w14:textId="77777777" w:rsidR="00781D14" w:rsidRPr="00927753" w:rsidRDefault="00000000" w:rsidP="00927753">
            <w:pPr>
              <w:spacing w:line="240" w:lineRule="auto"/>
            </w:pPr>
            <w:r w:rsidRPr="00927753">
              <w:t>PC1 vs FA1 similarity ≥ 0.95</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39110774" w14:textId="77777777" w:rsidR="00781D14" w:rsidRPr="00927753" w:rsidRDefault="00000000" w:rsidP="00927753">
            <w:pPr>
              <w:spacing w:line="240" w:lineRule="auto"/>
              <w:jc w:val="center"/>
            </w:pPr>
            <w:r w:rsidRPr="00927753">
              <w:t>1.000</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D57C627" w14:textId="77777777" w:rsidR="00781D14" w:rsidRPr="00927753" w:rsidRDefault="00000000" w:rsidP="00927753">
            <w:pPr>
              <w:spacing w:line="240" w:lineRule="auto"/>
              <w:jc w:val="center"/>
            </w:pPr>
            <w:r w:rsidRPr="00927753">
              <w:t>0.993</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B59BE48" w14:textId="77777777" w:rsidR="00781D14" w:rsidRPr="00927753" w:rsidRDefault="00000000" w:rsidP="00927753">
            <w:pPr>
              <w:spacing w:line="240" w:lineRule="auto"/>
              <w:jc w:val="center"/>
            </w:pPr>
            <w:r w:rsidRPr="00927753">
              <w:t>0.998</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0CE58A27" w14:textId="77777777" w:rsidR="00781D14" w:rsidRPr="00927753" w:rsidRDefault="00000000" w:rsidP="00927753">
            <w:pPr>
              <w:spacing w:line="240" w:lineRule="auto"/>
              <w:jc w:val="center"/>
            </w:pPr>
            <w:r w:rsidRPr="00927753">
              <w:t>0.999</w:t>
            </w:r>
          </w:p>
        </w:tc>
        <w:tc>
          <w:tcPr>
            <w:tcW w:w="1112" w:type="dxa"/>
            <w:tcBorders>
              <w:top w:val="single" w:sz="4" w:space="0" w:color="808080"/>
              <w:left w:val="single" w:sz="4" w:space="0" w:color="808080"/>
              <w:bottom w:val="single" w:sz="4" w:space="0" w:color="808080"/>
              <w:right w:val="single" w:sz="4" w:space="0" w:color="808080"/>
            </w:tcBorders>
            <w:shd w:val="clear" w:color="auto" w:fill="auto"/>
            <w:tcMar>
              <w:top w:w="60" w:type="dxa"/>
              <w:left w:w="100" w:type="dxa"/>
              <w:bottom w:w="60" w:type="dxa"/>
              <w:right w:w="100" w:type="dxa"/>
            </w:tcMar>
            <w:vAlign w:val="center"/>
          </w:tcPr>
          <w:p w14:paraId="5CF1C445" w14:textId="77777777" w:rsidR="00781D14" w:rsidRPr="00927753" w:rsidRDefault="00000000" w:rsidP="00927753">
            <w:pPr>
              <w:spacing w:line="240" w:lineRule="auto"/>
              <w:jc w:val="center"/>
            </w:pPr>
            <w:r w:rsidRPr="00927753">
              <w:t>0.997</w:t>
            </w:r>
          </w:p>
        </w:tc>
      </w:tr>
    </w:tbl>
    <w:p w14:paraId="1AF49F68" w14:textId="77777777" w:rsidR="00781D14" w:rsidRPr="00927753" w:rsidRDefault="00000000" w:rsidP="00927753">
      <w:pPr>
        <w:spacing w:before="40" w:after="200" w:line="276" w:lineRule="auto"/>
      </w:pPr>
      <w:r w:rsidRPr="00927753">
        <w:rPr>
          <w:i/>
          <w:iCs/>
        </w:rPr>
        <w:t xml:space="preserve">Note: </w:t>
      </w:r>
      <w:r w:rsidRPr="00927753">
        <w:t xml:space="preserve">E1 = Core governance (CPI, WGI-GE, WGI-RL, V-Dem LD). E2 = Governance + democracy (E1 + V-Dem Polyarchy + Freedom House). E3 = Governance + development (E1 + </w:t>
      </w:r>
      <w:r w:rsidRPr="00927753">
        <w:lastRenderedPageBreak/>
        <w:t>HDI + IAHDI + SPI + WHR). E4 = Mixed broad (10 indices spanning governance, democracy, development, peace, press freedom, economic freedom, mobility). E5 = 16 indices (full pool minus GSPI, GDI, PPHDI, QNI for data-availability reasons). Green = criterion satisfied; pink = criterion failed; — = criterion not computable. All quantities estimated using the factor-analyzer (Python) ML routine and semopy for SEM fit statistics; identical engines to those used in the population brute-force run.</w:t>
      </w:r>
    </w:p>
    <w:p w14:paraId="3594250F" w14:textId="77777777" w:rsidR="00781D14" w:rsidRDefault="00000000" w:rsidP="00927753">
      <w:pPr>
        <w:spacing w:after="120"/>
        <w:jc w:val="both"/>
      </w:pPr>
      <w:r>
        <w:t>Three patterns are apparent in Table A1.</w:t>
      </w:r>
    </w:p>
    <w:p w14:paraId="0F5E86D8" w14:textId="77777777" w:rsidR="00781D14" w:rsidRDefault="00000000" w:rsidP="00927753">
      <w:pPr>
        <w:spacing w:after="120"/>
        <w:jc w:val="both"/>
      </w:pPr>
      <w:r>
        <w:t>First, every combination satisfies the substantive unidimensionality criteria. Eigenvalue separation λ₁/λ₂ exceeds three in all five cases (range 6.8 to 10.1); PC1 explains between 72% and 88% of variance; sign coherence is universal; PC1-FA1 similarity exceeds 0.95 throughout. The conclusion from the population-level analysis (that the LGF is recovered with near-uniformity) is reproduced in each individual worked example.</w:t>
      </w:r>
    </w:p>
    <w:p w14:paraId="3867D081" w14:textId="77777777" w:rsidR="00781D14" w:rsidRDefault="00000000" w:rsidP="00927753">
      <w:pPr>
        <w:spacing w:after="120"/>
        <w:jc w:val="both"/>
      </w:pPr>
      <w:r>
        <w:t>Second, the same large-sample artefact governing the ML fit indices is reproduced. All five examples have pooled samples in the hundreds or thousands; all five fail the conventional RMSEA, CFI, and χ² thresholds, while passing every substantive unidimensionality and cohesion criterion. The pattern matches the demonstration in Section 5.4 of the main chapter: the fit-index failures are a function of sample size and model degrees of freedom, not of substantive model misfit.</w:t>
      </w:r>
    </w:p>
    <w:p w14:paraId="01B6BC02" w14:textId="77777777" w:rsidR="00781D14" w:rsidRDefault="00000000" w:rsidP="00927753">
      <w:pPr>
        <w:spacing w:after="120"/>
        <w:jc w:val="both"/>
      </w:pPr>
      <w:r>
        <w:t>Third, the worked examples confirm the population-level finding that adding indices to the pool does not degrade the LGF. Moving from E1 (4 indices) to E5 (16 indices), the PC1 explained-variance ratio drifts down only modestly (from 0.88 to 0.76), the eigenvalue separation remains comfortably above the threshold (in every case above 6.8), and the mean communality stays above 0.68. The robustness of the LGF across pool-size is a feature, not a bug, of the brute-force framework: it shows that the result does not depend on whether one happens to pick a tight governance core or a broad pool of heterogeneous indicators.</w:t>
      </w:r>
    </w:p>
    <w:p w14:paraId="5A5755B8" w14:textId="77777777" w:rsidR="00781D14" w:rsidRDefault="00000000" w:rsidP="00927753">
      <w:r>
        <w:br w:type="page"/>
      </w:r>
    </w:p>
    <w:p w14:paraId="63804823" w14:textId="77777777" w:rsidR="00727EBA" w:rsidRDefault="00000000" w:rsidP="00727EBA">
      <w:pPr>
        <w:pStyle w:val="Heading2"/>
        <w:jc w:val="center"/>
      </w:pPr>
      <w:bookmarkStart w:id="4" w:name="_Toc229893908"/>
      <w:r>
        <w:lastRenderedPageBreak/>
        <w:t>Part B</w:t>
      </w:r>
      <w:bookmarkEnd w:id="4"/>
    </w:p>
    <w:p w14:paraId="4B5C64D2" w14:textId="77777777" w:rsidR="00781D14" w:rsidRPr="00727EBA" w:rsidRDefault="00000000">
      <w:pPr>
        <w:pStyle w:val="Heading2"/>
        <w:rPr>
          <w:sz w:val="24"/>
          <w:szCs w:val="24"/>
        </w:rPr>
      </w:pPr>
      <w:bookmarkStart w:id="5" w:name="_Toc229893909"/>
      <w:r>
        <w:rPr>
          <w:sz w:val="24"/>
          <w:szCs w:val="24"/>
        </w:rPr>
        <w:t>Empirical CDFs for the 25 quantitative criteria</w:t>
      </w:r>
      <w:bookmarkEnd w:id="5"/>
    </w:p>
    <w:p w14:paraId="32949AAA" w14:textId="77777777" w:rsidR="00781D14" w:rsidRDefault="00000000" w:rsidP="00927753">
      <w:pPr>
        <w:spacing w:after="120"/>
        <w:jc w:val="both"/>
      </w:pPr>
      <w:r>
        <w:t>This part of the appendix reproduces, criterion by criterion, the empirical cumulative distribution function (ECDF) of decision values across all 654,046 evaluated combinations of the 20-index pool. Each plot displays three lines where the criterion is evaluated at both pooled and yearly levels: the pooled (all-years) ECDF in blue; the per-combination mean of the yearly ECDFs in orange; and the all-years pooled ECDF (one observation per combination-year) in green. The vertical red dashed line marks the criterion's threshold; the green-shaded region marks the acceptance area.</w:t>
      </w:r>
    </w:p>
    <w:p w14:paraId="09FE4573" w14:textId="77777777" w:rsidR="00781D14" w:rsidRDefault="00000000" w:rsidP="00927753">
      <w:pPr>
        <w:spacing w:after="120"/>
        <w:jc w:val="both"/>
      </w:pPr>
      <w:r>
        <w:t>The reading is uniform across the plots. Where the curve sits well inside the acceptance region (to the right of the threshold for ≥-criteria, to the left for ≤-criteria), the criterion passes for the overwhelming majority of evaluated combinations. Where the curve sits outside the acceptance region, the criterion fails. The two sign-coherence criteria (one for PC1, one for FA1) are not displayed here because they are binary pass/fail rather than continuous-valued; both pass for 100% of evaluated combinations.</w:t>
      </w:r>
    </w:p>
    <w:p w14:paraId="7ABB1082" w14:textId="77777777" w:rsidR="00781D14" w:rsidRDefault="00000000" w:rsidP="00927753">
      <w:pPr>
        <w:spacing w:after="120"/>
        <w:jc w:val="both"/>
      </w:pPr>
      <w:r>
        <w:t>The 25 ECDFs are organised by category (data adequacy, cohesion, unidimensionality, temporal stability) and presented in the order used in the main chapter's Table 2.</w:t>
      </w:r>
    </w:p>
    <w:p w14:paraId="75755338" w14:textId="77777777" w:rsidR="00781D14" w:rsidRDefault="00000000">
      <w:pPr>
        <w:pStyle w:val="Heading3"/>
      </w:pPr>
      <w:bookmarkStart w:id="6" w:name="_Toc229893910"/>
      <w:r>
        <w:t>Category: Data adequacy</w:t>
      </w:r>
      <w:bookmarkEnd w:id="6"/>
    </w:p>
    <w:p w14:paraId="31067F42" w14:textId="77777777" w:rsidR="00781D14" w:rsidRPr="00927753" w:rsidRDefault="00000000">
      <w:pPr>
        <w:spacing w:before="80" w:after="80"/>
      </w:pPr>
      <w:r w:rsidRPr="00927753">
        <w:rPr>
          <w:b/>
          <w:bCs/>
        </w:rPr>
        <w:t>Figure A1.</w:t>
      </w:r>
      <w:r w:rsidRPr="00927753">
        <w:rPr>
          <w:b/>
          <w:bCs/>
          <w:i/>
          <w:iCs/>
        </w:rPr>
        <w:t xml:space="preserve"> </w:t>
      </w:r>
      <w:r w:rsidRPr="00927753">
        <w:t>Sample size n ≥ 100.</w:t>
      </w:r>
    </w:p>
    <w:p w14:paraId="614CE0D0" w14:textId="77777777" w:rsidR="00781D14" w:rsidRDefault="00000000">
      <w:pPr>
        <w:spacing w:before="100" w:after="100"/>
        <w:jc w:val="center"/>
      </w:pPr>
      <w:r>
        <w:rPr>
          <w:noProof/>
        </w:rPr>
        <w:lastRenderedPageBreak/>
        <w:drawing>
          <wp:inline distT="0" distB="0" distL="0" distR="0" wp14:anchorId="4780B116" wp14:editId="1F443EAF">
            <wp:extent cx="6163320" cy="2670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06957" cy="2689681"/>
                    </a:xfrm>
                    <a:prstGeom prst="rect">
                      <a:avLst/>
                    </a:prstGeom>
                  </pic:spPr>
                </pic:pic>
              </a:graphicData>
            </a:graphic>
          </wp:inline>
        </w:drawing>
      </w:r>
    </w:p>
    <w:p w14:paraId="5D598399" w14:textId="77777777" w:rsidR="00781D14" w:rsidRPr="00927753" w:rsidRDefault="00000000">
      <w:pPr>
        <w:spacing w:before="40" w:after="200"/>
      </w:pPr>
      <w:r w:rsidRPr="00927753">
        <w:rPr>
          <w:i/>
          <w:iCs/>
        </w:rPr>
        <w:t xml:space="preserve">Reading: </w:t>
      </w:r>
      <w:r w:rsidRPr="00927753">
        <w:t>Sample size of each evaluated combination. The criterion is universally satisfied on the pooled data.</w:t>
      </w:r>
    </w:p>
    <w:p w14:paraId="4E1A5DF9" w14:textId="77777777" w:rsidR="00727EBA" w:rsidRDefault="00727EBA">
      <w:pPr>
        <w:spacing w:before="80" w:after="80"/>
        <w:rPr>
          <w:b/>
          <w:bCs/>
          <w:i/>
          <w:iCs/>
          <w:sz w:val="22"/>
          <w:szCs w:val="22"/>
        </w:rPr>
      </w:pPr>
    </w:p>
    <w:p w14:paraId="6493E7AE" w14:textId="77777777" w:rsidR="00781D14" w:rsidRPr="00927753" w:rsidRDefault="00000000">
      <w:pPr>
        <w:spacing w:before="80" w:after="80"/>
      </w:pPr>
      <w:r w:rsidRPr="00927753">
        <w:rPr>
          <w:b/>
          <w:bCs/>
        </w:rPr>
        <w:t>Figure A2.</w:t>
      </w:r>
      <w:r w:rsidRPr="00927753">
        <w:rPr>
          <w:b/>
          <w:bCs/>
          <w:i/>
          <w:iCs/>
        </w:rPr>
        <w:t xml:space="preserve"> </w:t>
      </w:r>
      <w:r w:rsidRPr="00927753">
        <w:t>Max |z| ≤ 4.00.</w:t>
      </w:r>
    </w:p>
    <w:p w14:paraId="192BF054" w14:textId="77777777" w:rsidR="00781D14" w:rsidRDefault="00000000">
      <w:pPr>
        <w:spacing w:before="100" w:after="100"/>
        <w:jc w:val="center"/>
      </w:pPr>
      <w:r>
        <w:rPr>
          <w:noProof/>
        </w:rPr>
        <w:drawing>
          <wp:inline distT="0" distB="0" distL="0" distR="0" wp14:anchorId="09CD57BD" wp14:editId="730EEB95">
            <wp:extent cx="6184212" cy="26798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94944" cy="2684476"/>
                    </a:xfrm>
                    <a:prstGeom prst="rect">
                      <a:avLst/>
                    </a:prstGeom>
                  </pic:spPr>
                </pic:pic>
              </a:graphicData>
            </a:graphic>
          </wp:inline>
        </w:drawing>
      </w:r>
    </w:p>
    <w:p w14:paraId="45AF927E" w14:textId="1825723A" w:rsidR="00781D14" w:rsidRDefault="00000000" w:rsidP="00927753">
      <w:pPr>
        <w:spacing w:before="40" w:after="200" w:line="276" w:lineRule="auto"/>
      </w:pPr>
      <w:r w:rsidRPr="00927753">
        <w:rPr>
          <w:i/>
          <w:iCs/>
        </w:rPr>
        <w:t xml:space="preserve">Reading: </w:t>
      </w:r>
      <w:r w:rsidRPr="00927753">
        <w:t>Distribution of the maximum absolute standardised value per combination. About 60% pass; combinations with extreme country-year outliers fail.</w:t>
      </w:r>
    </w:p>
    <w:p w14:paraId="6F9BECD1" w14:textId="77777777" w:rsidR="00927753" w:rsidRPr="00927753" w:rsidRDefault="00927753" w:rsidP="00927753">
      <w:pPr>
        <w:spacing w:before="40" w:after="200" w:line="276" w:lineRule="auto"/>
      </w:pPr>
    </w:p>
    <w:p w14:paraId="7B93CCA7" w14:textId="77777777" w:rsidR="00781D14" w:rsidRPr="00927753" w:rsidRDefault="00000000">
      <w:pPr>
        <w:spacing w:before="80" w:after="80"/>
      </w:pPr>
      <w:r w:rsidRPr="00927753">
        <w:rPr>
          <w:b/>
          <w:bCs/>
        </w:rPr>
        <w:lastRenderedPageBreak/>
        <w:t xml:space="preserve">Figure A3. </w:t>
      </w:r>
      <w:r w:rsidRPr="00927753">
        <w:t>Observations-to-variables ratio n/p ≥ 10.</w:t>
      </w:r>
    </w:p>
    <w:p w14:paraId="701F1D8C" w14:textId="77777777" w:rsidR="00781D14" w:rsidRDefault="00000000">
      <w:pPr>
        <w:spacing w:before="100" w:after="100"/>
        <w:jc w:val="center"/>
      </w:pPr>
      <w:r>
        <w:rPr>
          <w:noProof/>
        </w:rPr>
        <w:drawing>
          <wp:inline distT="0" distB="0" distL="0" distR="0" wp14:anchorId="436E779B" wp14:editId="3A9619EC">
            <wp:extent cx="6455818" cy="2797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477185" cy="2806780"/>
                    </a:xfrm>
                    <a:prstGeom prst="rect">
                      <a:avLst/>
                    </a:prstGeom>
                  </pic:spPr>
                </pic:pic>
              </a:graphicData>
            </a:graphic>
          </wp:inline>
        </w:drawing>
      </w:r>
    </w:p>
    <w:p w14:paraId="74BD7FDD" w14:textId="77777777" w:rsidR="00781D14" w:rsidRPr="00927753" w:rsidRDefault="00000000">
      <w:pPr>
        <w:spacing w:before="40" w:after="200"/>
      </w:pPr>
      <w:r w:rsidRPr="00927753">
        <w:rPr>
          <w:i/>
          <w:iCs/>
        </w:rPr>
        <w:t xml:space="preserve">Reading: </w:t>
      </w:r>
      <w:r w:rsidRPr="00927753">
        <w:t>Sample-size-to-indicator-count ratio. Universally satisfied on the pooled data, comfortably above the conventional 10:1 threshold.</w:t>
      </w:r>
    </w:p>
    <w:p w14:paraId="24DF32CE" w14:textId="77777777" w:rsidR="00781D14" w:rsidRPr="00927753" w:rsidRDefault="00000000">
      <w:pPr>
        <w:spacing w:before="80" w:after="80"/>
      </w:pPr>
      <w:r w:rsidRPr="00927753">
        <w:rPr>
          <w:b/>
          <w:bCs/>
        </w:rPr>
        <w:t xml:space="preserve">Figure A4. </w:t>
      </w:r>
      <w:r w:rsidRPr="00927753">
        <w:t>det(R) &gt; 0.00001.</w:t>
      </w:r>
    </w:p>
    <w:p w14:paraId="21ACC382" w14:textId="77777777" w:rsidR="00781D14" w:rsidRDefault="00000000">
      <w:pPr>
        <w:spacing w:before="100" w:after="100"/>
        <w:jc w:val="center"/>
      </w:pPr>
      <w:r>
        <w:rPr>
          <w:noProof/>
        </w:rPr>
        <w:drawing>
          <wp:inline distT="0" distB="0" distL="0" distR="0" wp14:anchorId="17B6F945" wp14:editId="5FA6A981">
            <wp:extent cx="6497603" cy="2815628"/>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543604" cy="2835562"/>
                    </a:xfrm>
                    <a:prstGeom prst="rect">
                      <a:avLst/>
                    </a:prstGeom>
                  </pic:spPr>
                </pic:pic>
              </a:graphicData>
            </a:graphic>
          </wp:inline>
        </w:drawing>
      </w:r>
    </w:p>
    <w:p w14:paraId="7BD50E51" w14:textId="77777777" w:rsidR="00781D14" w:rsidRPr="00E91C48" w:rsidRDefault="00000000" w:rsidP="00E91C48">
      <w:pPr>
        <w:spacing w:before="40" w:after="200" w:line="276" w:lineRule="auto"/>
      </w:pPr>
      <w:r w:rsidRPr="00E91C48">
        <w:rPr>
          <w:i/>
          <w:iCs/>
        </w:rPr>
        <w:t xml:space="preserve">Reading: </w:t>
      </w:r>
      <w:r w:rsidRPr="00E91C48">
        <w:t>Determinant of the correlation matrix. About a third of combinations pass; the rest exhibit multicollinearity that pushes the determinant toward zero.</w:t>
      </w:r>
    </w:p>
    <w:p w14:paraId="37932D31" w14:textId="77777777" w:rsidR="00781D14" w:rsidRPr="00E91C48" w:rsidRDefault="00000000">
      <w:pPr>
        <w:spacing w:before="80" w:after="80"/>
      </w:pPr>
      <w:r w:rsidRPr="00E91C48">
        <w:rPr>
          <w:b/>
          <w:bCs/>
        </w:rPr>
        <w:lastRenderedPageBreak/>
        <w:t xml:space="preserve">Figure A5. </w:t>
      </w:r>
      <w:r w:rsidRPr="00E91C48">
        <w:t>KMO ≥ 0.70</w:t>
      </w:r>
    </w:p>
    <w:p w14:paraId="24397CB5" w14:textId="77777777" w:rsidR="00781D14" w:rsidRDefault="00000000">
      <w:pPr>
        <w:spacing w:before="100" w:after="100"/>
        <w:jc w:val="center"/>
      </w:pPr>
      <w:r>
        <w:rPr>
          <w:noProof/>
        </w:rPr>
        <w:drawing>
          <wp:inline distT="0" distB="0" distL="0" distR="0" wp14:anchorId="58D410AB" wp14:editId="307B408C">
            <wp:extent cx="6372247" cy="276130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400139" cy="2773393"/>
                    </a:xfrm>
                    <a:prstGeom prst="rect">
                      <a:avLst/>
                    </a:prstGeom>
                  </pic:spPr>
                </pic:pic>
              </a:graphicData>
            </a:graphic>
          </wp:inline>
        </w:drawing>
      </w:r>
    </w:p>
    <w:p w14:paraId="4C71DF4E" w14:textId="77777777" w:rsidR="00781D14" w:rsidRPr="00E91C48" w:rsidRDefault="00000000" w:rsidP="00E91C48">
      <w:pPr>
        <w:spacing w:before="40" w:after="200" w:line="276" w:lineRule="auto"/>
      </w:pPr>
      <w:r w:rsidRPr="00E91C48">
        <w:rPr>
          <w:i/>
          <w:iCs/>
        </w:rPr>
        <w:t xml:space="preserve">Reading: </w:t>
      </w:r>
      <w:r w:rsidRPr="00E91C48">
        <w:t>Kaiser-Meyer-Olkin measure of sampling adequacy. The distribution is concentrated around a mean of 0.87, well above the conventional 0.70 threshold.</w:t>
      </w:r>
    </w:p>
    <w:p w14:paraId="47908BFA" w14:textId="6E8835B6" w:rsidR="00781D14" w:rsidRPr="00E91C48" w:rsidRDefault="00E91C48">
      <w:pPr>
        <w:spacing w:before="80" w:after="80"/>
      </w:pPr>
      <w:r>
        <w:rPr>
          <w:b/>
          <w:bCs/>
        </w:rPr>
        <w:br/>
      </w:r>
      <w:r w:rsidR="00000000" w:rsidRPr="00E91C48">
        <w:rPr>
          <w:b/>
          <w:bCs/>
        </w:rPr>
        <w:t xml:space="preserve">Figure </w:t>
      </w:r>
      <w:proofErr w:type="spellStart"/>
      <w:r w:rsidR="00000000" w:rsidRPr="00E91C48">
        <w:rPr>
          <w:b/>
          <w:bCs/>
        </w:rPr>
        <w:t>A6</w:t>
      </w:r>
      <w:proofErr w:type="spellEnd"/>
      <w:r w:rsidR="00000000" w:rsidRPr="00E91C48">
        <w:rPr>
          <w:b/>
          <w:bCs/>
        </w:rPr>
        <w:t xml:space="preserve">. </w:t>
      </w:r>
      <w:r w:rsidR="00000000" w:rsidRPr="00E91C48">
        <w:t>Bartlett test (p &lt; 0.05)</w:t>
      </w:r>
    </w:p>
    <w:p w14:paraId="0F56CB18" w14:textId="77777777" w:rsidR="00781D14" w:rsidRDefault="00000000">
      <w:pPr>
        <w:spacing w:before="100" w:after="100"/>
        <w:jc w:val="center"/>
      </w:pPr>
      <w:r>
        <w:rPr>
          <w:noProof/>
        </w:rPr>
        <w:drawing>
          <wp:inline distT="0" distB="0" distL="0" distR="0" wp14:anchorId="6DB4258D" wp14:editId="3E34D5C6">
            <wp:extent cx="6225999" cy="26979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6266870" cy="2715644"/>
                    </a:xfrm>
                    <a:prstGeom prst="rect">
                      <a:avLst/>
                    </a:prstGeom>
                  </pic:spPr>
                </pic:pic>
              </a:graphicData>
            </a:graphic>
          </wp:inline>
        </w:drawing>
      </w:r>
    </w:p>
    <w:p w14:paraId="0FB9FFF5" w14:textId="77777777" w:rsidR="00781D14" w:rsidRPr="00E91C48" w:rsidRDefault="00000000" w:rsidP="00E91C48">
      <w:pPr>
        <w:spacing w:before="40" w:after="200" w:line="276" w:lineRule="auto"/>
      </w:pPr>
      <w:r w:rsidRPr="00E91C48">
        <w:rPr>
          <w:i/>
          <w:iCs/>
        </w:rPr>
        <w:t xml:space="preserve">Reading: </w:t>
      </w:r>
      <w:r w:rsidRPr="00E91C48">
        <w:t>Bartlett test of sphericity. Universally satisfied: every correlation matrix in the pool is distinguishable from an identity matrix.</w:t>
      </w:r>
    </w:p>
    <w:p w14:paraId="40373588" w14:textId="77777777" w:rsidR="00781D14" w:rsidRDefault="00000000">
      <w:pPr>
        <w:pStyle w:val="Heading3"/>
      </w:pPr>
      <w:bookmarkStart w:id="7" w:name="_Toc229893911"/>
      <w:r>
        <w:lastRenderedPageBreak/>
        <w:t>Category: Cohesion</w:t>
      </w:r>
      <w:bookmarkEnd w:id="7"/>
    </w:p>
    <w:p w14:paraId="210D853D" w14:textId="77777777" w:rsidR="00781D14" w:rsidRPr="00E91C48" w:rsidRDefault="00000000">
      <w:pPr>
        <w:spacing w:before="80" w:after="80"/>
        <w:rPr>
          <w:sz w:val="28"/>
          <w:szCs w:val="28"/>
        </w:rPr>
      </w:pPr>
      <w:r w:rsidRPr="00E91C48">
        <w:rPr>
          <w:b/>
          <w:bCs/>
          <w:i/>
          <w:iCs/>
        </w:rPr>
        <w:t xml:space="preserve">Figure A7. </w:t>
      </w:r>
      <w:r w:rsidRPr="00E91C48">
        <w:t>Min |r| ≥ 0.35.</w:t>
      </w:r>
    </w:p>
    <w:p w14:paraId="1EBD3F0B" w14:textId="77777777" w:rsidR="00781D14" w:rsidRDefault="00000000">
      <w:pPr>
        <w:spacing w:before="100" w:after="100"/>
        <w:jc w:val="center"/>
      </w:pPr>
      <w:r>
        <w:rPr>
          <w:noProof/>
        </w:rPr>
        <w:drawing>
          <wp:inline distT="0" distB="0" distL="0" distR="0" wp14:anchorId="43EBF431" wp14:editId="74B272D1">
            <wp:extent cx="6246891" cy="270698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6272166" cy="2717938"/>
                    </a:xfrm>
                    <a:prstGeom prst="rect">
                      <a:avLst/>
                    </a:prstGeom>
                  </pic:spPr>
                </pic:pic>
              </a:graphicData>
            </a:graphic>
          </wp:inline>
        </w:drawing>
      </w:r>
    </w:p>
    <w:p w14:paraId="5D284037" w14:textId="77777777" w:rsidR="00781D14" w:rsidRPr="00E91C48" w:rsidRDefault="00000000" w:rsidP="00E91C48">
      <w:pPr>
        <w:spacing w:before="40" w:after="200" w:line="276" w:lineRule="auto"/>
      </w:pPr>
      <w:r w:rsidRPr="00E91C48">
        <w:rPr>
          <w:i/>
          <w:iCs/>
        </w:rPr>
        <w:t xml:space="preserve">Reading: </w:t>
      </w:r>
      <w:r w:rsidRPr="00E91C48">
        <w:t>Minimum absolute pairwise correlation within each combination. Roughly half of combinations pass; failures occur when one index pair correlates only modestly</w:t>
      </w:r>
      <w:r w:rsidRPr="00E91C48">
        <w:rPr>
          <w:i/>
          <w:iCs/>
        </w:rPr>
        <w:t>.</w:t>
      </w:r>
    </w:p>
    <w:p w14:paraId="6C347929" w14:textId="27B0AD48" w:rsidR="00781D14" w:rsidRPr="00E91C48" w:rsidRDefault="00E91C48">
      <w:pPr>
        <w:spacing w:before="80" w:after="80"/>
      </w:pPr>
      <w:r>
        <w:rPr>
          <w:b/>
          <w:bCs/>
          <w:i/>
          <w:iCs/>
        </w:rPr>
        <w:br/>
      </w:r>
      <w:r w:rsidR="00000000" w:rsidRPr="00E91C48">
        <w:rPr>
          <w:b/>
          <w:bCs/>
          <w:i/>
          <w:iCs/>
        </w:rPr>
        <w:t xml:space="preserve">Figure </w:t>
      </w:r>
      <w:proofErr w:type="spellStart"/>
      <w:r w:rsidR="00000000" w:rsidRPr="00E91C48">
        <w:rPr>
          <w:b/>
          <w:bCs/>
          <w:i/>
          <w:iCs/>
        </w:rPr>
        <w:t>A8</w:t>
      </w:r>
      <w:proofErr w:type="spellEnd"/>
      <w:r w:rsidR="00000000" w:rsidRPr="00E91C48">
        <w:rPr>
          <w:b/>
          <w:bCs/>
          <w:i/>
          <w:iCs/>
        </w:rPr>
        <w:t xml:space="preserve">. </w:t>
      </w:r>
      <w:r w:rsidR="00000000" w:rsidRPr="00E91C48">
        <w:rPr>
          <w:i/>
          <w:iCs/>
        </w:rPr>
        <w:t>Mean |r| ≥ 0.55</w:t>
      </w:r>
    </w:p>
    <w:p w14:paraId="34190B69" w14:textId="77777777" w:rsidR="00781D14" w:rsidRDefault="00000000">
      <w:pPr>
        <w:spacing w:before="100" w:after="100"/>
        <w:jc w:val="center"/>
      </w:pPr>
      <w:r>
        <w:rPr>
          <w:noProof/>
        </w:rPr>
        <w:drawing>
          <wp:inline distT="0" distB="0" distL="0" distR="0" wp14:anchorId="0178C52A" wp14:editId="0ECB388E">
            <wp:extent cx="5649363" cy="2448057"/>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677824" cy="2460390"/>
                    </a:xfrm>
                    <a:prstGeom prst="rect">
                      <a:avLst/>
                    </a:prstGeom>
                  </pic:spPr>
                </pic:pic>
              </a:graphicData>
            </a:graphic>
          </wp:inline>
        </w:drawing>
      </w:r>
    </w:p>
    <w:p w14:paraId="3FD79C2D" w14:textId="1BC9652B" w:rsidR="00781D14" w:rsidRDefault="00000000" w:rsidP="00E91C48">
      <w:pPr>
        <w:spacing w:before="40" w:after="200" w:line="276" w:lineRule="auto"/>
      </w:pPr>
      <w:r w:rsidRPr="00E91C48">
        <w:rPr>
          <w:i/>
          <w:iCs/>
        </w:rPr>
        <w:t xml:space="preserve">Reading: </w:t>
      </w:r>
      <w:r w:rsidRPr="00E91C48">
        <w:t>Mean absolute pairwise correlation. The distribution is concentrated around 0.68, well above the conventional 0.55 threshold.</w:t>
      </w:r>
    </w:p>
    <w:p w14:paraId="183AE60F" w14:textId="77777777" w:rsidR="00E91C48" w:rsidRPr="00E91C48" w:rsidRDefault="00E91C48" w:rsidP="00E91C48">
      <w:pPr>
        <w:spacing w:before="40" w:after="200" w:line="276" w:lineRule="auto"/>
      </w:pPr>
    </w:p>
    <w:p w14:paraId="4D8F4CCE" w14:textId="77777777" w:rsidR="00781D14" w:rsidRDefault="00000000">
      <w:pPr>
        <w:pStyle w:val="Heading3"/>
      </w:pPr>
      <w:bookmarkStart w:id="8" w:name="_Toc229893912"/>
      <w:r>
        <w:t>Category: Unidimensionality</w:t>
      </w:r>
      <w:bookmarkEnd w:id="8"/>
    </w:p>
    <w:p w14:paraId="0D82483E" w14:textId="77777777" w:rsidR="00781D14" w:rsidRPr="00E91C48" w:rsidRDefault="00000000">
      <w:pPr>
        <w:spacing w:before="80" w:after="80"/>
      </w:pPr>
      <w:r w:rsidRPr="00E91C48">
        <w:rPr>
          <w:b/>
          <w:bCs/>
          <w:i/>
          <w:iCs/>
        </w:rPr>
        <w:t xml:space="preserve">Figure A9. </w:t>
      </w:r>
      <w:r w:rsidRPr="00E91C48">
        <w:t>Kaiser criterion (λ₂ &lt; 1)</w:t>
      </w:r>
    </w:p>
    <w:p w14:paraId="5A1A17FC" w14:textId="77777777" w:rsidR="00781D14" w:rsidRDefault="00000000">
      <w:pPr>
        <w:spacing w:before="100" w:after="100"/>
        <w:jc w:val="center"/>
      </w:pPr>
      <w:r>
        <w:rPr>
          <w:noProof/>
        </w:rPr>
        <w:drawing>
          <wp:inline distT="0" distB="0" distL="0" distR="0" wp14:anchorId="0D15A759" wp14:editId="11DB0B6B">
            <wp:extent cx="6414032" cy="277941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6427978" cy="2785457"/>
                    </a:xfrm>
                    <a:prstGeom prst="rect">
                      <a:avLst/>
                    </a:prstGeom>
                  </pic:spPr>
                </pic:pic>
              </a:graphicData>
            </a:graphic>
          </wp:inline>
        </w:drawing>
      </w:r>
    </w:p>
    <w:p w14:paraId="361717DB" w14:textId="77777777" w:rsidR="00781D14" w:rsidRPr="00E91C48" w:rsidRDefault="00000000" w:rsidP="00E91C48">
      <w:pPr>
        <w:spacing w:before="40" w:after="200" w:line="276" w:lineRule="auto"/>
      </w:pPr>
      <w:r w:rsidRPr="00E91C48">
        <w:rPr>
          <w:i/>
          <w:iCs/>
        </w:rPr>
        <w:t xml:space="preserve">Reading: </w:t>
      </w:r>
      <w:r w:rsidRPr="00E91C48">
        <w:t>Second eigenvalue of the correlation matrix. Passes for about half of combinations; many have a non-trivial second factor in addition to the dominant first.</w:t>
      </w:r>
    </w:p>
    <w:p w14:paraId="2EFB0952" w14:textId="77777777" w:rsidR="00781D14" w:rsidRPr="00E91C48" w:rsidRDefault="00000000">
      <w:pPr>
        <w:spacing w:before="80" w:after="80"/>
      </w:pPr>
      <w:r w:rsidRPr="00E91C48">
        <w:rPr>
          <w:b/>
          <w:bCs/>
          <w:i/>
          <w:iCs/>
        </w:rPr>
        <w:t xml:space="preserve">Figure </w:t>
      </w:r>
      <w:r w:rsidRPr="00E91C48">
        <w:rPr>
          <w:i/>
          <w:iCs/>
        </w:rPr>
        <w:t>A10. Eigenvalue separation λ₁/λ₂ ≥ 3</w:t>
      </w:r>
    </w:p>
    <w:p w14:paraId="6FA163AE" w14:textId="77777777" w:rsidR="00781D14" w:rsidRDefault="00000000">
      <w:pPr>
        <w:spacing w:before="100" w:after="100"/>
        <w:jc w:val="center"/>
      </w:pPr>
      <w:r>
        <w:rPr>
          <w:noProof/>
        </w:rPr>
        <w:drawing>
          <wp:inline distT="0" distB="0" distL="0" distR="0" wp14:anchorId="2B85F358" wp14:editId="67C5B2C8">
            <wp:extent cx="5578327" cy="2417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602068" cy="2427563"/>
                    </a:xfrm>
                    <a:prstGeom prst="rect">
                      <a:avLst/>
                    </a:prstGeom>
                  </pic:spPr>
                </pic:pic>
              </a:graphicData>
            </a:graphic>
          </wp:inline>
        </w:drawing>
      </w:r>
    </w:p>
    <w:p w14:paraId="1D7A02B3" w14:textId="77777777" w:rsidR="00781D14" w:rsidRPr="00E91C48" w:rsidRDefault="00000000" w:rsidP="00E91C48">
      <w:pPr>
        <w:spacing w:before="40" w:after="200" w:line="276" w:lineRule="auto"/>
      </w:pPr>
      <w:r w:rsidRPr="00E91C48">
        <w:rPr>
          <w:i/>
          <w:iCs/>
        </w:rPr>
        <w:t xml:space="preserve">Reading: </w:t>
      </w:r>
      <w:r w:rsidRPr="00E91C48">
        <w:t>Ratio of the first to the second eigenvalue. Universally passes, with mean ratio 7.0, indicating a clearly dominant first dimension.</w:t>
      </w:r>
    </w:p>
    <w:p w14:paraId="6CC6437F" w14:textId="77777777" w:rsidR="00781D14" w:rsidRPr="002547D0" w:rsidRDefault="00000000">
      <w:pPr>
        <w:spacing w:before="80" w:after="80"/>
        <w:rPr>
          <w:sz w:val="28"/>
          <w:szCs w:val="28"/>
        </w:rPr>
      </w:pPr>
      <w:r w:rsidRPr="002547D0">
        <w:rPr>
          <w:b/>
          <w:bCs/>
          <w:i/>
          <w:iCs/>
        </w:rPr>
        <w:lastRenderedPageBreak/>
        <w:t xml:space="preserve">Figure A11. </w:t>
      </w:r>
      <w:r w:rsidRPr="002547D0">
        <w:t>PC1 explained variance ≥ 0.60</w:t>
      </w:r>
    </w:p>
    <w:p w14:paraId="0D18615E" w14:textId="77777777" w:rsidR="00781D14" w:rsidRDefault="00000000">
      <w:pPr>
        <w:spacing w:before="100" w:after="100"/>
        <w:jc w:val="center"/>
      </w:pPr>
      <w:r>
        <w:rPr>
          <w:noProof/>
        </w:rPr>
        <w:drawing>
          <wp:inline distT="0" distB="0" distL="0" distR="0" wp14:anchorId="2BCDF65D" wp14:editId="6C84E3FE">
            <wp:extent cx="5808145" cy="25168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829097" cy="2525942"/>
                    </a:xfrm>
                    <a:prstGeom prst="rect">
                      <a:avLst/>
                    </a:prstGeom>
                  </pic:spPr>
                </pic:pic>
              </a:graphicData>
            </a:graphic>
          </wp:inline>
        </w:drawing>
      </w:r>
    </w:p>
    <w:p w14:paraId="7B5BFAEF" w14:textId="412B8694" w:rsidR="00781D14" w:rsidRPr="002547D0" w:rsidRDefault="00000000" w:rsidP="002547D0">
      <w:pPr>
        <w:spacing w:before="40" w:after="200" w:line="276" w:lineRule="auto"/>
        <w:rPr>
          <w:sz w:val="36"/>
          <w:szCs w:val="36"/>
        </w:rPr>
      </w:pPr>
      <w:r w:rsidRPr="002547D0">
        <w:rPr>
          <w:i/>
          <w:iCs/>
        </w:rPr>
        <w:t xml:space="preserve">Reading: </w:t>
      </w:r>
      <w:r w:rsidRPr="002547D0">
        <w:t>Proportion of total variance captured by the first principal component. The distribution is concentrated around 0.72, comfortably above the 0.60 threshold.</w:t>
      </w:r>
      <w:r w:rsidR="002547D0">
        <w:br/>
      </w:r>
    </w:p>
    <w:p w14:paraId="12B68DFA" w14:textId="77777777" w:rsidR="00781D14" w:rsidRPr="002547D0" w:rsidRDefault="00000000">
      <w:pPr>
        <w:spacing w:before="80" w:after="80"/>
      </w:pPr>
      <w:r w:rsidRPr="002547D0">
        <w:rPr>
          <w:b/>
          <w:bCs/>
          <w:i/>
          <w:iCs/>
        </w:rPr>
        <w:t xml:space="preserve">Figure A12. </w:t>
      </w:r>
      <w:r w:rsidRPr="002547D0">
        <w:t>Mean communality h² ≥ 0.45</w:t>
      </w:r>
    </w:p>
    <w:p w14:paraId="007159B6" w14:textId="77777777" w:rsidR="00781D14" w:rsidRDefault="00000000">
      <w:pPr>
        <w:spacing w:before="100" w:after="100"/>
        <w:jc w:val="center"/>
      </w:pPr>
      <w:r>
        <w:rPr>
          <w:noProof/>
        </w:rPr>
        <w:drawing>
          <wp:inline distT="0" distB="0" distL="0" distR="0" wp14:anchorId="6901AE34" wp14:editId="42CD95E0">
            <wp:extent cx="6058858" cy="2625505"/>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6065048" cy="2628187"/>
                    </a:xfrm>
                    <a:prstGeom prst="rect">
                      <a:avLst/>
                    </a:prstGeom>
                  </pic:spPr>
                </pic:pic>
              </a:graphicData>
            </a:graphic>
          </wp:inline>
        </w:drawing>
      </w:r>
    </w:p>
    <w:p w14:paraId="178B3CD6" w14:textId="63FB9068" w:rsidR="00781D14" w:rsidRDefault="00000000" w:rsidP="002547D0">
      <w:pPr>
        <w:spacing w:before="40" w:after="200" w:line="276" w:lineRule="auto"/>
      </w:pPr>
      <w:r w:rsidRPr="002547D0">
        <w:rPr>
          <w:i/>
          <w:iCs/>
        </w:rPr>
        <w:t xml:space="preserve">Reading: </w:t>
      </w:r>
      <w:r w:rsidRPr="002547D0">
        <w:t>Mean ML communality across indicators. The distribution is concentrated around 0.68, with universal pass.</w:t>
      </w:r>
    </w:p>
    <w:p w14:paraId="44DFE469" w14:textId="77777777" w:rsidR="002547D0" w:rsidRPr="002547D0" w:rsidRDefault="002547D0" w:rsidP="002547D0">
      <w:pPr>
        <w:spacing w:before="40" w:after="200" w:line="276" w:lineRule="auto"/>
      </w:pPr>
    </w:p>
    <w:p w14:paraId="53A9AD8B" w14:textId="77777777" w:rsidR="00781D14" w:rsidRPr="002547D0" w:rsidRDefault="00000000">
      <w:pPr>
        <w:spacing w:before="80" w:after="80"/>
      </w:pPr>
      <w:r w:rsidRPr="002547D0">
        <w:rPr>
          <w:b/>
          <w:bCs/>
          <w:i/>
          <w:iCs/>
        </w:rPr>
        <w:lastRenderedPageBreak/>
        <w:t xml:space="preserve">Figure A13. </w:t>
      </w:r>
      <w:r w:rsidRPr="002547D0">
        <w:rPr>
          <w:i/>
          <w:iCs/>
        </w:rPr>
        <w:t>Min communality h² ≥ 0.35</w:t>
      </w:r>
    </w:p>
    <w:p w14:paraId="2F737DA2" w14:textId="77777777" w:rsidR="00781D14" w:rsidRDefault="00000000">
      <w:pPr>
        <w:spacing w:before="100" w:after="100"/>
        <w:jc w:val="center"/>
      </w:pPr>
      <w:r>
        <w:rPr>
          <w:noProof/>
        </w:rPr>
        <w:drawing>
          <wp:inline distT="0" distB="0" distL="0" distR="0" wp14:anchorId="06434D07" wp14:editId="4F44D550">
            <wp:extent cx="5849931" cy="253497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862175" cy="2540276"/>
                    </a:xfrm>
                    <a:prstGeom prst="rect">
                      <a:avLst/>
                    </a:prstGeom>
                  </pic:spPr>
                </pic:pic>
              </a:graphicData>
            </a:graphic>
          </wp:inline>
        </w:drawing>
      </w:r>
    </w:p>
    <w:p w14:paraId="7CA7809F" w14:textId="1EB835E1" w:rsidR="00781D14" w:rsidRDefault="00000000" w:rsidP="002547D0">
      <w:pPr>
        <w:spacing w:before="40" w:after="200" w:line="276" w:lineRule="auto"/>
      </w:pPr>
      <w:r w:rsidRPr="002547D0">
        <w:rPr>
          <w:i/>
          <w:iCs/>
        </w:rPr>
        <w:t xml:space="preserve">Reading: </w:t>
      </w:r>
      <w:r w:rsidRPr="002547D0">
        <w:t>Minimum ML communality. Passes for about 57% of combinations; failures occur when one index contributes little to the common factor.</w:t>
      </w:r>
    </w:p>
    <w:p w14:paraId="1BF7CE16" w14:textId="77777777" w:rsidR="002547D0" w:rsidRPr="002547D0" w:rsidRDefault="002547D0" w:rsidP="002547D0">
      <w:pPr>
        <w:spacing w:before="40" w:after="200" w:line="276" w:lineRule="auto"/>
      </w:pPr>
    </w:p>
    <w:p w14:paraId="40FE4C9F" w14:textId="77777777" w:rsidR="00781D14" w:rsidRPr="002547D0" w:rsidRDefault="00000000">
      <w:pPr>
        <w:spacing w:before="80" w:after="80"/>
      </w:pPr>
      <w:r w:rsidRPr="002547D0">
        <w:rPr>
          <w:b/>
          <w:bCs/>
          <w:i/>
          <w:iCs/>
        </w:rPr>
        <w:t xml:space="preserve">Figure A14. </w:t>
      </w:r>
      <w:r w:rsidRPr="002547D0">
        <w:t>SRMR ≤ 0.08</w:t>
      </w:r>
    </w:p>
    <w:p w14:paraId="76CE4926" w14:textId="77777777" w:rsidR="00781D14" w:rsidRDefault="00000000">
      <w:pPr>
        <w:spacing w:before="100" w:after="100"/>
        <w:jc w:val="center"/>
      </w:pPr>
      <w:r>
        <w:rPr>
          <w:noProof/>
        </w:rPr>
        <w:drawing>
          <wp:inline distT="0" distB="0" distL="0" distR="0" wp14:anchorId="08A9E190" wp14:editId="52031F10">
            <wp:extent cx="6058858" cy="2625505"/>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6064529" cy="2627962"/>
                    </a:xfrm>
                    <a:prstGeom prst="rect">
                      <a:avLst/>
                    </a:prstGeom>
                  </pic:spPr>
                </pic:pic>
              </a:graphicData>
            </a:graphic>
          </wp:inline>
        </w:drawing>
      </w:r>
    </w:p>
    <w:p w14:paraId="62D92B64" w14:textId="77777777" w:rsidR="00781D14" w:rsidRPr="002547D0" w:rsidRDefault="00000000" w:rsidP="002547D0">
      <w:pPr>
        <w:spacing w:before="40" w:after="200" w:line="276" w:lineRule="auto"/>
      </w:pPr>
      <w:r w:rsidRPr="002547D0">
        <w:rPr>
          <w:i/>
          <w:iCs/>
        </w:rPr>
        <w:t xml:space="preserve">Reading: </w:t>
      </w:r>
      <w:r w:rsidRPr="002547D0">
        <w:t>Standardised root mean square residual. Passes for 22% of combinations; the rest exceed the threshold but typically by modest margins.</w:t>
      </w:r>
    </w:p>
    <w:p w14:paraId="04BF4519" w14:textId="77777777" w:rsidR="002547D0" w:rsidRDefault="002547D0">
      <w:pPr>
        <w:spacing w:before="80" w:after="80"/>
        <w:rPr>
          <w:b/>
          <w:bCs/>
          <w:i/>
          <w:iCs/>
          <w:sz w:val="22"/>
          <w:szCs w:val="22"/>
        </w:rPr>
      </w:pPr>
    </w:p>
    <w:p w14:paraId="40628D72" w14:textId="1A6871D8" w:rsidR="00781D14" w:rsidRPr="007C4173" w:rsidRDefault="00000000">
      <w:pPr>
        <w:spacing w:before="80" w:after="80"/>
      </w:pPr>
      <w:r w:rsidRPr="007C4173">
        <w:rPr>
          <w:b/>
          <w:bCs/>
          <w:i/>
          <w:iCs/>
        </w:rPr>
        <w:lastRenderedPageBreak/>
        <w:t xml:space="preserve">Figure </w:t>
      </w:r>
      <w:proofErr w:type="spellStart"/>
      <w:r w:rsidRPr="007C4173">
        <w:rPr>
          <w:b/>
          <w:bCs/>
          <w:i/>
          <w:iCs/>
        </w:rPr>
        <w:t>A15</w:t>
      </w:r>
      <w:proofErr w:type="spellEnd"/>
      <w:r w:rsidRPr="007C4173">
        <w:rPr>
          <w:b/>
          <w:bCs/>
          <w:i/>
          <w:iCs/>
        </w:rPr>
        <w:t xml:space="preserve">. </w:t>
      </w:r>
      <w:proofErr w:type="spellStart"/>
      <w:r w:rsidRPr="007C4173">
        <w:t>RMSEA</w:t>
      </w:r>
      <w:proofErr w:type="spellEnd"/>
      <w:r w:rsidRPr="007C4173">
        <w:t xml:space="preserve"> ≤ 0.06</w:t>
      </w:r>
    </w:p>
    <w:p w14:paraId="1FD91A65" w14:textId="77777777" w:rsidR="00781D14" w:rsidRDefault="00000000">
      <w:pPr>
        <w:spacing w:before="100" w:after="100"/>
        <w:jc w:val="center"/>
      </w:pPr>
      <w:r>
        <w:rPr>
          <w:noProof/>
        </w:rPr>
        <w:drawing>
          <wp:inline distT="0" distB="0" distL="0" distR="0" wp14:anchorId="27B28802" wp14:editId="071889ED">
            <wp:extent cx="5143500" cy="2228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5143500" cy="2228850"/>
                    </a:xfrm>
                    <a:prstGeom prst="rect">
                      <a:avLst/>
                    </a:prstGeom>
                  </pic:spPr>
                </pic:pic>
              </a:graphicData>
            </a:graphic>
          </wp:inline>
        </w:drawing>
      </w:r>
    </w:p>
    <w:p w14:paraId="66D64F35" w14:textId="77777777" w:rsidR="00781D14" w:rsidRPr="007C4173" w:rsidRDefault="00000000" w:rsidP="007C4173">
      <w:pPr>
        <w:spacing w:before="40" w:after="200" w:line="276" w:lineRule="auto"/>
      </w:pPr>
      <w:r w:rsidRPr="007C4173">
        <w:rPr>
          <w:i/>
          <w:iCs/>
        </w:rPr>
        <w:t xml:space="preserve">Reading: </w:t>
      </w:r>
      <w:r w:rsidRPr="007C4173">
        <w:t>Root mean square error of approximation. Fails in essentially all combinations on a literal reading; see Section 5.4 of the main chapter for the artefact diagnosis.</w:t>
      </w:r>
    </w:p>
    <w:p w14:paraId="51CEB839" w14:textId="77777777" w:rsidR="007C4173" w:rsidRDefault="007C4173">
      <w:pPr>
        <w:spacing w:before="80" w:after="80"/>
        <w:rPr>
          <w:b/>
          <w:bCs/>
          <w:i/>
          <w:iCs/>
          <w:sz w:val="22"/>
          <w:szCs w:val="22"/>
        </w:rPr>
      </w:pPr>
    </w:p>
    <w:p w14:paraId="46A99F23" w14:textId="33E420E5" w:rsidR="00781D14" w:rsidRPr="007C4173" w:rsidRDefault="00000000">
      <w:pPr>
        <w:spacing w:before="80" w:after="80"/>
      </w:pPr>
      <w:r>
        <w:rPr>
          <w:b/>
          <w:bCs/>
          <w:i/>
          <w:iCs/>
          <w:sz w:val="22"/>
          <w:szCs w:val="22"/>
        </w:rPr>
        <w:t xml:space="preserve">Figure </w:t>
      </w:r>
      <w:proofErr w:type="spellStart"/>
      <w:r>
        <w:rPr>
          <w:b/>
          <w:bCs/>
          <w:i/>
          <w:iCs/>
          <w:sz w:val="22"/>
          <w:szCs w:val="22"/>
        </w:rPr>
        <w:t>A16</w:t>
      </w:r>
      <w:proofErr w:type="spellEnd"/>
      <w:r>
        <w:rPr>
          <w:b/>
          <w:bCs/>
          <w:i/>
          <w:iCs/>
          <w:sz w:val="22"/>
          <w:szCs w:val="22"/>
        </w:rPr>
        <w:t xml:space="preserve">. </w:t>
      </w:r>
      <w:r w:rsidRPr="007C4173">
        <w:rPr>
          <w:sz w:val="22"/>
          <w:szCs w:val="22"/>
        </w:rPr>
        <w:t>CFI ≥ 0.95</w:t>
      </w:r>
    </w:p>
    <w:p w14:paraId="744AD75B" w14:textId="77777777" w:rsidR="00781D14" w:rsidRDefault="00000000">
      <w:pPr>
        <w:spacing w:before="100" w:after="100"/>
        <w:jc w:val="center"/>
      </w:pPr>
      <w:r>
        <w:rPr>
          <w:noProof/>
        </w:rPr>
        <w:drawing>
          <wp:inline distT="0" distB="0" distL="0" distR="0" wp14:anchorId="536FEA5D" wp14:editId="1A3CA6C8">
            <wp:extent cx="6288676" cy="2725093"/>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6299360" cy="2729723"/>
                    </a:xfrm>
                    <a:prstGeom prst="rect">
                      <a:avLst/>
                    </a:prstGeom>
                  </pic:spPr>
                </pic:pic>
              </a:graphicData>
            </a:graphic>
          </wp:inline>
        </w:drawing>
      </w:r>
    </w:p>
    <w:p w14:paraId="7634AF7F" w14:textId="23D70CA4" w:rsidR="00781D14" w:rsidRDefault="00000000" w:rsidP="007C4173">
      <w:pPr>
        <w:spacing w:before="40" w:after="200" w:line="276" w:lineRule="auto"/>
      </w:pPr>
      <w:r w:rsidRPr="007C4173">
        <w:rPr>
          <w:i/>
          <w:iCs/>
        </w:rPr>
        <w:t xml:space="preserve">Reading: </w:t>
      </w:r>
      <w:r w:rsidRPr="007C4173">
        <w:t>Comparative fit index. Fails in 99% of combinations on a literal reading; the failure is an artefact of the high baseline correlation in the pool.</w:t>
      </w:r>
    </w:p>
    <w:p w14:paraId="0C0CBC15" w14:textId="5F983690" w:rsidR="007C4173" w:rsidRDefault="007C4173" w:rsidP="007C4173">
      <w:pPr>
        <w:spacing w:before="40" w:after="200" w:line="276" w:lineRule="auto"/>
      </w:pPr>
    </w:p>
    <w:p w14:paraId="6D721058" w14:textId="77777777" w:rsidR="007C4173" w:rsidRPr="007C4173" w:rsidRDefault="007C4173" w:rsidP="007C4173">
      <w:pPr>
        <w:spacing w:before="40" w:after="200" w:line="276" w:lineRule="auto"/>
      </w:pPr>
    </w:p>
    <w:p w14:paraId="5E3D9BA3" w14:textId="77777777" w:rsidR="00781D14" w:rsidRPr="007C4173" w:rsidRDefault="00000000">
      <w:pPr>
        <w:spacing w:before="80" w:after="80"/>
      </w:pPr>
      <w:r w:rsidRPr="007C4173">
        <w:rPr>
          <w:b/>
          <w:bCs/>
          <w:i/>
          <w:iCs/>
        </w:rPr>
        <w:lastRenderedPageBreak/>
        <w:t>Figure A17</w:t>
      </w:r>
      <w:r w:rsidRPr="007C4173">
        <w:rPr>
          <w:i/>
          <w:iCs/>
        </w:rPr>
        <w:t>. χ² test (p &gt; 0.05)</w:t>
      </w:r>
    </w:p>
    <w:p w14:paraId="7C88A9D5" w14:textId="77777777" w:rsidR="00781D14" w:rsidRDefault="00000000">
      <w:pPr>
        <w:spacing w:before="100" w:after="100"/>
        <w:jc w:val="center"/>
      </w:pPr>
      <w:r>
        <w:rPr>
          <w:noProof/>
        </w:rPr>
        <w:drawing>
          <wp:inline distT="0" distB="0" distL="0" distR="0" wp14:anchorId="2A10DFDD" wp14:editId="3812F417">
            <wp:extent cx="6393141" cy="277036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6415610" cy="2780098"/>
                    </a:xfrm>
                    <a:prstGeom prst="rect">
                      <a:avLst/>
                    </a:prstGeom>
                  </pic:spPr>
                </pic:pic>
              </a:graphicData>
            </a:graphic>
          </wp:inline>
        </w:drawing>
      </w:r>
    </w:p>
    <w:p w14:paraId="21E8469E" w14:textId="4A2AEF38" w:rsidR="00781D14" w:rsidRDefault="00000000" w:rsidP="007C4173">
      <w:pPr>
        <w:spacing w:before="40" w:after="200" w:line="276" w:lineRule="auto"/>
      </w:pPr>
      <w:r w:rsidRPr="007C4173">
        <w:rPr>
          <w:i/>
          <w:iCs/>
        </w:rPr>
        <w:t xml:space="preserve">Reading: </w:t>
      </w:r>
      <w:r w:rsidRPr="007C4173">
        <w:t xml:space="preserve">Chi-square goodness-of-fit p-value. Universally fails on a literal reading; this is the canonical large-sample artefact of the </w:t>
      </w:r>
      <w:proofErr w:type="spellStart"/>
      <w:r w:rsidRPr="007C4173">
        <w:t>χ²</w:t>
      </w:r>
      <w:proofErr w:type="spellEnd"/>
      <w:r w:rsidRPr="007C4173">
        <w:t xml:space="preserve"> statistic.</w:t>
      </w:r>
    </w:p>
    <w:p w14:paraId="6C282184" w14:textId="77777777" w:rsidR="007C4173" w:rsidRPr="007C4173" w:rsidRDefault="007C4173" w:rsidP="007C4173">
      <w:pPr>
        <w:spacing w:before="40" w:after="200" w:line="276" w:lineRule="auto"/>
      </w:pPr>
    </w:p>
    <w:p w14:paraId="66E9E726" w14:textId="77777777" w:rsidR="00781D14" w:rsidRPr="007C4173" w:rsidRDefault="00000000">
      <w:pPr>
        <w:spacing w:before="80" w:after="80"/>
      </w:pPr>
      <w:r w:rsidRPr="007C4173">
        <w:rPr>
          <w:b/>
          <w:bCs/>
          <w:i/>
          <w:iCs/>
        </w:rPr>
        <w:t>Figure A18</w:t>
      </w:r>
      <w:r w:rsidRPr="007C4173">
        <w:rPr>
          <w:b/>
          <w:bCs/>
        </w:rPr>
        <w:t xml:space="preserve">. </w:t>
      </w:r>
      <w:r w:rsidRPr="007C4173">
        <w:t>Min |loading| (PC1) ≥ 0.25</w:t>
      </w:r>
    </w:p>
    <w:p w14:paraId="36558F25" w14:textId="77777777" w:rsidR="00781D14" w:rsidRDefault="00000000">
      <w:pPr>
        <w:spacing w:before="100" w:after="100"/>
        <w:jc w:val="center"/>
      </w:pPr>
      <w:r>
        <w:rPr>
          <w:noProof/>
        </w:rPr>
        <w:drawing>
          <wp:inline distT="0" distB="0" distL="0" distR="0" wp14:anchorId="2694390C" wp14:editId="4C4CA550">
            <wp:extent cx="6142426" cy="2661718"/>
            <wp:effectExtent l="0" t="0" r="444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6182215" cy="2678960"/>
                    </a:xfrm>
                    <a:prstGeom prst="rect">
                      <a:avLst/>
                    </a:prstGeom>
                  </pic:spPr>
                </pic:pic>
              </a:graphicData>
            </a:graphic>
          </wp:inline>
        </w:drawing>
      </w:r>
    </w:p>
    <w:p w14:paraId="0B615F54" w14:textId="77777777" w:rsidR="00781D14" w:rsidRPr="007C4173" w:rsidRDefault="00000000" w:rsidP="007C4173">
      <w:pPr>
        <w:spacing w:before="40" w:after="200" w:line="276" w:lineRule="auto"/>
      </w:pPr>
      <w:r w:rsidRPr="007C4173">
        <w:rPr>
          <w:i/>
          <w:iCs/>
        </w:rPr>
        <w:t xml:space="preserve">Reading: </w:t>
      </w:r>
      <w:r w:rsidRPr="007C4173">
        <w:t>Minimum absolute PC1 loading. Passes for 58% of combinations; failures occur when one index contributes little to the dominant direction.</w:t>
      </w:r>
    </w:p>
    <w:p w14:paraId="3192C7AC" w14:textId="77777777" w:rsidR="00781D14" w:rsidRPr="007C4173" w:rsidRDefault="00000000">
      <w:pPr>
        <w:spacing w:before="80" w:after="80"/>
      </w:pPr>
      <w:r w:rsidRPr="007C4173">
        <w:rPr>
          <w:b/>
          <w:bCs/>
          <w:i/>
          <w:iCs/>
        </w:rPr>
        <w:lastRenderedPageBreak/>
        <w:t xml:space="preserve">Figure A19. </w:t>
      </w:r>
      <w:r w:rsidRPr="007C4173">
        <w:t>Min |loading| (FA1) ≥ 0.40</w:t>
      </w:r>
    </w:p>
    <w:p w14:paraId="6702E720" w14:textId="77777777" w:rsidR="00781D14" w:rsidRDefault="00000000">
      <w:pPr>
        <w:spacing w:before="100" w:after="100"/>
        <w:jc w:val="center"/>
      </w:pPr>
      <w:r>
        <w:rPr>
          <w:noProof/>
        </w:rPr>
        <w:drawing>
          <wp:inline distT="0" distB="0" distL="0" distR="0" wp14:anchorId="56A6BD11" wp14:editId="55B01E26">
            <wp:extent cx="5143500" cy="2228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5143500" cy="2228850"/>
                    </a:xfrm>
                    <a:prstGeom prst="rect">
                      <a:avLst/>
                    </a:prstGeom>
                  </pic:spPr>
                </pic:pic>
              </a:graphicData>
            </a:graphic>
          </wp:inline>
        </w:drawing>
      </w:r>
    </w:p>
    <w:p w14:paraId="7569A810" w14:textId="571AD788" w:rsidR="00781D14" w:rsidRDefault="00000000" w:rsidP="00452541">
      <w:pPr>
        <w:spacing w:before="40" w:after="200" w:line="276" w:lineRule="auto"/>
      </w:pPr>
      <w:r w:rsidRPr="00452541">
        <w:rPr>
          <w:i/>
          <w:iCs/>
        </w:rPr>
        <w:t xml:space="preserve">Reading: </w:t>
      </w:r>
      <w:r w:rsidRPr="00452541">
        <w:t>Minimum absolute ML factor loading. Passes universally (99.8%) with mean minimum 0.595.</w:t>
      </w:r>
    </w:p>
    <w:p w14:paraId="3BCB5C64" w14:textId="77777777" w:rsidR="00452541" w:rsidRPr="00452541" w:rsidRDefault="00452541" w:rsidP="00452541">
      <w:pPr>
        <w:spacing w:before="40" w:after="200" w:line="276" w:lineRule="auto"/>
      </w:pPr>
    </w:p>
    <w:p w14:paraId="71616E29" w14:textId="77777777" w:rsidR="00781D14" w:rsidRPr="00452541" w:rsidRDefault="00000000">
      <w:pPr>
        <w:spacing w:before="80" w:after="80"/>
      </w:pPr>
      <w:r w:rsidRPr="00452541">
        <w:rPr>
          <w:b/>
          <w:bCs/>
          <w:i/>
          <w:iCs/>
        </w:rPr>
        <w:t xml:space="preserve">Figure A20. </w:t>
      </w:r>
      <w:r w:rsidRPr="00452541">
        <w:t>PC1 vs FA1 loading similarity ≥ 0.95</w:t>
      </w:r>
    </w:p>
    <w:p w14:paraId="41CC20F1" w14:textId="77777777" w:rsidR="00781D14" w:rsidRDefault="00000000">
      <w:pPr>
        <w:spacing w:before="100" w:after="100"/>
        <w:jc w:val="center"/>
      </w:pPr>
      <w:r>
        <w:rPr>
          <w:noProof/>
        </w:rPr>
        <w:drawing>
          <wp:inline distT="0" distB="0" distL="0" distR="0" wp14:anchorId="60818400" wp14:editId="644FC24C">
            <wp:extent cx="6664742" cy="2888055"/>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6672741" cy="2891521"/>
                    </a:xfrm>
                    <a:prstGeom prst="rect">
                      <a:avLst/>
                    </a:prstGeom>
                  </pic:spPr>
                </pic:pic>
              </a:graphicData>
            </a:graphic>
          </wp:inline>
        </w:drawing>
      </w:r>
    </w:p>
    <w:p w14:paraId="4F1895BE" w14:textId="1D304D40" w:rsidR="00781D14" w:rsidRDefault="00000000" w:rsidP="00452541">
      <w:pPr>
        <w:spacing w:before="40" w:after="200" w:line="276" w:lineRule="auto"/>
      </w:pPr>
      <w:r w:rsidRPr="00452541">
        <w:rPr>
          <w:i/>
          <w:iCs/>
        </w:rPr>
        <w:t xml:space="preserve">Reading: </w:t>
      </w:r>
      <w:r w:rsidRPr="00452541">
        <w:t>Absolute cosine similarity between PCA and FA loading vectors. Effectively perfect agreement: both methods recover the same dominant direction.</w:t>
      </w:r>
    </w:p>
    <w:p w14:paraId="611040A7" w14:textId="77777777" w:rsidR="00452541" w:rsidRPr="00452541" w:rsidRDefault="00452541" w:rsidP="00452541">
      <w:pPr>
        <w:spacing w:before="40" w:after="200" w:line="276" w:lineRule="auto"/>
      </w:pPr>
    </w:p>
    <w:p w14:paraId="7D356BD7" w14:textId="62DDB7D2" w:rsidR="00781D14" w:rsidRDefault="00000000">
      <w:pPr>
        <w:pStyle w:val="Heading3"/>
      </w:pPr>
      <w:bookmarkStart w:id="9" w:name="_Toc229893913"/>
      <w:r>
        <w:lastRenderedPageBreak/>
        <w:t>Category: Temporal stability</w:t>
      </w:r>
      <w:bookmarkEnd w:id="9"/>
    </w:p>
    <w:p w14:paraId="057724CC" w14:textId="77777777" w:rsidR="00781D14" w:rsidRPr="00452541" w:rsidRDefault="00000000">
      <w:pPr>
        <w:spacing w:before="80" w:after="80"/>
      </w:pPr>
      <w:r>
        <w:rPr>
          <w:b/>
          <w:bCs/>
          <w:i/>
          <w:iCs/>
          <w:sz w:val="22"/>
          <w:szCs w:val="22"/>
        </w:rPr>
        <w:t xml:space="preserve">Figure A21. </w:t>
      </w:r>
      <w:r w:rsidRPr="00452541">
        <w:rPr>
          <w:sz w:val="22"/>
          <w:szCs w:val="22"/>
        </w:rPr>
        <w:t>Global similarity (PC1) ≥ 0.99</w:t>
      </w:r>
    </w:p>
    <w:p w14:paraId="46CB6C2B" w14:textId="77777777" w:rsidR="00781D14" w:rsidRDefault="00000000">
      <w:pPr>
        <w:spacing w:before="100" w:after="100"/>
        <w:jc w:val="center"/>
      </w:pPr>
      <w:r>
        <w:rPr>
          <w:noProof/>
        </w:rPr>
        <w:drawing>
          <wp:inline distT="0" distB="0" distL="0" distR="0" wp14:anchorId="38DBEFA3" wp14:editId="45E0CB4B">
            <wp:extent cx="6539386" cy="2833734"/>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6563938" cy="2844373"/>
                    </a:xfrm>
                    <a:prstGeom prst="rect">
                      <a:avLst/>
                    </a:prstGeom>
                  </pic:spPr>
                </pic:pic>
              </a:graphicData>
            </a:graphic>
          </wp:inline>
        </w:drawing>
      </w:r>
    </w:p>
    <w:p w14:paraId="05018118" w14:textId="77777777" w:rsidR="00781D14" w:rsidRPr="00452541" w:rsidRDefault="00000000" w:rsidP="00452541">
      <w:pPr>
        <w:spacing w:before="40" w:after="200" w:line="276" w:lineRule="auto"/>
      </w:pPr>
      <w:r w:rsidRPr="00452541">
        <w:rPr>
          <w:i/>
          <w:iCs/>
        </w:rPr>
        <w:t xml:space="preserve">Reading: </w:t>
      </w:r>
      <w:r w:rsidRPr="00452541">
        <w:t>Minimum cosine similarity between any yearly PC1 loading vector and the pooled reference. Universally satisfied; the distribution is a near-step function at 1.0.</w:t>
      </w:r>
    </w:p>
    <w:p w14:paraId="25C23689" w14:textId="5BE3C945" w:rsidR="00781D14" w:rsidRPr="00452541" w:rsidRDefault="00000000">
      <w:pPr>
        <w:spacing w:before="80" w:after="80"/>
      </w:pPr>
      <w:r w:rsidRPr="00452541">
        <w:rPr>
          <w:b/>
          <w:bCs/>
          <w:i/>
          <w:iCs/>
        </w:rPr>
        <w:t xml:space="preserve">Figure </w:t>
      </w:r>
      <w:proofErr w:type="spellStart"/>
      <w:r w:rsidRPr="00452541">
        <w:rPr>
          <w:b/>
          <w:bCs/>
          <w:i/>
          <w:iCs/>
        </w:rPr>
        <w:t>A22</w:t>
      </w:r>
      <w:proofErr w:type="spellEnd"/>
      <w:r w:rsidRPr="00452541">
        <w:rPr>
          <w:b/>
          <w:bCs/>
          <w:i/>
          <w:iCs/>
        </w:rPr>
        <w:t xml:space="preserve">. </w:t>
      </w:r>
      <w:r w:rsidRPr="00452541">
        <w:t>Adjacent similarity (PC1) ≥ 0.99</w:t>
      </w:r>
    </w:p>
    <w:p w14:paraId="26B2DDD1" w14:textId="77777777" w:rsidR="00781D14" w:rsidRDefault="00000000">
      <w:pPr>
        <w:spacing w:before="100" w:after="100"/>
        <w:jc w:val="center"/>
      </w:pPr>
      <w:r>
        <w:rPr>
          <w:noProof/>
        </w:rPr>
        <w:drawing>
          <wp:inline distT="0" distB="0" distL="0" distR="0" wp14:anchorId="55C996CF" wp14:editId="757CDDB9">
            <wp:extent cx="6142428" cy="2661719"/>
            <wp:effectExtent l="0" t="0" r="444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8"/>
                    <a:srcRect/>
                    <a:stretch>
                      <a:fillRect/>
                    </a:stretch>
                  </pic:blipFill>
                  <pic:spPr bwMode="auto">
                    <a:xfrm>
                      <a:off x="0" y="0"/>
                      <a:ext cx="6158132" cy="2668524"/>
                    </a:xfrm>
                    <a:prstGeom prst="rect">
                      <a:avLst/>
                    </a:prstGeom>
                  </pic:spPr>
                </pic:pic>
              </a:graphicData>
            </a:graphic>
          </wp:inline>
        </w:drawing>
      </w:r>
    </w:p>
    <w:p w14:paraId="36F46FAC" w14:textId="77777777" w:rsidR="00781D14" w:rsidRPr="00452541" w:rsidRDefault="00000000" w:rsidP="00452541">
      <w:pPr>
        <w:spacing w:before="40" w:after="200" w:line="276" w:lineRule="auto"/>
      </w:pPr>
      <w:r w:rsidRPr="00452541">
        <w:rPr>
          <w:i/>
          <w:iCs/>
        </w:rPr>
        <w:t>Reading: Year-on-year smoothness of the PC1 loading vector. Universally satisfied; consecutive-year loading vectors are almost identical.</w:t>
      </w:r>
    </w:p>
    <w:p w14:paraId="5A6CDDAB" w14:textId="77777777" w:rsidR="00781D14" w:rsidRPr="00452541" w:rsidRDefault="00000000">
      <w:pPr>
        <w:spacing w:before="80" w:after="80"/>
      </w:pPr>
      <w:r w:rsidRPr="00452541">
        <w:rPr>
          <w:b/>
          <w:bCs/>
          <w:i/>
          <w:iCs/>
        </w:rPr>
        <w:lastRenderedPageBreak/>
        <w:t xml:space="preserve">Figure A23. </w:t>
      </w:r>
      <w:r w:rsidRPr="00452541">
        <w:t>Global similarity (FA1) ≥ 0.99</w:t>
      </w:r>
    </w:p>
    <w:p w14:paraId="1D80CE34" w14:textId="77777777" w:rsidR="00781D14" w:rsidRDefault="00000000">
      <w:pPr>
        <w:spacing w:before="100" w:after="100"/>
        <w:jc w:val="center"/>
      </w:pPr>
      <w:r>
        <w:rPr>
          <w:noProof/>
        </w:rPr>
        <w:drawing>
          <wp:inline distT="0" distB="0" distL="0" distR="0" wp14:anchorId="16621734" wp14:editId="74665D0D">
            <wp:extent cx="6205108" cy="2688880"/>
            <wp:effectExtent l="0" t="0" r="571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9"/>
                    <a:srcRect/>
                    <a:stretch>
                      <a:fillRect/>
                    </a:stretch>
                  </pic:blipFill>
                  <pic:spPr bwMode="auto">
                    <a:xfrm>
                      <a:off x="0" y="0"/>
                      <a:ext cx="6223611" cy="2696898"/>
                    </a:xfrm>
                    <a:prstGeom prst="rect">
                      <a:avLst/>
                    </a:prstGeom>
                  </pic:spPr>
                </pic:pic>
              </a:graphicData>
            </a:graphic>
          </wp:inline>
        </w:drawing>
      </w:r>
    </w:p>
    <w:p w14:paraId="717355A3" w14:textId="77777777" w:rsidR="00781D14" w:rsidRPr="00452541" w:rsidRDefault="00000000" w:rsidP="00452541">
      <w:pPr>
        <w:spacing w:before="40" w:after="200" w:line="276" w:lineRule="auto"/>
      </w:pPr>
      <w:r w:rsidRPr="00452541">
        <w:rPr>
          <w:i/>
          <w:iCs/>
        </w:rPr>
        <w:t xml:space="preserve">Reading: </w:t>
      </w:r>
      <w:r w:rsidRPr="00452541">
        <w:t>Minimum cosine similarity between any yearly FA1 loading vector and the pooled reference. Passes for 97.3% of combinations.</w:t>
      </w:r>
    </w:p>
    <w:p w14:paraId="01F6E066" w14:textId="77777777" w:rsidR="00452541" w:rsidRDefault="00452541">
      <w:pPr>
        <w:spacing w:before="80" w:after="80"/>
        <w:rPr>
          <w:b/>
          <w:bCs/>
          <w:i/>
          <w:iCs/>
          <w:sz w:val="22"/>
          <w:szCs w:val="22"/>
        </w:rPr>
      </w:pPr>
    </w:p>
    <w:p w14:paraId="70A9499E" w14:textId="160CBE8D" w:rsidR="00781D14" w:rsidRPr="00452541" w:rsidRDefault="00000000">
      <w:pPr>
        <w:spacing w:before="80" w:after="80"/>
      </w:pPr>
      <w:r w:rsidRPr="00452541">
        <w:rPr>
          <w:b/>
          <w:bCs/>
          <w:i/>
          <w:iCs/>
        </w:rPr>
        <w:t xml:space="preserve">Figure </w:t>
      </w:r>
      <w:proofErr w:type="spellStart"/>
      <w:r w:rsidRPr="00452541">
        <w:rPr>
          <w:b/>
          <w:bCs/>
          <w:i/>
          <w:iCs/>
        </w:rPr>
        <w:t>A24</w:t>
      </w:r>
      <w:proofErr w:type="spellEnd"/>
      <w:r w:rsidRPr="00452541">
        <w:rPr>
          <w:b/>
          <w:bCs/>
          <w:i/>
          <w:iCs/>
        </w:rPr>
        <w:t xml:space="preserve">. </w:t>
      </w:r>
      <w:r w:rsidRPr="00452541">
        <w:t>Adjacent similarity (FA1) ≥ 0.99</w:t>
      </w:r>
    </w:p>
    <w:p w14:paraId="297A38E5" w14:textId="77777777" w:rsidR="00781D14" w:rsidRDefault="00000000">
      <w:pPr>
        <w:spacing w:before="100" w:after="100"/>
        <w:jc w:val="center"/>
      </w:pPr>
      <w:r>
        <w:rPr>
          <w:noProof/>
        </w:rPr>
        <w:drawing>
          <wp:inline distT="0" distB="0" distL="0" distR="0" wp14:anchorId="259B61AA" wp14:editId="61A1427F">
            <wp:extent cx="6288676" cy="272509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srcRect/>
                    <a:stretch>
                      <a:fillRect/>
                    </a:stretch>
                  </pic:blipFill>
                  <pic:spPr bwMode="auto">
                    <a:xfrm>
                      <a:off x="0" y="0"/>
                      <a:ext cx="6315524" cy="2736727"/>
                    </a:xfrm>
                    <a:prstGeom prst="rect">
                      <a:avLst/>
                    </a:prstGeom>
                  </pic:spPr>
                </pic:pic>
              </a:graphicData>
            </a:graphic>
          </wp:inline>
        </w:drawing>
      </w:r>
    </w:p>
    <w:p w14:paraId="50E584D4" w14:textId="77777777" w:rsidR="00781D14" w:rsidRPr="00452541" w:rsidRDefault="00000000" w:rsidP="00452541">
      <w:pPr>
        <w:spacing w:before="40" w:after="200" w:line="276" w:lineRule="auto"/>
      </w:pPr>
      <w:r w:rsidRPr="00452541">
        <w:rPr>
          <w:i/>
          <w:iCs/>
        </w:rPr>
        <w:t xml:space="preserve">Reading: </w:t>
      </w:r>
      <w:r w:rsidRPr="00452541">
        <w:t>Year-on-year smoothness of the FA1 loading vector. Passes for 97.3% of combinations.</w:t>
      </w:r>
    </w:p>
    <w:p w14:paraId="1025987A" w14:textId="77777777" w:rsidR="00781D14" w:rsidRPr="00452541" w:rsidRDefault="00000000">
      <w:pPr>
        <w:spacing w:before="80" w:after="80"/>
      </w:pPr>
      <w:r w:rsidRPr="00452541">
        <w:rPr>
          <w:b/>
          <w:bCs/>
          <w:i/>
          <w:iCs/>
        </w:rPr>
        <w:lastRenderedPageBreak/>
        <w:t xml:space="preserve">Figure A25. </w:t>
      </w:r>
      <w:r w:rsidRPr="00452541">
        <w:rPr>
          <w:i/>
          <w:iCs/>
        </w:rPr>
        <w:t>Loading magnitude CV (FA1) ≤ 0.10</w:t>
      </w:r>
    </w:p>
    <w:p w14:paraId="0D574389" w14:textId="77777777" w:rsidR="00781D14" w:rsidRDefault="00000000">
      <w:pPr>
        <w:spacing w:before="100" w:after="100"/>
        <w:jc w:val="center"/>
      </w:pPr>
      <w:r>
        <w:rPr>
          <w:noProof/>
        </w:rPr>
        <w:drawing>
          <wp:inline distT="0" distB="0" distL="0" distR="0" wp14:anchorId="41B6B504" wp14:editId="63C6A572">
            <wp:extent cx="6330462"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a:srcRect/>
                    <a:stretch>
                      <a:fillRect/>
                    </a:stretch>
                  </pic:blipFill>
                  <pic:spPr bwMode="auto">
                    <a:xfrm>
                      <a:off x="0" y="0"/>
                      <a:ext cx="6346544" cy="2750169"/>
                    </a:xfrm>
                    <a:prstGeom prst="rect">
                      <a:avLst/>
                    </a:prstGeom>
                  </pic:spPr>
                </pic:pic>
              </a:graphicData>
            </a:graphic>
          </wp:inline>
        </w:drawing>
      </w:r>
    </w:p>
    <w:p w14:paraId="67C68F9F" w14:textId="77777777" w:rsidR="00781D14" w:rsidRPr="00452541" w:rsidRDefault="00000000" w:rsidP="00452541">
      <w:pPr>
        <w:spacing w:before="40" w:after="200" w:line="276" w:lineRule="auto"/>
      </w:pPr>
      <w:r w:rsidRPr="00452541">
        <w:rPr>
          <w:i/>
          <w:iCs/>
        </w:rPr>
        <w:t xml:space="preserve">Reading: </w:t>
      </w:r>
      <w:r w:rsidRPr="00452541">
        <w:t>Coefficient of variation of the raw FA1 loading-vector norms across years. Universally satisfied with mean 0.008: not only direction but magnitude of the factor is stable</w:t>
      </w:r>
      <w:r w:rsidRPr="00452541">
        <w:rPr>
          <w:i/>
          <w:iCs/>
        </w:rPr>
        <w:t>.</w:t>
      </w:r>
    </w:p>
    <w:sectPr w:rsidR="00781D14" w:rsidRPr="00452541">
      <w:footerReference w:type="default" r:id="rId32"/>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362E" w14:textId="77777777" w:rsidR="00250E00" w:rsidRDefault="00250E00">
      <w:pPr>
        <w:spacing w:line="240" w:lineRule="auto"/>
      </w:pPr>
      <w:r>
        <w:separator/>
      </w:r>
    </w:p>
  </w:endnote>
  <w:endnote w:type="continuationSeparator" w:id="0">
    <w:p w14:paraId="18F2AE90" w14:textId="77777777" w:rsidR="00250E00" w:rsidRDefault="00250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3E12" w14:textId="77777777" w:rsidR="00FA1D32" w:rsidRDefault="00000000">
    <w:pP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E72A" w14:textId="77777777" w:rsidR="00250E00" w:rsidRDefault="00250E00">
      <w:pPr>
        <w:spacing w:line="240" w:lineRule="auto"/>
      </w:pPr>
      <w:r>
        <w:separator/>
      </w:r>
    </w:p>
  </w:footnote>
  <w:footnote w:type="continuationSeparator" w:id="0">
    <w:p w14:paraId="58402FF3" w14:textId="77777777" w:rsidR="00250E00" w:rsidRDefault="00250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F5C79"/>
    <w:multiLevelType w:val="hybridMultilevel"/>
    <w:tmpl w:val="D3F890DC"/>
    <w:lvl w:ilvl="0" w:tplc="CF546AA8">
      <w:start w:val="1"/>
      <w:numFmt w:val="bullet"/>
      <w:lvlText w:val="●"/>
      <w:lvlJc w:val="left"/>
      <w:pPr>
        <w:ind w:left="720" w:hanging="360"/>
      </w:pPr>
    </w:lvl>
    <w:lvl w:ilvl="1" w:tplc="46B03850">
      <w:start w:val="1"/>
      <w:numFmt w:val="bullet"/>
      <w:lvlText w:val="○"/>
      <w:lvlJc w:val="left"/>
      <w:pPr>
        <w:ind w:left="1440" w:hanging="360"/>
      </w:pPr>
    </w:lvl>
    <w:lvl w:ilvl="2" w:tplc="E5F0E93A">
      <w:start w:val="1"/>
      <w:numFmt w:val="bullet"/>
      <w:lvlText w:val="■"/>
      <w:lvlJc w:val="left"/>
      <w:pPr>
        <w:ind w:left="2160" w:hanging="360"/>
      </w:pPr>
    </w:lvl>
    <w:lvl w:ilvl="3" w:tplc="E438C734">
      <w:start w:val="1"/>
      <w:numFmt w:val="bullet"/>
      <w:lvlText w:val="●"/>
      <w:lvlJc w:val="left"/>
      <w:pPr>
        <w:ind w:left="2880" w:hanging="360"/>
      </w:pPr>
    </w:lvl>
    <w:lvl w:ilvl="4" w:tplc="A426F66E">
      <w:start w:val="1"/>
      <w:numFmt w:val="bullet"/>
      <w:lvlText w:val="○"/>
      <w:lvlJc w:val="left"/>
      <w:pPr>
        <w:ind w:left="3600" w:hanging="360"/>
      </w:pPr>
    </w:lvl>
    <w:lvl w:ilvl="5" w:tplc="6E121EF8">
      <w:start w:val="1"/>
      <w:numFmt w:val="bullet"/>
      <w:lvlText w:val="■"/>
      <w:lvlJc w:val="left"/>
      <w:pPr>
        <w:ind w:left="4320" w:hanging="360"/>
      </w:pPr>
    </w:lvl>
    <w:lvl w:ilvl="6" w:tplc="6DA82C70">
      <w:start w:val="1"/>
      <w:numFmt w:val="bullet"/>
      <w:lvlText w:val="●"/>
      <w:lvlJc w:val="left"/>
      <w:pPr>
        <w:ind w:left="5040" w:hanging="360"/>
      </w:pPr>
    </w:lvl>
    <w:lvl w:ilvl="7" w:tplc="3FBECA54">
      <w:start w:val="1"/>
      <w:numFmt w:val="bullet"/>
      <w:lvlText w:val="●"/>
      <w:lvlJc w:val="left"/>
      <w:pPr>
        <w:ind w:left="5760" w:hanging="360"/>
      </w:pPr>
    </w:lvl>
    <w:lvl w:ilvl="8" w:tplc="6EF88498">
      <w:start w:val="1"/>
      <w:numFmt w:val="bullet"/>
      <w:lvlText w:val="●"/>
      <w:lvlJc w:val="left"/>
      <w:pPr>
        <w:ind w:left="6480" w:hanging="360"/>
      </w:pPr>
    </w:lvl>
  </w:abstractNum>
  <w:num w:numId="1" w16cid:durableId="969554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14"/>
    <w:rsid w:val="00011E5C"/>
    <w:rsid w:val="00250E00"/>
    <w:rsid w:val="002546B4"/>
    <w:rsid w:val="002547D0"/>
    <w:rsid w:val="00452541"/>
    <w:rsid w:val="004807B9"/>
    <w:rsid w:val="00727EBA"/>
    <w:rsid w:val="00781D14"/>
    <w:rsid w:val="007C4173"/>
    <w:rsid w:val="00927753"/>
    <w:rsid w:val="00E91C48"/>
    <w:rsid w:val="00FA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BA1945"/>
  <w15:docId w15:val="{C8437D65-67FA-F24B-90A6-B5F19ECA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32"/>
      <w:szCs w:val="32"/>
    </w:rPr>
  </w:style>
  <w:style w:type="paragraph" w:styleId="Heading2">
    <w:name w:val="heading 2"/>
    <w:uiPriority w:val="9"/>
    <w:unhideWhenUsed/>
    <w:qFormat/>
    <w:pPr>
      <w:spacing w:before="280" w:after="160"/>
      <w:outlineLvl w:val="1"/>
    </w:pPr>
    <w:rPr>
      <w:b/>
      <w:bCs/>
      <w:sz w:val="28"/>
      <w:szCs w:val="28"/>
    </w:rPr>
  </w:style>
  <w:style w:type="paragraph" w:styleId="Heading3">
    <w:name w:val="heading 3"/>
    <w:uiPriority w:val="9"/>
    <w:unhideWhenUsed/>
    <w:qFormat/>
    <w:pPr>
      <w:spacing w:before="220" w:after="140"/>
      <w:outlineLvl w:val="2"/>
    </w:pPr>
    <w:rPr>
      <w:b/>
      <w:bCs/>
      <w:i/>
      <w:i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011E5C"/>
    <w:pPr>
      <w:spacing w:after="100"/>
    </w:pPr>
  </w:style>
  <w:style w:type="paragraph" w:styleId="TOC2">
    <w:name w:val="toc 2"/>
    <w:basedOn w:val="Normal"/>
    <w:next w:val="Normal"/>
    <w:autoRedefine/>
    <w:uiPriority w:val="39"/>
    <w:unhideWhenUsed/>
    <w:rsid w:val="00011E5C"/>
    <w:pPr>
      <w:spacing w:after="100"/>
      <w:ind w:left="240"/>
    </w:pPr>
  </w:style>
  <w:style w:type="paragraph" w:styleId="TOC3">
    <w:name w:val="toc 3"/>
    <w:basedOn w:val="Normal"/>
    <w:next w:val="Normal"/>
    <w:autoRedefine/>
    <w:uiPriority w:val="39"/>
    <w:unhideWhenUsed/>
    <w:rsid w:val="00011E5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Slobodan Tomic</cp:lastModifiedBy>
  <cp:revision>9</cp:revision>
  <dcterms:created xsi:type="dcterms:W3CDTF">2026-05-12T15:27:00Z</dcterms:created>
  <dcterms:modified xsi:type="dcterms:W3CDTF">2026-05-17T06:04:00Z</dcterms:modified>
</cp:coreProperties>
</file>