
<file path=[Content_Types].xml><?xml version="1.0" encoding="utf-8"?>
<Types xmlns="http://schemas.openxmlformats.org/package/2006/content-types">
  <Default Extension="xml" ContentType="application/xml"/>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5F8A0BE">
      <w:pPr>
        <w:autoSpaceDE w:val="0"/>
        <w:autoSpaceDN w:val="0"/>
        <w:adjustRightInd w:val="0"/>
        <w:spacing w:line="360" w:lineRule="auto"/>
        <w:jc w:val="center"/>
        <w:rPr>
          <w:rFonts w:ascii="Times New Roman" w:hAnsi="Times New Roman" w:cs="Times New Roman"/>
          <w:b/>
          <w:bCs/>
          <w:kern w:val="0"/>
          <w:sz w:val="32"/>
          <w:szCs w:val="32"/>
        </w:rPr>
      </w:pPr>
      <w:bookmarkStart w:id="0" w:name="OLE_LINK7"/>
      <w:bookmarkStart w:id="1" w:name="_Hlk66044775"/>
      <w:r>
        <w:rPr>
          <w:rFonts w:ascii="Times New Roman" w:hAnsi="Times New Roman" w:cs="Times New Roman"/>
          <w:b/>
          <w:bCs/>
          <w:kern w:val="0"/>
          <w:sz w:val="32"/>
          <w:szCs w:val="32"/>
        </w:rPr>
        <w:t>Supplementary Information for</w:t>
      </w:r>
    </w:p>
    <w:bookmarkEnd w:id="0"/>
    <w:bookmarkEnd w:id="1"/>
    <w:p w14:paraId="2E3B5797">
      <w:pPr>
        <w:rPr>
          <w:rFonts w:ascii="Times New Roman" w:hAnsi="Times New Roman" w:cs="Times New Roman"/>
          <w:sz w:val="24"/>
          <w:szCs w:val="24"/>
        </w:rPr>
      </w:pPr>
    </w:p>
    <w:p w14:paraId="67E58E86">
      <w:pPr>
        <w:spacing w:after="240" w:line="360" w:lineRule="auto"/>
        <w:jc w:val="center"/>
        <w:rPr>
          <w:rFonts w:hint="eastAsia" w:ascii="Times New Roman" w:hAnsi="Times New Roman" w:eastAsia="宋体" w:cs="Times New Roman"/>
          <w:b/>
          <w:bCs/>
          <w:sz w:val="36"/>
          <w:szCs w:val="36"/>
          <w:lang w:val="en-US" w:eastAsia="zh-CN"/>
        </w:rPr>
      </w:pPr>
      <w:bookmarkStart w:id="2" w:name="_Hlk170239005"/>
      <w:r>
        <w:rPr>
          <w:rFonts w:hint="eastAsia" w:ascii="Times New Roman" w:hAnsi="Times New Roman" w:eastAsia="宋体" w:cs="Times New Roman"/>
          <w:b/>
          <w:bCs/>
          <w:sz w:val="36"/>
          <w:szCs w:val="36"/>
          <w:lang w:val="en-US" w:eastAsia="zh-CN"/>
        </w:rPr>
        <w:t xml:space="preserve"> </w:t>
      </w:r>
      <w:bookmarkStart w:id="73" w:name="_GoBack"/>
      <w:bookmarkEnd w:id="73"/>
      <w:r>
        <w:rPr>
          <w:rFonts w:hint="eastAsia" w:ascii="Times New Roman" w:hAnsi="Times New Roman" w:eastAsia="宋体" w:cs="Times New Roman"/>
          <w:b/>
          <w:bCs/>
          <w:sz w:val="36"/>
          <w:szCs w:val="36"/>
          <w:lang w:val="en-US" w:eastAsia="zh-CN"/>
        </w:rPr>
        <w:t>Giant plasticity in ceramic semiconductors via crystal conformational switching</w:t>
      </w:r>
    </w:p>
    <w:bookmarkEnd w:id="2"/>
    <w:p w14:paraId="6C998F88">
      <w:pPr>
        <w:spacing w:after="240" w:line="360" w:lineRule="auto"/>
        <w:contextualSpacing/>
        <w:jc w:val="center"/>
        <w:rPr>
          <w:rFonts w:ascii="Times New Roman" w:hAnsi="Times New Roman" w:eastAsia="宋体" w:cs="Times New Roman"/>
          <w:bCs/>
          <w:sz w:val="24"/>
          <w:szCs w:val="24"/>
        </w:rPr>
      </w:pPr>
      <w:r>
        <w:rPr>
          <w:rFonts w:ascii="Times New Roman" w:hAnsi="Times New Roman" w:eastAsia="宋体" w:cs="Times New Roman"/>
          <w:bCs/>
          <w:sz w:val="24"/>
          <w:szCs w:val="24"/>
        </w:rPr>
        <w:t>Chong Wang</w:t>
      </w:r>
      <w:r>
        <w:rPr>
          <w:rFonts w:ascii="Times New Roman" w:hAnsi="Times New Roman" w:eastAsia="宋体" w:cs="Times New Roman"/>
          <w:bCs/>
          <w:sz w:val="24"/>
          <w:szCs w:val="24"/>
          <w:vertAlign w:val="superscript"/>
        </w:rPr>
        <w:t>1,2</w:t>
      </w:r>
      <w:r>
        <w:rPr>
          <w:rFonts w:ascii="Times New Roman" w:hAnsi="Times New Roman" w:eastAsia="等线" w:cs="Times New Roman"/>
          <w:sz w:val="24"/>
          <w:szCs w:val="24"/>
          <w:vertAlign w:val="superscript"/>
        </w:rPr>
        <w:t>†</w:t>
      </w:r>
      <w:r>
        <w:rPr>
          <w:rFonts w:ascii="Times New Roman" w:hAnsi="Times New Roman" w:eastAsia="宋体" w:cs="Times New Roman"/>
          <w:bCs/>
          <w:sz w:val="24"/>
          <w:szCs w:val="24"/>
        </w:rPr>
        <w:t>, Zeya Li</w:t>
      </w:r>
      <w:r>
        <w:rPr>
          <w:rFonts w:ascii="Times New Roman" w:hAnsi="Times New Roman" w:eastAsia="宋体" w:cs="Times New Roman"/>
          <w:bCs/>
          <w:sz w:val="24"/>
          <w:szCs w:val="24"/>
          <w:vertAlign w:val="superscript"/>
        </w:rPr>
        <w:t>3</w:t>
      </w:r>
      <w:r>
        <w:rPr>
          <w:rFonts w:ascii="Times New Roman" w:hAnsi="Times New Roman" w:eastAsia="等线" w:cs="Times New Roman"/>
          <w:sz w:val="24"/>
          <w:szCs w:val="24"/>
          <w:vertAlign w:val="superscript"/>
        </w:rPr>
        <w:t>†</w:t>
      </w:r>
      <w:r>
        <w:rPr>
          <w:rFonts w:ascii="Times New Roman" w:hAnsi="Times New Roman" w:eastAsia="宋体" w:cs="Times New Roman"/>
          <w:bCs/>
          <w:sz w:val="24"/>
          <w:szCs w:val="24"/>
        </w:rPr>
        <w:t>, Biao Ma</w:t>
      </w:r>
      <w:r>
        <w:rPr>
          <w:rFonts w:ascii="Times New Roman" w:hAnsi="Times New Roman" w:eastAsia="宋体" w:cs="Times New Roman"/>
          <w:bCs/>
          <w:sz w:val="24"/>
          <w:szCs w:val="24"/>
          <w:vertAlign w:val="superscript"/>
        </w:rPr>
        <w:t>1</w:t>
      </w:r>
      <w:r>
        <w:rPr>
          <w:rFonts w:ascii="Times New Roman" w:hAnsi="Times New Roman" w:eastAsia="宋体" w:cs="Times New Roman"/>
          <w:bCs/>
          <w:sz w:val="24"/>
          <w:szCs w:val="24"/>
        </w:rPr>
        <w:t>, Penghui Li</w:t>
      </w:r>
      <w:r>
        <w:rPr>
          <w:rFonts w:ascii="Times New Roman" w:hAnsi="Times New Roman" w:eastAsia="宋体" w:cs="Times New Roman"/>
          <w:bCs/>
          <w:sz w:val="24"/>
          <w:szCs w:val="24"/>
          <w:vertAlign w:val="superscript"/>
        </w:rPr>
        <w:t>1</w:t>
      </w:r>
      <w:r>
        <w:rPr>
          <w:rFonts w:ascii="Times New Roman" w:hAnsi="Times New Roman" w:eastAsia="宋体" w:cs="Times New Roman"/>
          <w:bCs/>
          <w:sz w:val="24"/>
          <w:szCs w:val="24"/>
        </w:rPr>
        <w:t>, Yingchun Cheng</w:t>
      </w:r>
      <w:r>
        <w:rPr>
          <w:rFonts w:ascii="Times New Roman" w:hAnsi="Times New Roman" w:eastAsia="宋体" w:cs="Times New Roman"/>
          <w:bCs/>
          <w:sz w:val="24"/>
          <w:szCs w:val="24"/>
          <w:vertAlign w:val="superscript"/>
        </w:rPr>
        <w:t>1,4</w:t>
      </w:r>
      <w:r>
        <w:rPr>
          <w:rFonts w:ascii="Times New Roman" w:hAnsi="Times New Roman" w:eastAsia="宋体" w:cs="Times New Roman"/>
          <w:bCs/>
          <w:sz w:val="24"/>
          <w:szCs w:val="24"/>
        </w:rPr>
        <w:t>*, Yeqiang Bu</w:t>
      </w:r>
      <w:r>
        <w:rPr>
          <w:rFonts w:ascii="Times New Roman" w:hAnsi="Times New Roman" w:eastAsia="宋体" w:cs="Times New Roman"/>
          <w:bCs/>
          <w:sz w:val="24"/>
          <w:szCs w:val="24"/>
          <w:vertAlign w:val="superscript"/>
        </w:rPr>
        <w:t>5</w:t>
      </w:r>
      <w:r>
        <w:rPr>
          <w:rFonts w:ascii="Times New Roman" w:hAnsi="Times New Roman" w:eastAsia="宋体" w:cs="Times New Roman"/>
          <w:bCs/>
          <w:sz w:val="24"/>
          <w:szCs w:val="24"/>
        </w:rPr>
        <w:t>, Kun Zhai</w:t>
      </w:r>
      <w:r>
        <w:rPr>
          <w:rFonts w:ascii="Times New Roman" w:hAnsi="Times New Roman" w:eastAsia="宋体" w:cs="Times New Roman"/>
          <w:bCs/>
          <w:sz w:val="24"/>
          <w:szCs w:val="24"/>
          <w:vertAlign w:val="superscript"/>
        </w:rPr>
        <w:t>1</w:t>
      </w:r>
      <w:r>
        <w:rPr>
          <w:rFonts w:ascii="Times New Roman" w:hAnsi="Times New Roman" w:eastAsia="宋体" w:cs="Times New Roman"/>
          <w:bCs/>
          <w:sz w:val="24"/>
          <w:szCs w:val="24"/>
        </w:rPr>
        <w:t>, Tianyu Xue</w:t>
      </w:r>
      <w:r>
        <w:rPr>
          <w:rFonts w:ascii="Times New Roman" w:hAnsi="Times New Roman" w:eastAsia="宋体" w:cs="Times New Roman"/>
          <w:bCs/>
          <w:sz w:val="24"/>
          <w:szCs w:val="24"/>
          <w:vertAlign w:val="superscript"/>
        </w:rPr>
        <w:t>1</w:t>
      </w:r>
      <w:r>
        <w:rPr>
          <w:rFonts w:ascii="Times New Roman" w:hAnsi="Times New Roman" w:eastAsia="宋体" w:cs="Times New Roman"/>
          <w:bCs/>
          <w:sz w:val="24"/>
          <w:szCs w:val="24"/>
        </w:rPr>
        <w:t>, Hongtao Yuan</w:t>
      </w:r>
      <w:r>
        <w:rPr>
          <w:rFonts w:ascii="Times New Roman" w:hAnsi="Times New Roman" w:eastAsia="宋体" w:cs="Times New Roman"/>
          <w:bCs/>
          <w:sz w:val="24"/>
          <w:szCs w:val="24"/>
          <w:vertAlign w:val="superscript"/>
        </w:rPr>
        <w:t>2,6</w:t>
      </w:r>
      <w:r>
        <w:rPr>
          <w:rFonts w:ascii="Times New Roman" w:hAnsi="Times New Roman" w:eastAsia="宋体" w:cs="Times New Roman"/>
          <w:bCs/>
          <w:sz w:val="24"/>
          <w:szCs w:val="24"/>
        </w:rPr>
        <w:t>*, Anmin Nie</w:t>
      </w:r>
      <w:r>
        <w:rPr>
          <w:rFonts w:ascii="Times New Roman" w:hAnsi="Times New Roman" w:eastAsia="宋体" w:cs="Times New Roman"/>
          <w:bCs/>
          <w:sz w:val="24"/>
          <w:szCs w:val="24"/>
          <w:vertAlign w:val="superscript"/>
        </w:rPr>
        <w:t>1</w:t>
      </w:r>
      <w:r>
        <w:rPr>
          <w:rFonts w:ascii="Times New Roman" w:hAnsi="Times New Roman" w:eastAsia="宋体" w:cs="Times New Roman"/>
          <w:bCs/>
          <w:sz w:val="24"/>
          <w:szCs w:val="24"/>
        </w:rPr>
        <w:t>*, Hongtao Wang</w:t>
      </w:r>
      <w:r>
        <w:rPr>
          <w:rFonts w:ascii="Times New Roman" w:hAnsi="Times New Roman" w:eastAsia="宋体" w:cs="Times New Roman"/>
          <w:bCs/>
          <w:sz w:val="24"/>
          <w:szCs w:val="24"/>
          <w:vertAlign w:val="superscript"/>
        </w:rPr>
        <w:t>5</w:t>
      </w:r>
      <w:r>
        <w:rPr>
          <w:rFonts w:ascii="Times New Roman" w:hAnsi="Times New Roman" w:eastAsia="宋体" w:cs="Times New Roman"/>
          <w:bCs/>
          <w:sz w:val="24"/>
          <w:szCs w:val="24"/>
        </w:rPr>
        <w:t xml:space="preserve">, </w:t>
      </w:r>
    </w:p>
    <w:p w14:paraId="5A2440FA">
      <w:pPr>
        <w:spacing w:after="240" w:line="360" w:lineRule="auto"/>
        <w:contextualSpacing/>
        <w:jc w:val="center"/>
        <w:rPr>
          <w:rFonts w:ascii="Times New Roman" w:hAnsi="Times New Roman" w:eastAsia="宋体" w:cs="Times New Roman"/>
          <w:bCs/>
          <w:sz w:val="24"/>
          <w:szCs w:val="24"/>
        </w:rPr>
      </w:pPr>
      <w:r>
        <w:rPr>
          <w:rFonts w:ascii="Times New Roman" w:hAnsi="Times New Roman" w:eastAsia="宋体" w:cs="Times New Roman"/>
          <w:bCs/>
          <w:sz w:val="24"/>
          <w:szCs w:val="24"/>
        </w:rPr>
        <w:t>Yongjun Tian</w:t>
      </w:r>
      <w:r>
        <w:rPr>
          <w:rFonts w:ascii="Times New Roman" w:hAnsi="Times New Roman" w:eastAsia="宋体" w:cs="Times New Roman"/>
          <w:bCs/>
          <w:sz w:val="24"/>
          <w:szCs w:val="24"/>
          <w:vertAlign w:val="superscript"/>
        </w:rPr>
        <w:t>1</w:t>
      </w:r>
      <w:r>
        <w:rPr>
          <w:rFonts w:ascii="Times New Roman" w:hAnsi="Times New Roman" w:eastAsia="宋体" w:cs="Times New Roman"/>
          <w:bCs/>
          <w:sz w:val="24"/>
          <w:szCs w:val="24"/>
        </w:rPr>
        <w:t>, Zhongyuan Liu</w:t>
      </w:r>
      <w:r>
        <w:rPr>
          <w:rFonts w:ascii="Times New Roman" w:hAnsi="Times New Roman" w:eastAsia="宋体" w:cs="Times New Roman"/>
          <w:bCs/>
          <w:sz w:val="24"/>
          <w:szCs w:val="24"/>
          <w:vertAlign w:val="superscript"/>
        </w:rPr>
        <w:t>1</w:t>
      </w:r>
    </w:p>
    <w:p w14:paraId="3BDD984D">
      <w:pPr>
        <w:widowControl/>
        <w:numPr>
          <w:ilvl w:val="0"/>
          <w:numId w:val="1"/>
        </w:numPr>
        <w:kinsoku w:val="0"/>
        <w:overflowPunct w:val="0"/>
        <w:autoSpaceDE w:val="0"/>
        <w:autoSpaceDN w:val="0"/>
        <w:spacing w:after="240" w:line="400" w:lineRule="exact"/>
        <w:contextualSpacing/>
        <w:rPr>
          <w:rFonts w:ascii="Times New Roman" w:hAnsi="Times New Roman" w:eastAsia="等线" w:cs="Times New Roman"/>
          <w:i/>
          <w:sz w:val="22"/>
        </w:rPr>
      </w:pPr>
      <w:bookmarkStart w:id="3" w:name="_Hlk181221190"/>
      <w:r>
        <w:rPr>
          <w:rFonts w:ascii="Times New Roman" w:hAnsi="Times New Roman" w:eastAsia="等线" w:cs="Times New Roman"/>
          <w:i/>
          <w:sz w:val="22"/>
        </w:rPr>
        <w:t>Center for High Pressure Science, State Key Laboratory of Metastable Materials Science and Technology, Yanshan University, Qinhuangdao, 066044, China.</w:t>
      </w:r>
      <w:bookmarkEnd w:id="3"/>
    </w:p>
    <w:p w14:paraId="3F28A7E0">
      <w:pPr>
        <w:widowControl/>
        <w:numPr>
          <w:ilvl w:val="0"/>
          <w:numId w:val="1"/>
        </w:numPr>
        <w:kinsoku w:val="0"/>
        <w:overflowPunct w:val="0"/>
        <w:autoSpaceDE w:val="0"/>
        <w:autoSpaceDN w:val="0"/>
        <w:spacing w:after="240" w:line="400" w:lineRule="exact"/>
        <w:contextualSpacing/>
        <w:rPr>
          <w:rFonts w:ascii="Times New Roman" w:hAnsi="Times New Roman" w:eastAsia="等线" w:cs="Times New Roman"/>
          <w:i/>
          <w:sz w:val="22"/>
        </w:rPr>
      </w:pPr>
      <w:r>
        <w:rPr>
          <w:rFonts w:ascii="Times New Roman" w:hAnsi="Times New Roman" w:eastAsia="等线" w:cs="Times New Roman"/>
          <w:i/>
          <w:sz w:val="22"/>
        </w:rPr>
        <w:t>National Laboratory of Solid State Microstructures,</w:t>
      </w:r>
      <w:bookmarkStart w:id="4" w:name="_Hlk106399532"/>
      <w:r>
        <w:rPr>
          <w:rFonts w:ascii="Times New Roman" w:hAnsi="Times New Roman" w:eastAsia="等线" w:cs="Times New Roman"/>
          <w:i/>
          <w:sz w:val="22"/>
        </w:rPr>
        <w:t xml:space="preserve"> College of Engineering and Applied Sciences, and Collaborative Innovation Center of Advanced Microstructures,</w:t>
      </w:r>
      <w:bookmarkEnd w:id="4"/>
      <w:r>
        <w:rPr>
          <w:rFonts w:ascii="Times New Roman" w:hAnsi="Times New Roman" w:eastAsia="等线" w:cs="Times New Roman"/>
          <w:i/>
          <w:sz w:val="22"/>
        </w:rPr>
        <w:t xml:space="preserve"> Nanjing University, Nanjing 210093, China.</w:t>
      </w:r>
    </w:p>
    <w:p w14:paraId="15BD176A">
      <w:pPr>
        <w:widowControl/>
        <w:numPr>
          <w:ilvl w:val="0"/>
          <w:numId w:val="1"/>
        </w:numPr>
        <w:kinsoku w:val="0"/>
        <w:overflowPunct w:val="0"/>
        <w:autoSpaceDE w:val="0"/>
        <w:autoSpaceDN w:val="0"/>
        <w:spacing w:after="240" w:line="400" w:lineRule="exact"/>
        <w:contextualSpacing/>
        <w:rPr>
          <w:rFonts w:ascii="Times New Roman" w:hAnsi="Times New Roman" w:eastAsia="等线" w:cs="Times New Roman"/>
          <w:i/>
          <w:sz w:val="22"/>
        </w:rPr>
      </w:pPr>
      <w:r>
        <w:rPr>
          <w:rFonts w:ascii="Times New Roman" w:hAnsi="Times New Roman" w:eastAsia="等线" w:cs="Times New Roman"/>
          <w:i/>
          <w:sz w:val="22"/>
        </w:rPr>
        <w:t>Quantum Science Center of Guangdong-Hong Kong-Macao Greater Bay Area, Shenzhen 518045, China</w:t>
      </w:r>
    </w:p>
    <w:p w14:paraId="12380B96">
      <w:pPr>
        <w:widowControl/>
        <w:numPr>
          <w:ilvl w:val="0"/>
          <w:numId w:val="1"/>
        </w:numPr>
        <w:kinsoku w:val="0"/>
        <w:overflowPunct w:val="0"/>
        <w:autoSpaceDE w:val="0"/>
        <w:autoSpaceDN w:val="0"/>
        <w:spacing w:after="240" w:line="400" w:lineRule="exact"/>
        <w:contextualSpacing/>
        <w:rPr>
          <w:rFonts w:ascii="Times New Roman" w:hAnsi="Times New Roman" w:eastAsia="等线" w:cs="Times New Roman"/>
          <w:i/>
          <w:sz w:val="22"/>
        </w:rPr>
      </w:pPr>
      <w:r>
        <w:rPr>
          <w:rFonts w:ascii="Times New Roman" w:hAnsi="Times New Roman" w:eastAsia="等线" w:cs="Times New Roman"/>
          <w:i/>
          <w:sz w:val="22"/>
        </w:rPr>
        <w:t>Key Laboratory for Microstructural Material Physics of Hebei Province, School of Science, Yanshan University, Qinhuangdao, 066004, China.</w:t>
      </w:r>
    </w:p>
    <w:p w14:paraId="0B213750">
      <w:pPr>
        <w:widowControl/>
        <w:numPr>
          <w:ilvl w:val="0"/>
          <w:numId w:val="1"/>
        </w:numPr>
        <w:kinsoku w:val="0"/>
        <w:overflowPunct w:val="0"/>
        <w:autoSpaceDE w:val="0"/>
        <w:autoSpaceDN w:val="0"/>
        <w:spacing w:after="240" w:line="400" w:lineRule="exact"/>
        <w:contextualSpacing/>
        <w:rPr>
          <w:rFonts w:ascii="Times New Roman" w:hAnsi="Times New Roman" w:eastAsia="等线" w:cs="Times New Roman"/>
          <w:i/>
          <w:sz w:val="22"/>
        </w:rPr>
      </w:pPr>
      <w:r>
        <w:rPr>
          <w:rFonts w:ascii="Times New Roman" w:hAnsi="Times New Roman" w:eastAsia="等线" w:cs="Times New Roman"/>
          <w:i/>
          <w:sz w:val="22"/>
        </w:rPr>
        <w:t>Center for X-mechanics, School of Aeronautics and Astronautics, Zhejiang University, Hangzhou 310027, China.</w:t>
      </w:r>
    </w:p>
    <w:p w14:paraId="1453A5EC">
      <w:pPr>
        <w:widowControl/>
        <w:numPr>
          <w:ilvl w:val="0"/>
          <w:numId w:val="1"/>
        </w:numPr>
        <w:kinsoku w:val="0"/>
        <w:overflowPunct w:val="0"/>
        <w:autoSpaceDE w:val="0"/>
        <w:autoSpaceDN w:val="0"/>
        <w:spacing w:after="240" w:line="400" w:lineRule="exact"/>
        <w:contextualSpacing/>
        <w:rPr>
          <w:rFonts w:ascii="Times New Roman" w:hAnsi="Times New Roman" w:eastAsia="等线" w:cs="Times New Roman"/>
          <w:i/>
          <w:sz w:val="22"/>
        </w:rPr>
      </w:pPr>
      <w:r>
        <w:rPr>
          <w:rFonts w:ascii="Times New Roman" w:hAnsi="Times New Roman" w:eastAsia="等线" w:cs="Times New Roman"/>
          <w:i/>
          <w:sz w:val="22"/>
        </w:rPr>
        <w:t>Jiangsu Physical Science Research Center, Nanjing 210093, China.</w:t>
      </w:r>
    </w:p>
    <w:p w14:paraId="68110881">
      <w:pPr>
        <w:rPr>
          <w:rFonts w:ascii="Times New Roman" w:hAnsi="Times New Roman" w:eastAsia="等线" w:cs="Times New Roman"/>
          <w:i/>
          <w:iCs/>
          <w:sz w:val="24"/>
          <w:szCs w:val="24"/>
        </w:rPr>
      </w:pPr>
    </w:p>
    <w:p w14:paraId="7080186C">
      <w:pPr>
        <w:rPr>
          <w:rFonts w:ascii="Times New Roman" w:hAnsi="Times New Roman" w:eastAsia="宋体" w:cs="Times New Roman"/>
          <w:iCs/>
          <w:sz w:val="24"/>
          <w:szCs w:val="24"/>
          <w:vertAlign w:val="superscript"/>
        </w:rPr>
      </w:pPr>
    </w:p>
    <w:p w14:paraId="7D35E616">
      <w:pPr>
        <w:rPr>
          <w:rFonts w:ascii="Times New Roman" w:hAnsi="Times New Roman" w:eastAsia="宋体" w:cs="Times New Roman"/>
          <w:iCs/>
          <w:sz w:val="24"/>
          <w:szCs w:val="24"/>
          <w:vertAlign w:val="superscript"/>
        </w:rPr>
      </w:pPr>
    </w:p>
    <w:p w14:paraId="17C8C7C4">
      <w:pPr>
        <w:rPr>
          <w:rFonts w:ascii="Times New Roman" w:hAnsi="Times New Roman" w:eastAsia="等线" w:cs="Times New Roman"/>
          <w:sz w:val="24"/>
          <w:szCs w:val="24"/>
        </w:rPr>
      </w:pPr>
      <w:r>
        <w:rPr>
          <w:rFonts w:ascii="Times New Roman" w:hAnsi="Times New Roman" w:eastAsia="宋体" w:cs="Times New Roman"/>
          <w:iCs/>
          <w:sz w:val="24"/>
          <w:szCs w:val="24"/>
          <w:vertAlign w:val="superscript"/>
        </w:rPr>
        <w:t xml:space="preserve">† </w:t>
      </w:r>
      <w:r>
        <w:rPr>
          <w:rFonts w:ascii="Times New Roman" w:hAnsi="Times New Roman" w:eastAsia="等线" w:cs="Times New Roman"/>
          <w:sz w:val="24"/>
          <w:szCs w:val="24"/>
        </w:rPr>
        <w:t>These authors contributed equally to this work.</w:t>
      </w:r>
    </w:p>
    <w:p w14:paraId="0CA461BA">
      <w:pPr>
        <w:rPr>
          <w:rFonts w:ascii="Times New Roman" w:hAnsi="Times New Roman" w:eastAsia="等线" w:cs="Times New Roman"/>
          <w:sz w:val="24"/>
          <w:szCs w:val="24"/>
        </w:rPr>
      </w:pPr>
      <w:r>
        <w:rPr>
          <w:rFonts w:ascii="Times New Roman" w:hAnsi="Times New Roman" w:eastAsia="等线" w:cs="Times New Roman"/>
          <w:sz w:val="24"/>
          <w:szCs w:val="24"/>
        </w:rPr>
        <w:t>*Corresponding author.</w:t>
      </w:r>
    </w:p>
    <w:p w14:paraId="1945E6E7">
      <w:pPr>
        <w:kinsoku w:val="0"/>
        <w:overflowPunct w:val="0"/>
        <w:autoSpaceDE w:val="0"/>
        <w:autoSpaceDN w:val="0"/>
        <w:spacing w:after="240" w:line="400" w:lineRule="exact"/>
        <w:contextualSpacing/>
        <w:rPr>
          <w:rFonts w:ascii="Times New Roman" w:hAnsi="Times New Roman" w:eastAsia="宋体" w:cs="Times New Roman"/>
          <w:iCs/>
          <w:sz w:val="24"/>
          <w:szCs w:val="24"/>
        </w:rPr>
      </w:pPr>
      <w:bookmarkStart w:id="5" w:name="_Hlk169029137"/>
      <w:r>
        <w:rPr>
          <w:rFonts w:ascii="Times New Roman" w:hAnsi="Times New Roman" w:eastAsia="宋体" w:cs="Times New Roman"/>
          <w:iCs/>
          <w:sz w:val="24"/>
          <w:szCs w:val="24"/>
        </w:rPr>
        <w:t xml:space="preserve">E-mail: </w:t>
      </w:r>
      <w:r>
        <w:rPr>
          <w:rFonts w:ascii="Times New Roman" w:hAnsi="Times New Roman" w:eastAsia="等线" w:cs="Times New Roman"/>
          <w:sz w:val="24"/>
          <w:szCs w:val="24"/>
          <w:u w:val="single"/>
        </w:rPr>
        <w:t>anmin@ysu.edu.cn (A.N.)</w:t>
      </w:r>
      <w:r>
        <w:rPr>
          <w:rFonts w:ascii="Times New Roman" w:hAnsi="Times New Roman" w:eastAsia="宋体" w:cs="Times New Roman"/>
          <w:iCs/>
          <w:sz w:val="24"/>
          <w:szCs w:val="24"/>
        </w:rPr>
        <w:t xml:space="preserve">; </w:t>
      </w:r>
      <w:r>
        <w:fldChar w:fldCharType="begin"/>
      </w:r>
      <w:r>
        <w:instrText xml:space="preserve"> HYPERLINK "mailto:htyuan@nju.edu.cn" </w:instrText>
      </w:r>
      <w:r>
        <w:fldChar w:fldCharType="separate"/>
      </w:r>
      <w:r>
        <w:rPr>
          <w:rFonts w:ascii="Times New Roman" w:hAnsi="Times New Roman" w:eastAsia="等线" w:cs="Times New Roman"/>
          <w:sz w:val="24"/>
          <w:szCs w:val="24"/>
          <w:u w:val="single"/>
        </w:rPr>
        <w:t>htyuan@nju.edu.cn</w:t>
      </w:r>
      <w:r>
        <w:rPr>
          <w:rFonts w:ascii="Times New Roman" w:hAnsi="Times New Roman" w:eastAsia="等线" w:cs="Times New Roman"/>
          <w:sz w:val="24"/>
          <w:szCs w:val="24"/>
          <w:u w:val="single"/>
        </w:rPr>
        <w:fldChar w:fldCharType="end"/>
      </w:r>
      <w:r>
        <w:rPr>
          <w:rFonts w:ascii="Times New Roman" w:hAnsi="Times New Roman" w:eastAsia="等线" w:cs="Times New Roman"/>
          <w:sz w:val="24"/>
          <w:szCs w:val="24"/>
          <w:u w:val="single"/>
        </w:rPr>
        <w:t xml:space="preserve"> (H.T.Y.); iamyccheng@ysu.edu.cn (Y.C.C.).</w:t>
      </w:r>
    </w:p>
    <w:p w14:paraId="7E44ABB4">
      <w:pPr>
        <w:widowControl/>
        <w:jc w:val="left"/>
        <w:rPr>
          <w:rFonts w:hint="eastAsia" w:ascii="Times New Roman" w:hAnsi="Times New Roman" w:eastAsia="宋体" w:cs="Times New Roman"/>
          <w:iCs/>
          <w:sz w:val="24"/>
          <w:szCs w:val="24"/>
        </w:rPr>
      </w:pPr>
      <w:r>
        <w:rPr>
          <w:rFonts w:ascii="Times New Roman" w:hAnsi="Times New Roman" w:eastAsia="宋体" w:cs="Times New Roman"/>
          <w:iCs/>
          <w:sz w:val="24"/>
          <w:szCs w:val="24"/>
        </w:rPr>
        <w:br w:type="page"/>
      </w:r>
    </w:p>
    <w:bookmarkEnd w:id="5"/>
    <w:p w14:paraId="1A3CC7F1">
      <w:pPr>
        <w:pStyle w:val="30"/>
        <w:spacing w:line="360" w:lineRule="auto"/>
        <w:rPr>
          <w:b/>
          <w:bCs/>
          <w:color w:val="auto"/>
        </w:rPr>
      </w:pPr>
      <w:r>
        <w:rPr>
          <w:b/>
          <w:bCs/>
          <w:color w:val="auto"/>
        </w:rPr>
        <w:t>Outline:</w:t>
      </w:r>
    </w:p>
    <w:p w14:paraId="2AAC9BC4">
      <w:pPr>
        <w:pStyle w:val="29"/>
        <w:numPr>
          <w:ilvl w:val="0"/>
          <w:numId w:val="2"/>
        </w:numPr>
        <w:jc w:val="both"/>
      </w:pPr>
      <w:r>
        <w:t>Fabrication of GeSe samples for in-situ TEM compression testing</w:t>
      </w:r>
    </w:p>
    <w:p w14:paraId="3AE0892B">
      <w:pPr>
        <w:pStyle w:val="29"/>
        <w:numPr>
          <w:ilvl w:val="0"/>
          <w:numId w:val="2"/>
        </w:numPr>
        <w:jc w:val="both"/>
      </w:pPr>
      <w:r>
        <w:t xml:space="preserve">Critical strain for chair-boat transition in GeSe ceramic crystal </w:t>
      </w:r>
    </w:p>
    <w:p w14:paraId="52FAFDBA">
      <w:pPr>
        <w:pStyle w:val="29"/>
        <w:numPr>
          <w:ilvl w:val="0"/>
          <w:numId w:val="2"/>
        </w:numPr>
        <w:jc w:val="both"/>
      </w:pPr>
      <w:r>
        <w:t xml:space="preserve">Reproducibility of chair-boat-transition induced superplasticity in GeSe samples </w:t>
      </w:r>
    </w:p>
    <w:p w14:paraId="3D622EDB">
      <w:pPr>
        <w:pStyle w:val="29"/>
        <w:numPr>
          <w:ilvl w:val="0"/>
          <w:numId w:val="2"/>
        </w:numPr>
        <w:jc w:val="both"/>
      </w:pPr>
      <w:r>
        <w:t>Lattice variation and mechanical stability of GeSe under uniaxial compressive strain</w:t>
      </w:r>
    </w:p>
    <w:p w14:paraId="7AAC6B36">
      <w:pPr>
        <w:pStyle w:val="29"/>
        <w:numPr>
          <w:ilvl w:val="0"/>
          <w:numId w:val="2"/>
        </w:numPr>
        <w:jc w:val="both"/>
      </w:pPr>
      <w:r>
        <w:t>Chair-boat transition mechanism of GeSe under compression strain</w:t>
      </w:r>
    </w:p>
    <w:p w14:paraId="2A9603A0">
      <w:pPr>
        <w:pStyle w:val="29"/>
        <w:numPr>
          <w:ilvl w:val="0"/>
          <w:numId w:val="2"/>
        </w:numPr>
      </w:pPr>
      <w:r>
        <w:t>Machine learning force field training and validation</w:t>
      </w:r>
    </w:p>
    <w:p w14:paraId="4399FDCA">
      <w:pPr>
        <w:pStyle w:val="29"/>
        <w:numPr>
          <w:ilvl w:val="0"/>
          <w:numId w:val="2"/>
        </w:numPr>
        <w:jc w:val="both"/>
      </w:pPr>
      <w:r>
        <w:t xml:space="preserve">Molecular dynamic simulation for chair-boat transition </w:t>
      </w:r>
      <w:r>
        <w:rPr>
          <w:rFonts w:hint="eastAsia"/>
        </w:rPr>
        <w:t xml:space="preserve">in </w:t>
      </w:r>
      <w:r>
        <w:t>GeSe</w:t>
      </w:r>
    </w:p>
    <w:p w14:paraId="664D1970">
      <w:pPr>
        <w:pStyle w:val="29"/>
        <w:numPr>
          <w:ilvl w:val="0"/>
          <w:numId w:val="2"/>
        </w:numPr>
        <w:jc w:val="both"/>
      </w:pPr>
      <w:bookmarkStart w:id="6" w:name="OLE_LINK39"/>
      <w:r>
        <w:t>Lattice bending in GeSe with compressing strain along armchair direction</w:t>
      </w:r>
      <w:bookmarkEnd w:id="6"/>
    </w:p>
    <w:p w14:paraId="6532D996">
      <w:pPr>
        <w:pStyle w:val="29"/>
        <w:numPr>
          <w:ilvl w:val="0"/>
          <w:numId w:val="2"/>
        </w:numPr>
        <w:jc w:val="both"/>
      </w:pPr>
      <w:bookmarkStart w:id="7" w:name="OLE_LINK11"/>
      <w:r>
        <w:t>Observation of interlayer sliding in GeSe with compressing strain along</w:t>
      </w:r>
      <w:r>
        <w:rPr>
          <w:rFonts w:hint="eastAsia"/>
        </w:rPr>
        <w:t xml:space="preserve"> &lt;021&gt;</w:t>
      </w:r>
      <w:r>
        <w:t xml:space="preserve"> direction</w:t>
      </w:r>
      <w:r>
        <w:rPr>
          <w:rFonts w:hint="eastAsia"/>
        </w:rPr>
        <w:t xml:space="preserve"> (</w:t>
      </w:r>
      <m:oMath>
        <m:r>
          <m:rPr>
            <m:sty m:val="bi"/>
          </m:rPr>
          <w:rPr>
            <w:rFonts w:hint="eastAsia" w:ascii="Cambria Math" w:hAnsi="Cambria Math"/>
          </w:rPr>
          <m:t>θ</m:t>
        </m:r>
      </m:oMath>
      <w:r>
        <w:rPr>
          <w:rFonts w:hint="eastAsia"/>
        </w:rPr>
        <w:t xml:space="preserve"> = 45°)</w:t>
      </w:r>
      <w:r>
        <w:t xml:space="preserve"> </w:t>
      </w:r>
    </w:p>
    <w:bookmarkEnd w:id="7"/>
    <w:p w14:paraId="75F6C62E">
      <w:pPr>
        <w:pStyle w:val="29"/>
        <w:numPr>
          <w:ilvl w:val="0"/>
          <w:numId w:val="2"/>
        </w:numPr>
        <w:jc w:val="both"/>
      </w:pPr>
      <w:r>
        <w:t xml:space="preserve">Observation of </w:t>
      </w:r>
      <w:bookmarkStart w:id="8" w:name="OLE_LINK38"/>
      <w:r>
        <w:t>chair-boat-transition</w:t>
      </w:r>
      <w:bookmarkEnd w:id="8"/>
      <w:r>
        <w:t xml:space="preserve"> in GeSe samples with compressing strain along zigzag direction </w:t>
      </w:r>
    </w:p>
    <w:p w14:paraId="1F038B76">
      <w:pPr>
        <w:pStyle w:val="29"/>
        <w:numPr>
          <w:ilvl w:val="0"/>
          <w:numId w:val="2"/>
        </w:numPr>
        <w:jc w:val="both"/>
      </w:pPr>
      <w:r>
        <w:t xml:space="preserve">Anisotropic mechanical property of GeSe </w:t>
      </w:r>
    </w:p>
    <w:p w14:paraId="4695411E">
      <w:pPr>
        <w:pStyle w:val="29"/>
        <w:numPr>
          <w:ilvl w:val="0"/>
          <w:numId w:val="2"/>
        </w:numPr>
        <w:jc w:val="both"/>
      </w:pPr>
      <w:r>
        <w:t xml:space="preserve">Comparison of ultimate engineering stress and </w:t>
      </w:r>
      <w:r>
        <w:rPr>
          <w:rFonts w:hint="eastAsia"/>
        </w:rPr>
        <w:t xml:space="preserve">plastic </w:t>
      </w:r>
      <w:r>
        <w:t>strain for GeSe and other materials</w:t>
      </w:r>
    </w:p>
    <w:p w14:paraId="6609FBB7">
      <w:pPr>
        <w:pStyle w:val="29"/>
        <w:numPr>
          <w:ilvl w:val="0"/>
          <w:numId w:val="2"/>
        </w:numPr>
        <w:jc w:val="both"/>
      </w:pPr>
      <w:r>
        <w:t>Applicability chair-boat-transition</w:t>
      </w:r>
      <w:r>
        <w:rPr>
          <w:rFonts w:hint="eastAsia"/>
        </w:rPr>
        <w:t>-</w:t>
      </w:r>
      <w:r>
        <w:t>mediated super</w:t>
      </w:r>
      <w:r>
        <w:rPr>
          <w:rFonts w:hint="eastAsia"/>
        </w:rPr>
        <w:t>p</w:t>
      </w:r>
      <w:r>
        <w:t>lasticity to other materials</w:t>
      </w:r>
    </w:p>
    <w:p w14:paraId="1C293473">
      <w:pPr>
        <w:pStyle w:val="29"/>
        <w:ind w:firstLine="0"/>
      </w:pPr>
    </w:p>
    <w:p w14:paraId="73CDD473">
      <w:pPr>
        <w:spacing w:after="156"/>
        <w:rPr>
          <w:rFonts w:hint="eastAsia"/>
        </w:rPr>
      </w:pPr>
    </w:p>
    <w:p w14:paraId="3A5C3437">
      <w:pPr>
        <w:widowControl/>
        <w:ind w:firstLine="723"/>
        <w:jc w:val="left"/>
        <w:rPr>
          <w:rFonts w:ascii="Times New Roman" w:hAnsi="Times New Roman" w:eastAsia="宋体"/>
          <w:iCs/>
          <w:sz w:val="24"/>
          <w:szCs w:val="24"/>
        </w:rPr>
      </w:pPr>
      <w:r>
        <w:rPr>
          <w:rFonts w:ascii="Times New Roman" w:hAnsi="Times New Roman" w:eastAsia="宋体"/>
          <w:iCs/>
          <w:sz w:val="24"/>
          <w:szCs w:val="24"/>
        </w:rPr>
        <w:br w:type="page"/>
      </w:r>
    </w:p>
    <w:p w14:paraId="7E4C064E">
      <w:pPr>
        <w:pStyle w:val="29"/>
        <w:numPr>
          <w:ilvl w:val="0"/>
          <w:numId w:val="3"/>
        </w:numPr>
      </w:pPr>
      <w:r>
        <w:t>Fabrication of GeSe samples for in-situ TEM compression</w:t>
      </w:r>
      <w:r>
        <w:rPr>
          <w:rFonts w:hint="eastAsia"/>
        </w:rPr>
        <w:t xml:space="preserve"> </w:t>
      </w:r>
      <w:r>
        <w:t>testing</w:t>
      </w:r>
    </w:p>
    <w:p w14:paraId="7B1EB197">
      <w:pPr>
        <w:tabs>
          <w:tab w:val="left" w:pos="2705"/>
        </w:tabs>
        <w:spacing w:after="156" w:afterLines="50" w:line="360" w:lineRule="auto"/>
        <w:rPr>
          <w:rFonts w:ascii="Times New Roman" w:hAnsi="Times New Roman" w:cs="Times New Roman"/>
          <w:sz w:val="24"/>
          <w:szCs w:val="24"/>
        </w:rPr>
      </w:pPr>
      <w:r>
        <w:rPr>
          <w:rFonts w:hint="eastAsia" w:ascii="Times New Roman" w:hAnsi="Times New Roman" w:cs="Times New Roman"/>
          <w:sz w:val="24"/>
          <w:szCs w:val="24"/>
        </w:rPr>
        <w:t>T</w:t>
      </w:r>
      <w:r>
        <w:rPr>
          <w:rFonts w:ascii="Times New Roman" w:hAnsi="Times New Roman" w:cs="Times New Roman"/>
          <w:sz w:val="24"/>
          <w:szCs w:val="24"/>
        </w:rPr>
        <w:t>o investigate the superplastic deformation behavior of GeSe</w:t>
      </w:r>
      <w:r>
        <w:rPr>
          <w:rFonts w:hint="eastAsia" w:ascii="Times New Roman" w:hAnsi="Times New Roman" w:cs="Times New Roman"/>
          <w:sz w:val="24"/>
          <w:szCs w:val="24"/>
        </w:rPr>
        <w:t>,</w:t>
      </w:r>
      <w:r>
        <w:rPr>
          <w:rFonts w:ascii="Times New Roman" w:hAnsi="Times New Roman" w:cs="Times New Roman"/>
          <w:sz w:val="24"/>
          <w:szCs w:val="24"/>
        </w:rPr>
        <w:t xml:space="preserve"> </w:t>
      </w:r>
      <w:r>
        <w:rPr>
          <w:rFonts w:hint="eastAsia" w:ascii="Times New Roman" w:hAnsi="Times New Roman" w:cs="Times New Roman"/>
          <w:sz w:val="24"/>
          <w:szCs w:val="24"/>
        </w:rPr>
        <w:t>w</w:t>
      </w:r>
      <w:r>
        <w:rPr>
          <w:rFonts w:ascii="Times New Roman" w:hAnsi="Times New Roman" w:cs="Times New Roman"/>
          <w:sz w:val="24"/>
          <w:szCs w:val="24"/>
        </w:rPr>
        <w:t>e employed in</w:t>
      </w:r>
      <w:r>
        <w:rPr>
          <w:rFonts w:hint="eastAsia" w:ascii="Times New Roman" w:hAnsi="Times New Roman" w:cs="Times New Roman"/>
          <w:sz w:val="24"/>
          <w:szCs w:val="24"/>
        </w:rPr>
        <w:t>-</w:t>
      </w:r>
      <w:r>
        <w:rPr>
          <w:rFonts w:ascii="Times New Roman" w:hAnsi="Times New Roman" w:cs="Times New Roman"/>
          <w:sz w:val="24"/>
          <w:szCs w:val="24"/>
        </w:rPr>
        <w:t xml:space="preserve">situ transmission electron microscopy (TEM) compression testing. Compression specimens were fabricated from as-grown single-crystalline GeSe using a focused ion beam (FIB) technique. Gallium ion beam currents ranging from 9.3 nA to 10 pA (working voltage 30 kV) were used from coarse milling to final polishing. Prior to microfabrication of compression </w:t>
      </w:r>
      <w:r>
        <w:rPr>
          <w:rFonts w:hint="eastAsia" w:ascii="Times New Roman" w:hAnsi="Times New Roman" w:cs="Times New Roman"/>
          <w:sz w:val="24"/>
          <w:szCs w:val="24"/>
        </w:rPr>
        <w:t>samples</w:t>
      </w:r>
      <w:r>
        <w:rPr>
          <w:rFonts w:ascii="Times New Roman" w:hAnsi="Times New Roman" w:cs="Times New Roman"/>
          <w:sz w:val="24"/>
          <w:szCs w:val="24"/>
        </w:rPr>
        <w:t xml:space="preserve"> with specific crystallographic orientations, the orientation of the GeSe crystal mounted on the stage was determined by electron backscatter diffraction (EBSD).</w:t>
      </w:r>
      <w:r>
        <w:rPr>
          <w:rFonts w:hint="eastAsia" w:ascii="Times New Roman" w:hAnsi="Times New Roman" w:cs="Times New Roman"/>
          <w:sz w:val="24"/>
          <w:szCs w:val="24"/>
        </w:rPr>
        <w:t xml:space="preserve"> </w:t>
      </w:r>
    </w:p>
    <w:p w14:paraId="4F5A770C">
      <w:pPr>
        <w:tabs>
          <w:tab w:val="left" w:pos="2705"/>
        </w:tabs>
        <w:spacing w:after="156" w:afterLines="50" w:line="360" w:lineRule="auto"/>
        <w:rPr>
          <w:rFonts w:ascii="Times New Roman" w:hAnsi="Times New Roman" w:cs="Times New Roman"/>
          <w:sz w:val="24"/>
          <w:szCs w:val="24"/>
        </w:rPr>
      </w:pPr>
      <w:r>
        <w:rPr>
          <w:rFonts w:ascii="Times New Roman" w:hAnsi="Times New Roman" w:cs="Times New Roman"/>
          <w:sz w:val="24"/>
          <w:szCs w:val="24"/>
        </w:rPr>
        <w:t xml:space="preserve">The fabrication process of GeSe </w:t>
      </w:r>
      <w:r>
        <w:rPr>
          <w:rFonts w:hint="eastAsia" w:ascii="Times New Roman" w:hAnsi="Times New Roman" w:cs="Times New Roman"/>
          <w:sz w:val="24"/>
          <w:szCs w:val="24"/>
        </w:rPr>
        <w:t xml:space="preserve">samples </w:t>
      </w:r>
      <w:r>
        <w:rPr>
          <w:rFonts w:ascii="Times New Roman" w:hAnsi="Times New Roman" w:cs="Times New Roman"/>
          <w:sz w:val="24"/>
          <w:szCs w:val="24"/>
        </w:rPr>
        <w:t>involved the following steps. First, a thin lamella was milled from a bulk GeSe crystal and subsequently cut and transferred onto a TEM half-grid fixed by Pt deposition (Supplementary Fig. 1a–d). Second, the lamella was laterally narrowed to form a strip array with a width of approximately 3 μm and further milled into an array of cylindrical pillars with diameters ranging from ~100 nm to several micrometers (Supplementary Fig. 1e,f). Third, in</w:t>
      </w:r>
      <w:r>
        <w:rPr>
          <w:rFonts w:hint="eastAsia" w:ascii="Times New Roman" w:hAnsi="Times New Roman" w:cs="Times New Roman"/>
          <w:sz w:val="24"/>
          <w:szCs w:val="24"/>
        </w:rPr>
        <w:t>-</w:t>
      </w:r>
      <w:r>
        <w:rPr>
          <w:rFonts w:ascii="Times New Roman" w:hAnsi="Times New Roman" w:cs="Times New Roman"/>
          <w:sz w:val="24"/>
          <w:szCs w:val="24"/>
        </w:rPr>
        <w:t>situ compression experiments were performed inside the TEM using a high-precision mechanical testing holder (Bruker PI95) equipped with a diamond flat punch. The diamond punch was sequentially brought into contact with individual GeSe pillars and used to apply uniaxial compressive strain (Fig. 1c</w:t>
      </w:r>
      <w:r>
        <w:rPr>
          <w:rFonts w:hint="eastAsia" w:ascii="Times New Roman" w:hAnsi="Times New Roman" w:cs="Times New Roman"/>
          <w:sz w:val="24"/>
          <w:szCs w:val="24"/>
        </w:rPr>
        <w:t xml:space="preserve"> in main text</w:t>
      </w:r>
      <w:r>
        <w:rPr>
          <w:rFonts w:ascii="Times New Roman" w:hAnsi="Times New Roman" w:cs="Times New Roman"/>
          <w:sz w:val="24"/>
          <w:szCs w:val="24"/>
        </w:rPr>
        <w:t>). The strain was evaluated by measuring the axial deformation of the GeSe pillars along the loading direction during compression. Finally, load–displacement curves were obtained and subsequently converted into the corresponding stress–strain curves (Fig. 1d</w:t>
      </w:r>
      <w:r>
        <w:rPr>
          <w:rFonts w:hint="eastAsia" w:ascii="Times New Roman" w:hAnsi="Times New Roman" w:cs="Times New Roman"/>
          <w:sz w:val="24"/>
          <w:szCs w:val="24"/>
        </w:rPr>
        <w:t xml:space="preserve"> in main text</w:t>
      </w:r>
      <w:r>
        <w:rPr>
          <w:rFonts w:ascii="Times New Roman" w:hAnsi="Times New Roman" w:cs="Times New Roman"/>
          <w:sz w:val="24"/>
          <w:szCs w:val="24"/>
        </w:rPr>
        <w:t>).</w:t>
      </w:r>
    </w:p>
    <w:p w14:paraId="468E041E">
      <w:pPr>
        <w:tabs>
          <w:tab w:val="left" w:pos="2705"/>
        </w:tabs>
        <w:spacing w:after="156" w:afterLines="50" w:line="360" w:lineRule="auto"/>
        <w:rPr>
          <w:rFonts w:ascii="Times New Roman" w:hAnsi="Times New Roman" w:eastAsia="等线" w:cs="Times New Roman"/>
          <w:sz w:val="24"/>
          <w:szCs w:val="24"/>
        </w:rPr>
      </w:pPr>
    </w:p>
    <w:p w14:paraId="24C65075">
      <w:pPr>
        <w:tabs>
          <w:tab w:val="left" w:pos="2705"/>
        </w:tabs>
        <w:spacing w:after="156" w:afterLines="50" w:line="360" w:lineRule="auto"/>
        <w:rPr>
          <w:rFonts w:ascii="Times New Roman" w:hAnsi="Times New Roman" w:eastAsia="等线" w:cs="Times New Roman"/>
          <w:sz w:val="24"/>
          <w:szCs w:val="24"/>
        </w:rPr>
      </w:pPr>
      <w:r>
        <w:rPr>
          <w:rFonts w:ascii="Times New Roman" w:hAnsi="Times New Roman" w:eastAsia="等线" w:cs="Times New Roman"/>
          <w:sz w:val="24"/>
          <w:szCs w:val="24"/>
        </w:rPr>
        <w:drawing>
          <wp:inline distT="0" distB="0" distL="0" distR="0">
            <wp:extent cx="5672455" cy="3711575"/>
            <wp:effectExtent l="0" t="0" r="4445" b="3175"/>
            <wp:docPr id="300670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67006" name="图片 1"/>
                    <pic:cNvPicPr>
                      <a:picLocks noChangeAspect="1"/>
                    </pic:cNvPicPr>
                  </pic:nvPicPr>
                  <pic:blipFill>
                    <a:blip r:embed="rId6"/>
                    <a:stretch>
                      <a:fillRect/>
                    </a:stretch>
                  </pic:blipFill>
                  <pic:spPr>
                    <a:xfrm>
                      <a:off x="0" y="0"/>
                      <a:ext cx="5680768" cy="3716673"/>
                    </a:xfrm>
                    <a:prstGeom prst="rect">
                      <a:avLst/>
                    </a:prstGeom>
                  </pic:spPr>
                </pic:pic>
              </a:graphicData>
            </a:graphic>
          </wp:inline>
        </w:drawing>
      </w:r>
    </w:p>
    <w:p w14:paraId="67096946">
      <w:pPr>
        <w:tabs>
          <w:tab w:val="left" w:pos="2705"/>
        </w:tabs>
        <w:spacing w:after="156" w:afterLines="50" w:line="360" w:lineRule="auto"/>
        <w:rPr>
          <w:rFonts w:ascii="Times New Roman" w:hAnsi="Times New Roman" w:eastAsia="等线" w:cs="Times New Roman"/>
          <w:sz w:val="24"/>
          <w:szCs w:val="24"/>
        </w:rPr>
      </w:pPr>
      <w:r>
        <w:rPr>
          <w:rFonts w:ascii="Times New Roman" w:hAnsi="Times New Roman" w:eastAsia="等线" w:cs="Times New Roman"/>
          <w:b/>
          <w:bCs/>
          <w:sz w:val="24"/>
          <w:szCs w:val="24"/>
        </w:rPr>
        <w:t xml:space="preserve">Supplementary Figure </w:t>
      </w:r>
      <w:r>
        <w:rPr>
          <w:rFonts w:hint="eastAsia" w:ascii="Times New Roman" w:hAnsi="Times New Roman" w:eastAsia="等线" w:cs="Times New Roman"/>
          <w:b/>
          <w:bCs/>
          <w:sz w:val="24"/>
          <w:szCs w:val="24"/>
        </w:rPr>
        <w:t>1</w:t>
      </w:r>
      <w:r>
        <w:rPr>
          <w:rFonts w:ascii="Times New Roman" w:hAnsi="Times New Roman" w:eastAsia="等线" w:cs="Times New Roman"/>
          <w:b/>
          <w:bCs/>
          <w:sz w:val="24"/>
          <w:szCs w:val="24"/>
        </w:rPr>
        <w:t>. Focused ion beam (FIB) fabrication procedure of GeSe nanopillars for TEM measurements.</w:t>
      </w:r>
      <w:r>
        <w:rPr>
          <w:rFonts w:ascii="Times New Roman" w:hAnsi="Times New Roman" w:eastAsia="等线" w:cs="Times New Roman"/>
          <w:sz w:val="24"/>
          <w:szCs w:val="24"/>
        </w:rPr>
        <w:t xml:space="preserve"> </w:t>
      </w:r>
      <w:r>
        <w:rPr>
          <w:rFonts w:ascii="Times New Roman" w:hAnsi="Times New Roman" w:eastAsia="等线" w:cs="Times New Roman"/>
          <w:b/>
          <w:bCs/>
          <w:sz w:val="24"/>
          <w:szCs w:val="24"/>
        </w:rPr>
        <w:t>a</w:t>
      </w:r>
      <w:r>
        <w:rPr>
          <w:rFonts w:hint="eastAsia" w:ascii="Times New Roman" w:hAnsi="Times New Roman" w:eastAsia="等线" w:cs="Times New Roman"/>
          <w:sz w:val="24"/>
          <w:szCs w:val="24"/>
        </w:rPr>
        <w:t>,</w:t>
      </w:r>
      <w:r>
        <w:rPr>
          <w:rFonts w:ascii="Times New Roman" w:hAnsi="Times New Roman" w:eastAsia="等线" w:cs="Times New Roman"/>
          <w:sz w:val="24"/>
          <w:szCs w:val="24"/>
        </w:rPr>
        <w:t xml:space="preserve"> SEM image acquired during Ga⁺ FIB milling of the GeSe sample, in which two trenches are milled and a thin GeSe lamella is isolated by a U-shaped cut.</w:t>
      </w:r>
      <w:r>
        <w:rPr>
          <w:rFonts w:hint="eastAsia" w:ascii="Times New Roman" w:hAnsi="Times New Roman" w:eastAsia="等线" w:cs="Times New Roman"/>
          <w:sz w:val="24"/>
          <w:szCs w:val="24"/>
        </w:rPr>
        <w:t xml:space="preserve"> </w:t>
      </w:r>
      <w:r>
        <w:rPr>
          <w:rFonts w:ascii="Times New Roman" w:hAnsi="Times New Roman" w:eastAsia="等线" w:cs="Times New Roman"/>
          <w:b/>
          <w:bCs/>
          <w:sz w:val="24"/>
          <w:szCs w:val="24"/>
        </w:rPr>
        <w:t>b</w:t>
      </w:r>
      <w:r>
        <w:rPr>
          <w:rFonts w:hint="eastAsia" w:ascii="Times New Roman" w:hAnsi="Times New Roman" w:eastAsia="等线" w:cs="Times New Roman"/>
          <w:sz w:val="24"/>
          <w:szCs w:val="24"/>
        </w:rPr>
        <w:t xml:space="preserve">, </w:t>
      </w:r>
      <w:r>
        <w:rPr>
          <w:rFonts w:ascii="Times New Roman" w:hAnsi="Times New Roman" w:eastAsia="等线" w:cs="Times New Roman"/>
          <w:sz w:val="24"/>
          <w:szCs w:val="24"/>
        </w:rPr>
        <w:t>The GeSe lamella welded to an EasyLift micromanipulator via in</w:t>
      </w:r>
      <w:r>
        <w:rPr>
          <w:rFonts w:hint="eastAsia" w:ascii="Times New Roman" w:hAnsi="Times New Roman" w:eastAsia="等线" w:cs="Times New Roman"/>
          <w:sz w:val="24"/>
          <w:szCs w:val="24"/>
        </w:rPr>
        <w:t>-</w:t>
      </w:r>
      <w:r>
        <w:rPr>
          <w:rFonts w:ascii="Times New Roman" w:hAnsi="Times New Roman" w:eastAsia="等线" w:cs="Times New Roman"/>
          <w:sz w:val="24"/>
          <w:szCs w:val="24"/>
        </w:rPr>
        <w:t>situ Pt deposition.</w:t>
      </w:r>
      <w:r>
        <w:rPr>
          <w:rFonts w:hint="eastAsia" w:ascii="Times New Roman" w:hAnsi="Times New Roman" w:eastAsia="等线" w:cs="Times New Roman"/>
          <w:sz w:val="24"/>
          <w:szCs w:val="24"/>
        </w:rPr>
        <w:t xml:space="preserve"> </w:t>
      </w:r>
      <w:r>
        <w:rPr>
          <w:rFonts w:ascii="Times New Roman" w:hAnsi="Times New Roman" w:eastAsia="等线" w:cs="Times New Roman"/>
          <w:b/>
          <w:bCs/>
          <w:sz w:val="24"/>
          <w:szCs w:val="24"/>
        </w:rPr>
        <w:t>c</w:t>
      </w:r>
      <w:r>
        <w:rPr>
          <w:rFonts w:hint="eastAsia" w:ascii="Times New Roman" w:hAnsi="Times New Roman" w:eastAsia="等线" w:cs="Times New Roman"/>
          <w:sz w:val="24"/>
          <w:szCs w:val="24"/>
        </w:rPr>
        <w:t>,</w:t>
      </w:r>
      <w:r>
        <w:rPr>
          <w:rFonts w:ascii="Times New Roman" w:hAnsi="Times New Roman" w:eastAsia="等线" w:cs="Times New Roman"/>
          <w:sz w:val="24"/>
          <w:szCs w:val="24"/>
        </w:rPr>
        <w:t xml:space="preserve"> After severing the remaining connection to the bulk, the lamella is lifted out using the EasyLift probe.</w:t>
      </w:r>
      <w:r>
        <w:rPr>
          <w:rFonts w:hint="eastAsia" w:ascii="Times New Roman" w:hAnsi="Times New Roman" w:eastAsia="等线" w:cs="Times New Roman"/>
          <w:sz w:val="24"/>
          <w:szCs w:val="24"/>
        </w:rPr>
        <w:t xml:space="preserve"> </w:t>
      </w:r>
      <w:r>
        <w:rPr>
          <w:rFonts w:ascii="Times New Roman" w:hAnsi="Times New Roman" w:eastAsia="等线" w:cs="Times New Roman"/>
          <w:b/>
          <w:bCs/>
          <w:sz w:val="24"/>
          <w:szCs w:val="24"/>
        </w:rPr>
        <w:t>d</w:t>
      </w:r>
      <w:r>
        <w:rPr>
          <w:rFonts w:hint="eastAsia" w:ascii="Times New Roman" w:hAnsi="Times New Roman" w:eastAsia="等线" w:cs="Times New Roman"/>
          <w:sz w:val="24"/>
          <w:szCs w:val="24"/>
        </w:rPr>
        <w:t>,</w:t>
      </w:r>
      <w:r>
        <w:rPr>
          <w:rFonts w:ascii="Times New Roman" w:hAnsi="Times New Roman" w:eastAsia="等线" w:cs="Times New Roman"/>
          <w:sz w:val="24"/>
          <w:szCs w:val="24"/>
        </w:rPr>
        <w:t xml:space="preserve"> The extracted GeSe lamella fixed onto the top edge of a TEM grid by Pt deposition.</w:t>
      </w:r>
      <w:r>
        <w:rPr>
          <w:rFonts w:hint="eastAsia" w:ascii="Times New Roman" w:hAnsi="Times New Roman" w:eastAsia="等线" w:cs="Times New Roman"/>
          <w:sz w:val="24"/>
          <w:szCs w:val="24"/>
        </w:rPr>
        <w:t xml:space="preserve"> </w:t>
      </w:r>
      <w:r>
        <w:rPr>
          <w:rFonts w:ascii="Times New Roman" w:hAnsi="Times New Roman" w:eastAsia="等线" w:cs="Times New Roman"/>
          <w:b/>
          <w:bCs/>
          <w:sz w:val="24"/>
          <w:szCs w:val="24"/>
        </w:rPr>
        <w:t>e</w:t>
      </w:r>
      <w:r>
        <w:rPr>
          <w:rFonts w:hint="eastAsia" w:ascii="Times New Roman" w:hAnsi="Times New Roman" w:eastAsia="等线" w:cs="Times New Roman"/>
          <w:sz w:val="24"/>
          <w:szCs w:val="24"/>
        </w:rPr>
        <w:t>,</w:t>
      </w:r>
      <w:r>
        <w:rPr>
          <w:rFonts w:ascii="Times New Roman" w:hAnsi="Times New Roman" w:eastAsia="等线" w:cs="Times New Roman"/>
          <w:sz w:val="24"/>
          <w:szCs w:val="24"/>
        </w:rPr>
        <w:t xml:space="preserve"> </w:t>
      </w:r>
      <w:r>
        <w:rPr>
          <w:rFonts w:hint="eastAsia" w:ascii="Times New Roman" w:hAnsi="Times New Roman" w:eastAsia="等线" w:cs="Times New Roman"/>
          <w:sz w:val="24"/>
          <w:szCs w:val="24"/>
        </w:rPr>
        <w:t>M</w:t>
      </w:r>
      <w:r>
        <w:rPr>
          <w:rFonts w:ascii="Times New Roman" w:hAnsi="Times New Roman" w:eastAsia="等线" w:cs="Times New Roman"/>
          <w:sz w:val="24"/>
          <w:szCs w:val="24"/>
        </w:rPr>
        <w:t xml:space="preserve">ultiple square cross-sectioned rectangular </w:t>
      </w:r>
      <w:r>
        <w:rPr>
          <w:rFonts w:hint="eastAsia" w:ascii="Times New Roman" w:hAnsi="Times New Roman" w:eastAsia="等线" w:cs="Times New Roman"/>
          <w:sz w:val="24"/>
          <w:szCs w:val="24"/>
        </w:rPr>
        <w:t xml:space="preserve">GeSe </w:t>
      </w:r>
      <w:r>
        <w:rPr>
          <w:rFonts w:ascii="Times New Roman" w:hAnsi="Times New Roman" w:eastAsia="等线" w:cs="Times New Roman"/>
          <w:sz w:val="24"/>
          <w:szCs w:val="24"/>
        </w:rPr>
        <w:t>blocks patterned by stepwise FIB milling.</w:t>
      </w:r>
      <w:r>
        <w:rPr>
          <w:rFonts w:hint="eastAsia" w:ascii="Times New Roman" w:hAnsi="Times New Roman" w:eastAsia="等线" w:cs="Times New Roman"/>
          <w:sz w:val="24"/>
          <w:szCs w:val="24"/>
        </w:rPr>
        <w:t xml:space="preserve"> </w:t>
      </w:r>
      <w:r>
        <w:rPr>
          <w:rFonts w:ascii="Times New Roman" w:hAnsi="Times New Roman" w:eastAsia="等线" w:cs="Times New Roman"/>
          <w:b/>
          <w:bCs/>
          <w:sz w:val="24"/>
          <w:szCs w:val="24"/>
        </w:rPr>
        <w:t>f</w:t>
      </w:r>
      <w:r>
        <w:rPr>
          <w:rFonts w:hint="eastAsia" w:ascii="Times New Roman" w:hAnsi="Times New Roman" w:eastAsia="等线" w:cs="Times New Roman"/>
          <w:sz w:val="24"/>
          <w:szCs w:val="24"/>
        </w:rPr>
        <w:t>,</w:t>
      </w:r>
      <w:r>
        <w:rPr>
          <w:rFonts w:ascii="Times New Roman" w:hAnsi="Times New Roman" w:eastAsia="等线" w:cs="Times New Roman"/>
          <w:sz w:val="24"/>
          <w:szCs w:val="24"/>
        </w:rPr>
        <w:t xml:space="preserve"> Final cylindrical GeSe nanopillars obtained through annular FIB milling.</w:t>
      </w:r>
    </w:p>
    <w:p w14:paraId="6F189B49">
      <w:pPr>
        <w:tabs>
          <w:tab w:val="left" w:pos="2705"/>
        </w:tabs>
        <w:spacing w:after="156" w:afterLines="50" w:line="360" w:lineRule="auto"/>
        <w:rPr>
          <w:rFonts w:ascii="Times New Roman" w:hAnsi="Times New Roman" w:eastAsia="等线" w:cs="Times New Roman"/>
          <w:sz w:val="24"/>
          <w:szCs w:val="24"/>
        </w:rPr>
      </w:pPr>
    </w:p>
    <w:p w14:paraId="09758748">
      <w:pPr>
        <w:tabs>
          <w:tab w:val="left" w:pos="2705"/>
        </w:tabs>
        <w:spacing w:after="156" w:afterLines="50" w:line="360" w:lineRule="auto"/>
        <w:rPr>
          <w:rFonts w:ascii="Times New Roman" w:hAnsi="Times New Roman" w:eastAsia="等线" w:cs="Times New Roman"/>
          <w:sz w:val="24"/>
          <w:szCs w:val="24"/>
        </w:rPr>
      </w:pPr>
    </w:p>
    <w:p w14:paraId="42D73DAB">
      <w:pPr>
        <w:tabs>
          <w:tab w:val="left" w:pos="2705"/>
        </w:tabs>
        <w:spacing w:after="156" w:afterLines="50" w:line="360" w:lineRule="auto"/>
        <w:rPr>
          <w:rFonts w:ascii="Times New Roman" w:hAnsi="Times New Roman" w:cs="Times New Roman"/>
          <w:sz w:val="24"/>
          <w:szCs w:val="24"/>
        </w:rPr>
      </w:pPr>
    </w:p>
    <w:p w14:paraId="5140BAAE">
      <w:pPr>
        <w:spacing w:after="156"/>
        <w:rPr>
          <w:rFonts w:hint="eastAsia"/>
        </w:rPr>
      </w:pPr>
    </w:p>
    <w:p w14:paraId="3B467F80">
      <w:pPr>
        <w:widowControl/>
        <w:jc w:val="left"/>
        <w:rPr>
          <w:rFonts w:ascii="Times New Roman" w:hAnsi="Times New Roman" w:eastAsia="等线" w:cs="Times New Roman"/>
          <w:sz w:val="24"/>
          <w:szCs w:val="24"/>
        </w:rPr>
      </w:pPr>
      <w:bookmarkStart w:id="9" w:name="_Hlk154261259"/>
      <w:r>
        <w:rPr>
          <w:rFonts w:ascii="Times New Roman" w:hAnsi="Times New Roman" w:eastAsia="等线" w:cs="Times New Roman"/>
          <w:sz w:val="24"/>
          <w:szCs w:val="24"/>
        </w:rPr>
        <w:br w:type="page"/>
      </w:r>
      <w:bookmarkEnd w:id="9"/>
    </w:p>
    <w:p w14:paraId="1A96269F">
      <w:pPr>
        <w:pStyle w:val="29"/>
        <w:numPr>
          <w:ilvl w:val="0"/>
          <w:numId w:val="3"/>
        </w:numPr>
      </w:pPr>
      <w:bookmarkStart w:id="10" w:name="OLE_LINK34"/>
      <w:r>
        <w:t xml:space="preserve">Critical strain for </w:t>
      </w:r>
      <w:r>
        <w:rPr>
          <w:rFonts w:hint="eastAsia"/>
        </w:rPr>
        <w:t xml:space="preserve">chair-boat transition </w:t>
      </w:r>
      <w:r>
        <w:t xml:space="preserve">in GeSe ceramic crystal </w:t>
      </w:r>
    </w:p>
    <w:bookmarkEnd w:id="10"/>
    <w:p w14:paraId="0450B186">
      <w:pPr>
        <w:pStyle w:val="10"/>
        <w:spacing w:after="0" w:afterAutospacing="0" w:line="360" w:lineRule="auto"/>
        <w:jc w:val="both"/>
        <w:rPr>
          <w:rFonts w:ascii="Times New Roman" w:hAnsi="Times New Roman" w:eastAsia="等线" w:cs="Times New Roman"/>
        </w:rPr>
      </w:pPr>
      <w:r>
        <w:rPr>
          <w:rFonts w:ascii="Times New Roman" w:hAnsi="Times New Roman" w:eastAsia="等线" w:cs="Times New Roman"/>
        </w:rPr>
        <w:t xml:space="preserve">Uniaxial compression tests were performed on 30 GeSe samples along </w:t>
      </w:r>
      <w:bookmarkStart w:id="11" w:name="OLE_LINK4"/>
      <w:r>
        <w:rPr>
          <w:rFonts w:hint="eastAsia" w:ascii="Times New Roman" w:hAnsi="Times New Roman" w:eastAsia="等线" w:cs="Times New Roman"/>
        </w:rPr>
        <w:t>[001]</w:t>
      </w:r>
      <w:r>
        <w:rPr>
          <w:rFonts w:ascii="Times New Roman" w:hAnsi="Times New Roman" w:eastAsia="等线" w:cs="Times New Roman"/>
        </w:rPr>
        <w:t xml:space="preserve"> direction</w:t>
      </w:r>
      <w:bookmarkEnd w:id="11"/>
      <w:r>
        <w:rPr>
          <w:rFonts w:hint="eastAsia" w:ascii="Times New Roman" w:hAnsi="Times New Roman" w:eastAsia="等线" w:cs="Times New Roman"/>
        </w:rPr>
        <w:t xml:space="preserve"> (the out-of-plane direction)</w:t>
      </w:r>
      <w:r>
        <w:rPr>
          <w:rFonts w:ascii="Times New Roman" w:hAnsi="Times New Roman" w:eastAsia="等线" w:cs="Times New Roman"/>
        </w:rPr>
        <w:t>, and the critical</w:t>
      </w:r>
      <w:r>
        <w:rPr>
          <w:rFonts w:hint="eastAsia" w:ascii="Times New Roman" w:hAnsi="Times New Roman" w:eastAsia="等线" w:cs="Times New Roman"/>
        </w:rPr>
        <w:t xml:space="preserve"> </w:t>
      </w:r>
      <w:r>
        <w:rPr>
          <w:rFonts w:ascii="Times New Roman" w:hAnsi="Times New Roman" w:eastAsia="等线" w:cs="Times New Roman"/>
        </w:rPr>
        <w:t>value</w:t>
      </w:r>
      <w:r>
        <w:rPr>
          <w:rFonts w:hint="eastAsia" w:ascii="Times New Roman" w:hAnsi="Times New Roman" w:eastAsia="等线" w:cs="Times New Roman"/>
        </w:rPr>
        <w:t xml:space="preserve"> of</w:t>
      </w:r>
      <w:r>
        <w:rPr>
          <w:rFonts w:ascii="Times New Roman" w:hAnsi="Times New Roman" w:eastAsia="等线" w:cs="Times New Roman"/>
        </w:rPr>
        <w:t xml:space="preserve"> strain associated with the onset of the chair–boat structural transition was statistically analyzed, as summarized in Supplementary Fig. 2. The average critical strain was determined to be approximately 6.9%, as indicated by the red dashed line in the left panel of Supplementary Fig. 2. This value is further supported by the statistical distribution and the corresponding fitting curve shown in the right panel of Supplementary Fig. 2.</w:t>
      </w:r>
      <w:r>
        <w:rPr>
          <w:rFonts w:hint="eastAsia" w:ascii="Times New Roman" w:hAnsi="Times New Roman" w:eastAsia="等线" w:cs="Times New Roman"/>
        </w:rPr>
        <w:t xml:space="preserve"> </w:t>
      </w:r>
      <w:r>
        <w:rPr>
          <w:rFonts w:ascii="Times New Roman" w:hAnsi="Times New Roman" w:eastAsia="等线" w:cs="Times New Roman"/>
        </w:rPr>
        <w:t>Supplementary Table 1 summarizes the critical strain values obtained during in</w:t>
      </w:r>
      <w:r>
        <w:rPr>
          <w:rFonts w:hint="eastAsia" w:ascii="Times New Roman" w:hAnsi="Times New Roman" w:eastAsia="等线" w:cs="Times New Roman"/>
        </w:rPr>
        <w:t>-</w:t>
      </w:r>
      <w:r>
        <w:rPr>
          <w:rFonts w:ascii="Times New Roman" w:hAnsi="Times New Roman" w:eastAsia="等线" w:cs="Times New Roman"/>
        </w:rPr>
        <w:t xml:space="preserve">situ compression of the 30 GeSe nanopillars, together with the angle between the chair–boat transformation domain and the </w:t>
      </w:r>
      <w:r>
        <w:rPr>
          <w:rFonts w:hint="eastAsia" w:ascii="Times New Roman" w:hAnsi="Times New Roman" w:eastAsia="等线" w:cs="Times New Roman"/>
        </w:rPr>
        <w:t>[001]</w:t>
      </w:r>
      <w:r>
        <w:rPr>
          <w:rFonts w:ascii="Times New Roman" w:hAnsi="Times New Roman" w:eastAsia="等线" w:cs="Times New Roman"/>
        </w:rPr>
        <w:t xml:space="preserve"> direction, as well as the diameters of the nanopillars prior </w:t>
      </w:r>
      <w:r>
        <w:rPr>
          <w:rFonts w:hint="eastAsia" w:ascii="Times New Roman" w:hAnsi="Times New Roman" w:eastAsia="等线" w:cs="Times New Roman"/>
        </w:rPr>
        <w:t>for</w:t>
      </w:r>
      <w:r>
        <w:rPr>
          <w:rFonts w:ascii="Times New Roman" w:hAnsi="Times New Roman" w:eastAsia="等线" w:cs="Times New Roman"/>
        </w:rPr>
        <w:t xml:space="preserve"> testing. The data presented in Supplementary Table 1 demonstrate</w:t>
      </w:r>
      <w:r>
        <w:rPr>
          <w:rFonts w:hint="eastAsia" w:ascii="Times New Roman" w:hAnsi="Times New Roman" w:eastAsia="等线" w:cs="Times New Roman"/>
        </w:rPr>
        <w:t>s</w:t>
      </w:r>
      <w:r>
        <w:rPr>
          <w:rFonts w:ascii="Times New Roman" w:hAnsi="Times New Roman" w:eastAsia="等线" w:cs="Times New Roman"/>
        </w:rPr>
        <w:t xml:space="preserve"> the high reproducibility of the chair–boat structural transition under uniaxial compression.</w:t>
      </w:r>
      <w:r>
        <w:rPr>
          <w:rFonts w:hint="eastAsia" w:ascii="Times New Roman" w:hAnsi="Times New Roman" w:eastAsia="等线" w:cs="Times New Roman"/>
        </w:rPr>
        <w:t xml:space="preserve"> </w:t>
      </w:r>
      <w:r>
        <w:rPr>
          <w:rFonts w:ascii="Times New Roman" w:hAnsi="Times New Roman" w:eastAsia="等线" w:cs="Times New Roman"/>
        </w:rPr>
        <w:t xml:space="preserve">In addition, representative in situ TEM images acquired immediately before and at the onset of the chair–boat transition are provided in Supplementary Fig. </w:t>
      </w:r>
      <w:r>
        <w:rPr>
          <w:rFonts w:hint="eastAsia" w:ascii="Times New Roman" w:hAnsi="Times New Roman" w:eastAsia="等线" w:cs="Times New Roman"/>
        </w:rPr>
        <w:t>3</w:t>
      </w:r>
      <w:r>
        <w:rPr>
          <w:rFonts w:ascii="Times New Roman" w:hAnsi="Times New Roman" w:eastAsia="等线" w:cs="Times New Roman"/>
        </w:rPr>
        <w:t>. For each nanopillar, the critical strain is defined as the engineering strain at which the first transformed (boat-type) domains become discernible (highlighted by the white arrows). The four examples show critical strains of 6.7–8.1%, consistent with the statistical average extracted from the 30-sample dataset, and visually illustrate the reproducible nucleation of the transformed domains at the early stage of compression.</w:t>
      </w:r>
    </w:p>
    <w:p w14:paraId="67604166">
      <w:pPr>
        <w:pStyle w:val="10"/>
        <w:spacing w:line="360" w:lineRule="auto"/>
        <w:jc w:val="both"/>
        <w:rPr>
          <w:rFonts w:ascii="Times New Roman" w:hAnsi="Times New Roman"/>
          <w:shd w:val="clear" w:color="auto" w:fill="FFFFFF"/>
        </w:rPr>
      </w:pPr>
    </w:p>
    <w:p w14:paraId="7D30614F">
      <w:pPr>
        <w:widowControl/>
        <w:spacing w:before="312" w:beforeLines="100" w:after="156" w:afterLines="50" w:line="360" w:lineRule="auto"/>
        <w:jc w:val="center"/>
        <w:rPr>
          <w:rFonts w:ascii="Times New Roman" w:hAnsi="Times New Roman" w:cs="Times New Roman"/>
          <w:sz w:val="24"/>
          <w:szCs w:val="24"/>
        </w:rPr>
      </w:pPr>
      <w:r>
        <w:drawing>
          <wp:inline distT="0" distB="0" distL="0" distR="0">
            <wp:extent cx="5546090" cy="2372360"/>
            <wp:effectExtent l="0" t="0" r="0" b="889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7"/>
                    <a:srcRect l="4802" t="5008" r="5336" b="35071"/>
                    <a:stretch>
                      <a:fillRect/>
                    </a:stretch>
                  </pic:blipFill>
                  <pic:spPr>
                    <a:xfrm>
                      <a:off x="0" y="0"/>
                      <a:ext cx="5556023" cy="2376668"/>
                    </a:xfrm>
                    <a:prstGeom prst="rect">
                      <a:avLst/>
                    </a:prstGeom>
                  </pic:spPr>
                </pic:pic>
              </a:graphicData>
            </a:graphic>
          </wp:inline>
        </w:drawing>
      </w:r>
    </w:p>
    <w:p w14:paraId="1758CBC6">
      <w:pPr>
        <w:widowControl/>
        <w:spacing w:line="360" w:lineRule="auto"/>
        <w:rPr>
          <w:rFonts w:ascii="Times New Roman" w:hAnsi="Times New Roman" w:cs="Times New Roman"/>
          <w:sz w:val="24"/>
          <w:szCs w:val="24"/>
        </w:rPr>
      </w:pPr>
      <w:r>
        <w:rPr>
          <w:rFonts w:hint="eastAsia" w:ascii="Times New Roman" w:hAnsi="Times New Roman" w:cs="Times New Roman"/>
          <w:b/>
          <w:bCs/>
          <w:sz w:val="24"/>
          <w:szCs w:val="24"/>
        </w:rPr>
        <w:t>Su</w:t>
      </w:r>
      <w:r>
        <w:rPr>
          <w:rFonts w:ascii="Times New Roman" w:hAnsi="Times New Roman" w:cs="Times New Roman"/>
          <w:b/>
          <w:bCs/>
          <w:sz w:val="24"/>
          <w:szCs w:val="24"/>
        </w:rPr>
        <w:t xml:space="preserve">pplementary Figure </w:t>
      </w:r>
      <w:r>
        <w:rPr>
          <w:rFonts w:hint="eastAsia" w:ascii="Times New Roman" w:hAnsi="Times New Roman" w:cs="Times New Roman"/>
          <w:b/>
          <w:bCs/>
          <w:sz w:val="24"/>
          <w:szCs w:val="24"/>
        </w:rPr>
        <w:t>2</w:t>
      </w:r>
      <w:r>
        <w:rPr>
          <w:rFonts w:ascii="Times New Roman" w:hAnsi="Times New Roman" w:cs="Times New Roman"/>
          <w:b/>
          <w:bCs/>
          <w:sz w:val="24"/>
          <w:szCs w:val="24"/>
        </w:rPr>
        <w:t xml:space="preserve">.  Determination of the critical strain for </w:t>
      </w:r>
      <w:bookmarkStart w:id="12" w:name="OLE_LINK26"/>
      <w:r>
        <w:rPr>
          <w:rFonts w:ascii="Times New Roman" w:hAnsi="Times New Roman" w:cs="Times New Roman"/>
          <w:b/>
          <w:bCs/>
          <w:sz w:val="24"/>
          <w:szCs w:val="24"/>
        </w:rPr>
        <w:t>chair–boat transition</w:t>
      </w:r>
      <w:bookmarkEnd w:id="12"/>
      <w:r>
        <w:rPr>
          <w:rFonts w:ascii="Times New Roman" w:hAnsi="Times New Roman" w:cs="Times New Roman"/>
          <w:b/>
          <w:bCs/>
          <w:sz w:val="24"/>
          <w:szCs w:val="24"/>
        </w:rPr>
        <w:t xml:space="preserve"> in GeSe.</w:t>
      </w:r>
      <w:r>
        <w:rPr>
          <w:rFonts w:hint="eastAsia" w:ascii="Times New Roman" w:hAnsi="Times New Roman" w:cs="Times New Roman"/>
          <w:sz w:val="24"/>
          <w:szCs w:val="24"/>
        </w:rPr>
        <w:t xml:space="preserve"> Left panel:</w:t>
      </w:r>
      <w:r>
        <w:rPr>
          <w:rFonts w:ascii="Times New Roman" w:hAnsi="Times New Roman" w:cs="Times New Roman"/>
          <w:sz w:val="24"/>
          <w:szCs w:val="24"/>
        </w:rPr>
        <w:t> </w:t>
      </w:r>
      <w:bookmarkStart w:id="13" w:name="OLE_LINK49"/>
      <w:r>
        <w:rPr>
          <w:rFonts w:ascii="Times New Roman" w:hAnsi="Times New Roman" w:cs="Times New Roman"/>
          <w:sz w:val="24"/>
          <w:szCs w:val="24"/>
        </w:rPr>
        <w:t>Critical strain</w:t>
      </w:r>
      <w:bookmarkEnd w:id="13"/>
      <w:r>
        <w:rPr>
          <w:rFonts w:ascii="Times New Roman" w:hAnsi="Times New Roman" w:cs="Times New Roman"/>
          <w:sz w:val="24"/>
          <w:szCs w:val="24"/>
        </w:rPr>
        <w:t xml:space="preserve"> at which the chair–boat structural transition is observed during in</w:t>
      </w:r>
      <w:r>
        <w:rPr>
          <w:rFonts w:hint="eastAsia" w:ascii="Times New Roman" w:hAnsi="Times New Roman" w:cs="Times New Roman"/>
          <w:sz w:val="24"/>
          <w:szCs w:val="24"/>
        </w:rPr>
        <w:t>-</w:t>
      </w:r>
      <w:r>
        <w:rPr>
          <w:rFonts w:ascii="Times New Roman" w:hAnsi="Times New Roman" w:cs="Times New Roman"/>
          <w:sz w:val="24"/>
          <w:szCs w:val="24"/>
        </w:rPr>
        <w:t>situ TEM compression for 30 individual GeSe samples.</w:t>
      </w:r>
      <w:r>
        <w:rPr>
          <w:rFonts w:ascii="Times New Roman" w:hAnsi="Times New Roman" w:eastAsia="微软雅黑"/>
          <w:sz w:val="24"/>
          <w:szCs w:val="24"/>
        </w:rPr>
        <w:t xml:space="preserve"> </w:t>
      </w:r>
      <w:r>
        <w:rPr>
          <w:rFonts w:ascii="Times New Roman" w:hAnsi="Times New Roman" w:cs="Times New Roman"/>
          <w:sz w:val="24"/>
          <w:szCs w:val="24"/>
        </w:rPr>
        <w:t>The critical strain for the emergence of plasticity is determined based on the emergence of stripy-shaped domains in TEM images</w:t>
      </w:r>
      <w:r>
        <w:rPr>
          <w:rFonts w:hint="eastAsia" w:ascii="Times New Roman" w:hAnsi="Times New Roman" w:cs="Times New Roman"/>
          <w:sz w:val="24"/>
          <w:szCs w:val="24"/>
        </w:rPr>
        <w:t>.</w:t>
      </w:r>
      <w:r>
        <w:rPr>
          <w:rFonts w:ascii="Times New Roman" w:hAnsi="Times New Roman" w:cs="Times New Roman"/>
          <w:sz w:val="24"/>
          <w:szCs w:val="24"/>
        </w:rPr>
        <w:t xml:space="preserve"> </w:t>
      </w:r>
      <w:r>
        <w:rPr>
          <w:rFonts w:hint="eastAsia" w:ascii="Times New Roman" w:hAnsi="Times New Roman" w:cs="Times New Roman"/>
          <w:sz w:val="24"/>
          <w:szCs w:val="24"/>
        </w:rPr>
        <w:t>T</w:t>
      </w:r>
      <w:r>
        <w:rPr>
          <w:rFonts w:ascii="Times New Roman" w:hAnsi="Times New Roman" w:cs="Times New Roman"/>
          <w:sz w:val="24"/>
          <w:szCs w:val="24"/>
        </w:rPr>
        <w:t xml:space="preserve">he dashed line indicating the average critical strain separating the chair and boat deformation regimes. </w:t>
      </w:r>
      <w:r>
        <w:rPr>
          <w:rFonts w:hint="eastAsia" w:ascii="Times New Roman" w:hAnsi="Times New Roman" w:cs="Times New Roman"/>
          <w:sz w:val="24"/>
          <w:szCs w:val="24"/>
        </w:rPr>
        <w:t>Right panel: Corresponding s</w:t>
      </w:r>
      <w:r>
        <w:rPr>
          <w:rFonts w:ascii="Times New Roman" w:hAnsi="Times New Roman" w:cs="Times New Roman"/>
          <w:sz w:val="24"/>
          <w:szCs w:val="24"/>
        </w:rPr>
        <w:t>tatistical distribution of the critical strains obtained from 30 GeSe samples.</w:t>
      </w:r>
    </w:p>
    <w:p w14:paraId="1F37E1CE">
      <w:pPr>
        <w:widowControl/>
        <w:spacing w:line="360" w:lineRule="auto"/>
        <w:rPr>
          <w:rFonts w:ascii="Times New Roman" w:hAnsi="Times New Roman" w:cs="Times New Roman"/>
          <w:sz w:val="24"/>
          <w:szCs w:val="24"/>
        </w:rPr>
      </w:pPr>
    </w:p>
    <w:p w14:paraId="7D9BE7AE">
      <w:pPr>
        <w:widowControl/>
        <w:spacing w:line="360" w:lineRule="auto"/>
        <w:rPr>
          <w:rFonts w:ascii="Times New Roman" w:hAnsi="Times New Roman" w:cs="Times New Roman"/>
          <w:sz w:val="24"/>
          <w:szCs w:val="24"/>
        </w:rPr>
      </w:pPr>
    </w:p>
    <w:p w14:paraId="76109A73">
      <w:pPr>
        <w:widowControl/>
        <w:autoSpaceDE w:val="0"/>
        <w:spacing w:line="360" w:lineRule="auto"/>
        <w:rPr>
          <w:rFonts w:hint="eastAsia" w:ascii="宋体" w:hAnsi="宋体" w:eastAsia="宋体" w:cs="Times New Roman"/>
          <w:sz w:val="24"/>
          <w:szCs w:val="24"/>
          <w:highlight w:val="yellow"/>
        </w:rPr>
      </w:pPr>
      <w:r>
        <w:drawing>
          <wp:inline distT="0" distB="0" distL="0" distR="0">
            <wp:extent cx="5731510" cy="3716020"/>
            <wp:effectExtent l="0" t="0" r="254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5731510" cy="3716526"/>
                    </a:xfrm>
                    <a:prstGeom prst="rect">
                      <a:avLst/>
                    </a:prstGeom>
                    <a:noFill/>
                    <a:ln>
                      <a:noFill/>
                    </a:ln>
                  </pic:spPr>
                </pic:pic>
              </a:graphicData>
            </a:graphic>
          </wp:inline>
        </w:drawing>
      </w:r>
    </w:p>
    <w:p w14:paraId="76023279">
      <w:pPr>
        <w:widowControl/>
        <w:autoSpaceDE w:val="0"/>
        <w:spacing w:before="100" w:beforeAutospacing="1" w:after="100" w:afterAutospacing="1" w:line="360" w:lineRule="auto"/>
        <w:rPr>
          <w:rFonts w:ascii="Times New Roman" w:hAnsi="Times New Roman" w:eastAsia="宋体" w:cs="Times New Roman"/>
          <w:kern w:val="0"/>
          <w:sz w:val="24"/>
          <w:szCs w:val="24"/>
        </w:rPr>
      </w:pPr>
      <w:r>
        <w:rPr>
          <w:rFonts w:ascii="Times New Roman" w:hAnsi="Times New Roman" w:eastAsia="宋体" w:cs="Times New Roman"/>
          <w:b/>
          <w:kern w:val="0"/>
          <w:sz w:val="24"/>
          <w:szCs w:val="24"/>
        </w:rPr>
        <w:t xml:space="preserve">Supplementary Figure </w:t>
      </w:r>
      <w:r>
        <w:rPr>
          <w:rFonts w:hint="eastAsia" w:ascii="Times New Roman" w:hAnsi="Times New Roman" w:eastAsia="宋体" w:cs="Times New Roman"/>
          <w:b/>
          <w:kern w:val="0"/>
          <w:sz w:val="24"/>
          <w:szCs w:val="24"/>
        </w:rPr>
        <w:t>3</w:t>
      </w:r>
      <w:r>
        <w:rPr>
          <w:rFonts w:ascii="Times New Roman" w:hAnsi="Times New Roman" w:eastAsia="宋体" w:cs="Times New Roman"/>
          <w:b/>
          <w:kern w:val="0"/>
          <w:sz w:val="24"/>
          <w:szCs w:val="24"/>
        </w:rPr>
        <w:t xml:space="preserve"> | Critical strain for the onset of the chair–boat transition in GeSe nanopillars during in</w:t>
      </w:r>
      <w:r>
        <w:rPr>
          <w:rFonts w:hint="eastAsia" w:ascii="Times New Roman" w:hAnsi="Times New Roman" w:eastAsia="宋体" w:cs="Times New Roman"/>
          <w:b/>
          <w:kern w:val="0"/>
          <w:sz w:val="24"/>
          <w:szCs w:val="24"/>
        </w:rPr>
        <w:t>-</w:t>
      </w:r>
      <w:r>
        <w:rPr>
          <w:rFonts w:ascii="Times New Roman" w:hAnsi="Times New Roman" w:eastAsia="宋体" w:cs="Times New Roman"/>
          <w:b/>
          <w:kern w:val="0"/>
          <w:sz w:val="24"/>
          <w:szCs w:val="24"/>
        </w:rPr>
        <w:t>situ compression.</w:t>
      </w:r>
      <w:r>
        <w:rPr>
          <w:rFonts w:hint="eastAsia" w:ascii="Times New Roman" w:hAnsi="Times New Roman" w:eastAsia="宋体" w:cs="Times New Roman"/>
          <w:b/>
          <w:kern w:val="0"/>
          <w:sz w:val="24"/>
          <w:szCs w:val="24"/>
        </w:rPr>
        <w:t xml:space="preserve"> </w:t>
      </w:r>
      <w:r>
        <w:rPr>
          <w:rFonts w:ascii="Times New Roman" w:hAnsi="Times New Roman" w:eastAsia="宋体" w:cs="Times New Roman"/>
          <w:b/>
          <w:bCs/>
          <w:kern w:val="0"/>
          <w:sz w:val="24"/>
          <w:szCs w:val="24"/>
        </w:rPr>
        <w:t>a</w:t>
      </w:r>
      <w:r>
        <w:rPr>
          <w:rFonts w:ascii="Times New Roman" w:hAnsi="Times New Roman" w:eastAsia="宋体" w:cs="Times New Roman"/>
          <w:kern w:val="0"/>
          <w:sz w:val="24"/>
          <w:szCs w:val="24"/>
        </w:rPr>
        <w:t>–</w:t>
      </w:r>
      <w:r>
        <w:rPr>
          <w:rFonts w:ascii="Times New Roman" w:hAnsi="Times New Roman" w:eastAsia="宋体" w:cs="Times New Roman"/>
          <w:b/>
          <w:bCs/>
          <w:kern w:val="0"/>
          <w:sz w:val="24"/>
          <w:szCs w:val="24"/>
        </w:rPr>
        <w:t>d</w:t>
      </w:r>
      <w:r>
        <w:rPr>
          <w:rFonts w:hint="eastAsia" w:ascii="Times New Roman" w:hAnsi="Times New Roman" w:eastAsia="宋体" w:cs="Times New Roman"/>
          <w:kern w:val="0"/>
          <w:sz w:val="24"/>
          <w:szCs w:val="24"/>
        </w:rPr>
        <w:t>,</w:t>
      </w:r>
      <w:r>
        <w:rPr>
          <w:rFonts w:ascii="Times New Roman" w:hAnsi="Times New Roman" w:eastAsia="宋体" w:cs="Times New Roman"/>
          <w:kern w:val="0"/>
          <w:sz w:val="24"/>
          <w:szCs w:val="24"/>
        </w:rPr>
        <w:t xml:space="preserve"> Representative TEM images before (left) and at the onset of the strain-induced chair–boat transition (right) in four GeSe nanopillars under uniaxial compression.</w:t>
      </w:r>
      <w:r>
        <w:rPr>
          <w:rFonts w:hint="eastAsia" w:ascii="Times New Roman" w:hAnsi="Times New Roman" w:eastAsia="宋体" w:cs="Times New Roman"/>
          <w:kern w:val="0"/>
          <w:sz w:val="24"/>
          <w:szCs w:val="24"/>
        </w:rPr>
        <w:t xml:space="preserve"> </w:t>
      </w:r>
      <w:r>
        <w:rPr>
          <w:rFonts w:ascii="Times New Roman" w:hAnsi="Times New Roman" w:eastAsia="宋体" w:cs="Times New Roman"/>
          <w:kern w:val="0"/>
          <w:sz w:val="24"/>
          <w:szCs w:val="24"/>
        </w:rPr>
        <w:t>The critical strain, defined as the engineering strain at which the first transformed (boat-type) domains become discernible, is indicated in each panel (7.4%, 6.7%, 7.5% and 8.1%). Yellow arrows mark the loading direction, and cyan lines denote the indenter–pillar contact plane. White arrows highlight the initial appearance of transformed domains. Scale bars, 200 nm in (a) and 100 nm in (b–d).</w:t>
      </w:r>
    </w:p>
    <w:p w14:paraId="049256AB">
      <w:pPr>
        <w:widowControl/>
        <w:spacing w:line="360" w:lineRule="auto"/>
        <w:rPr>
          <w:rFonts w:ascii="Times New Roman" w:hAnsi="Times New Roman" w:cs="Times New Roman"/>
          <w:b/>
          <w:bCs/>
          <w:sz w:val="24"/>
          <w:szCs w:val="24"/>
        </w:rPr>
      </w:pPr>
      <w:r>
        <w:rPr>
          <w:rFonts w:ascii="Times New Roman" w:hAnsi="Times New Roman" w:cs="Times New Roman"/>
          <w:b/>
          <w:bCs/>
          <w:sz w:val="24"/>
          <w:szCs w:val="24"/>
        </w:rPr>
        <w:br w:type="page"/>
      </w:r>
    </w:p>
    <w:p w14:paraId="7D13981D">
      <w:pPr>
        <w:widowControl/>
        <w:rPr>
          <w:rFonts w:ascii="Times New Roman" w:hAnsi="Times New Roman" w:cs="Times New Roman"/>
          <w:b/>
          <w:bCs/>
          <w:sz w:val="24"/>
          <w:szCs w:val="24"/>
        </w:rPr>
      </w:pPr>
      <w:r>
        <w:rPr>
          <w:rFonts w:ascii="Times New Roman" w:hAnsi="Times New Roman" w:cs="Times New Roman"/>
          <w:b/>
          <w:bCs/>
          <w:sz w:val="24"/>
          <w:szCs w:val="24"/>
        </w:rPr>
        <w:t xml:space="preserve">Supplementary Table 1. Detailed </w:t>
      </w:r>
      <w:r>
        <w:rPr>
          <w:rFonts w:hint="eastAsia" w:ascii="Times New Roman" w:hAnsi="Times New Roman" w:cs="Times New Roman"/>
          <w:b/>
          <w:bCs/>
          <w:sz w:val="24"/>
          <w:szCs w:val="24"/>
        </w:rPr>
        <w:t>i</w:t>
      </w:r>
      <w:r>
        <w:rPr>
          <w:rFonts w:ascii="Times New Roman" w:hAnsi="Times New Roman" w:cs="Times New Roman"/>
          <w:b/>
          <w:bCs/>
          <w:sz w:val="24"/>
          <w:szCs w:val="24"/>
        </w:rPr>
        <w:t xml:space="preserve">nformation 30 GeSe </w:t>
      </w:r>
      <w:r>
        <w:rPr>
          <w:rFonts w:hint="eastAsia" w:ascii="Times New Roman" w:hAnsi="Times New Roman" w:cs="Times New Roman"/>
          <w:b/>
          <w:bCs/>
          <w:sz w:val="24"/>
          <w:szCs w:val="24"/>
        </w:rPr>
        <w:t>n</w:t>
      </w:r>
      <w:r>
        <w:rPr>
          <w:rFonts w:ascii="Times New Roman" w:hAnsi="Times New Roman" w:cs="Times New Roman"/>
          <w:b/>
          <w:bCs/>
          <w:sz w:val="24"/>
          <w:szCs w:val="24"/>
        </w:rPr>
        <w:t xml:space="preserve">anopillars with </w:t>
      </w:r>
      <w:r>
        <w:rPr>
          <w:rFonts w:hint="eastAsia" w:ascii="Times New Roman" w:hAnsi="Times New Roman" w:cs="Times New Roman"/>
          <w:b/>
          <w:bCs/>
          <w:sz w:val="24"/>
          <w:szCs w:val="24"/>
        </w:rPr>
        <w:t>d</w:t>
      </w:r>
      <w:r>
        <w:rPr>
          <w:rFonts w:ascii="Times New Roman" w:hAnsi="Times New Roman" w:cs="Times New Roman"/>
          <w:b/>
          <w:bCs/>
          <w:sz w:val="24"/>
          <w:szCs w:val="24"/>
        </w:rPr>
        <w:t xml:space="preserve">ifferent </w:t>
      </w:r>
      <w:r>
        <w:rPr>
          <w:rFonts w:hint="eastAsia" w:ascii="Times New Roman" w:hAnsi="Times New Roman" w:cs="Times New Roman"/>
          <w:b/>
          <w:bCs/>
          <w:sz w:val="24"/>
          <w:szCs w:val="24"/>
        </w:rPr>
        <w:t>d</w:t>
      </w:r>
      <w:r>
        <w:rPr>
          <w:rFonts w:ascii="Times New Roman" w:hAnsi="Times New Roman" w:cs="Times New Roman"/>
          <w:b/>
          <w:bCs/>
          <w:sz w:val="24"/>
          <w:szCs w:val="24"/>
        </w:rPr>
        <w:t xml:space="preserve">iameters </w:t>
      </w:r>
      <w:r>
        <w:rPr>
          <w:rFonts w:hint="eastAsia" w:ascii="Times New Roman" w:hAnsi="Times New Roman" w:cs="Times New Roman"/>
          <w:b/>
          <w:bCs/>
          <w:sz w:val="24"/>
          <w:szCs w:val="24"/>
        </w:rPr>
        <w:t xml:space="preserve">under strain </w:t>
      </w:r>
      <w:r>
        <w:rPr>
          <w:rFonts w:ascii="Times New Roman" w:hAnsi="Times New Roman" w:cs="Times New Roman"/>
          <w:b/>
          <w:bCs/>
          <w:sz w:val="24"/>
          <w:szCs w:val="24"/>
        </w:rPr>
        <w:t xml:space="preserve">along </w:t>
      </w:r>
      <w:r>
        <w:rPr>
          <w:rFonts w:hint="eastAsia" w:ascii="Times New Roman" w:hAnsi="Times New Roman" w:cs="Times New Roman"/>
          <w:b/>
          <w:bCs/>
          <w:sz w:val="24"/>
          <w:szCs w:val="24"/>
        </w:rPr>
        <w:t>[001] direction.</w:t>
      </w:r>
    </w:p>
    <w:tbl>
      <w:tblPr>
        <w:tblStyle w:val="13"/>
        <w:tblpPr w:leftFromText="180" w:rightFromText="180" w:vertAnchor="text" w:horzAnchor="margin" w:tblpY="253"/>
        <w:tblOverlap w:val="never"/>
        <w:tblW w:w="4935" w:type="pct"/>
        <w:tblInd w:w="0" w:type="dxa"/>
        <w:tblLayout w:type="autofit"/>
        <w:tblCellMar>
          <w:top w:w="0" w:type="dxa"/>
          <w:left w:w="0" w:type="dxa"/>
          <w:bottom w:w="0" w:type="dxa"/>
          <w:right w:w="0" w:type="dxa"/>
        </w:tblCellMar>
      </w:tblPr>
      <w:tblGrid>
        <w:gridCol w:w="1980"/>
        <w:gridCol w:w="1870"/>
        <w:gridCol w:w="2208"/>
        <w:gridCol w:w="3064"/>
      </w:tblGrid>
      <w:tr w14:paraId="4A70891E">
        <w:tblPrEx>
          <w:tblCellMar>
            <w:top w:w="0" w:type="dxa"/>
            <w:left w:w="0" w:type="dxa"/>
            <w:bottom w:w="0" w:type="dxa"/>
            <w:right w:w="0" w:type="dxa"/>
          </w:tblCellMar>
        </w:tblPrEx>
        <w:trPr>
          <w:trHeight w:val="528" w:hRule="atLeast"/>
        </w:trPr>
        <w:tc>
          <w:tcPr>
            <w:tcW w:w="0" w:type="auto"/>
            <w:tcBorders>
              <w:top w:val="single" w:color="080000" w:sz="12" w:space="0"/>
              <w:left w:val="nil"/>
              <w:bottom w:val="nil"/>
              <w:right w:val="nil"/>
            </w:tcBorders>
            <w:tcMar>
              <w:top w:w="15" w:type="dxa"/>
              <w:left w:w="108" w:type="dxa"/>
              <w:bottom w:w="0" w:type="dxa"/>
              <w:right w:w="108" w:type="dxa"/>
            </w:tcMar>
            <w:vAlign w:val="center"/>
          </w:tcPr>
          <w:p w14:paraId="73BF8100">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Sample</w:t>
            </w:r>
          </w:p>
        </w:tc>
        <w:tc>
          <w:tcPr>
            <w:tcW w:w="0" w:type="auto"/>
            <w:tcBorders>
              <w:top w:val="single" w:color="080000" w:sz="12" w:space="0"/>
              <w:left w:val="nil"/>
              <w:bottom w:val="nil"/>
              <w:right w:val="nil"/>
            </w:tcBorders>
            <w:tcMar>
              <w:top w:w="15" w:type="dxa"/>
              <w:left w:w="108" w:type="dxa"/>
              <w:bottom w:w="0" w:type="dxa"/>
              <w:right w:w="108" w:type="dxa"/>
            </w:tcMar>
            <w:vAlign w:val="center"/>
          </w:tcPr>
          <w:p w14:paraId="14C4CF91">
            <w:pPr>
              <w:adjustRightInd w:val="0"/>
              <w:snapToGrid w:val="0"/>
              <w:jc w:val="center"/>
              <w:rPr>
                <w:rFonts w:ascii="Times New Roman" w:hAnsi="Times New Roman" w:cs="Times New Roman"/>
                <w:sz w:val="24"/>
                <w:szCs w:val="24"/>
              </w:rPr>
            </w:pPr>
            <m:oMath>
              <m:sSub>
                <m:sSubPr>
                  <m:ctrlPr>
                    <w:rPr>
                      <w:rFonts w:ascii="Cambria Math" w:hAnsi="Cambria Math" w:cs="Times New Roman"/>
                      <w:i/>
                      <w:sz w:val="24"/>
                      <w:szCs w:val="24"/>
                    </w:rPr>
                  </m:ctrlPr>
                </m:sSubPr>
                <m:e>
                  <m:r>
                    <m:rPr/>
                    <w:rPr>
                      <w:rFonts w:ascii="Cambria Math" w:hAnsi="Cambria Math" w:cs="Times New Roman"/>
                      <w:sz w:val="24"/>
                      <w:szCs w:val="24"/>
                    </w:rPr>
                    <m:t>ε</m:t>
                  </m:r>
                  <m:ctrlPr>
                    <w:rPr>
                      <w:rFonts w:ascii="Cambria Math" w:hAnsi="Cambria Math" w:cs="Times New Roman"/>
                      <w:i/>
                      <w:sz w:val="24"/>
                      <w:szCs w:val="24"/>
                    </w:rPr>
                  </m:ctrlPr>
                </m:e>
                <m:sub>
                  <m:r>
                    <m:rPr/>
                    <w:rPr>
                      <w:rFonts w:ascii="Cambria Math" w:hAnsi="Cambria Math" w:cs="Times New Roman"/>
                      <w:sz w:val="24"/>
                      <w:szCs w:val="24"/>
                    </w:rPr>
                    <m:t>c</m:t>
                  </m:r>
                  <m:ctrlPr>
                    <w:rPr>
                      <w:rFonts w:ascii="Cambria Math" w:hAnsi="Cambria Math" w:cs="Times New Roman"/>
                      <w:i/>
                      <w:sz w:val="24"/>
                      <w:szCs w:val="24"/>
                    </w:rPr>
                  </m:ctrlPr>
                </m:sub>
              </m:sSub>
            </m:oMath>
            <w:r>
              <w:rPr>
                <w:rFonts w:ascii="Times New Roman" w:hAnsi="Times New Roman" w:cs="Times New Roman"/>
                <w:sz w:val="24"/>
                <w:szCs w:val="24"/>
              </w:rPr>
              <w:t xml:space="preserve"> (%)</w:t>
            </w:r>
          </w:p>
        </w:tc>
        <w:tc>
          <w:tcPr>
            <w:tcW w:w="1210" w:type="pct"/>
            <w:tcBorders>
              <w:top w:val="single" w:color="080000" w:sz="12" w:space="0"/>
              <w:left w:val="nil"/>
              <w:bottom w:val="nil"/>
              <w:right w:val="nil"/>
            </w:tcBorders>
            <w:vAlign w:val="center"/>
          </w:tcPr>
          <w:p w14:paraId="23753679">
            <w:pPr>
              <w:adjustRightInd w:val="0"/>
              <w:snapToGrid w:val="0"/>
              <w:jc w:val="center"/>
              <w:rPr>
                <w:rFonts w:ascii="Times New Roman" w:hAnsi="Times New Roman" w:cs="Times New Roman"/>
                <w:sz w:val="24"/>
                <w:szCs w:val="24"/>
              </w:rPr>
            </w:pPr>
            <m:oMath>
              <m:sSub>
                <m:sSubPr>
                  <m:ctrlPr>
                    <w:rPr>
                      <w:rFonts w:ascii="Cambria Math" w:hAnsi="Cambria Math" w:cs="Times New Roman"/>
                      <w:i/>
                      <w:sz w:val="24"/>
                      <w:szCs w:val="24"/>
                    </w:rPr>
                  </m:ctrlPr>
                </m:sSubPr>
                <m:e>
                  <m:r>
                    <m:rPr/>
                    <w:rPr>
                      <w:rFonts w:ascii="Cambria Math" w:hAnsi="Cambria Math" w:cs="Times New Roman"/>
                      <w:sz w:val="24"/>
                      <w:szCs w:val="24"/>
                    </w:rPr>
                    <m:t>θ</m:t>
                  </m:r>
                  <m:ctrlPr>
                    <w:rPr>
                      <w:rFonts w:ascii="Cambria Math" w:hAnsi="Cambria Math" w:cs="Times New Roman"/>
                      <w:i/>
                      <w:sz w:val="24"/>
                      <w:szCs w:val="24"/>
                    </w:rPr>
                  </m:ctrlPr>
                </m:e>
                <m:sub>
                  <m:r>
                    <m:rPr>
                      <m:sty m:val="p"/>
                    </m:rPr>
                    <w:rPr>
                      <w:rFonts w:ascii="Cambria Math" w:hAnsi="Cambria Math" w:cs="Times New Roman"/>
                      <w:sz w:val="24"/>
                      <w:szCs w:val="24"/>
                    </w:rPr>
                    <m:t>domain</m:t>
                  </m:r>
                  <m:ctrlPr>
                    <w:rPr>
                      <w:rFonts w:ascii="Cambria Math" w:hAnsi="Cambria Math" w:cs="Times New Roman"/>
                      <w:i/>
                      <w:sz w:val="24"/>
                      <w:szCs w:val="24"/>
                    </w:rPr>
                  </m:ctrlPr>
                </m:sub>
              </m:sSub>
            </m:oMath>
            <w:r>
              <w:rPr>
                <w:rFonts w:ascii="Times New Roman" w:hAnsi="Times New Roman" w:cs="Times New Roman"/>
                <w:sz w:val="24"/>
                <w:szCs w:val="24"/>
              </w:rPr>
              <w:t xml:space="preserve"> (</w:t>
            </w:r>
            <w:r>
              <w:rPr>
                <w:rFonts w:hint="eastAsia" w:ascii="Times New Roman" w:hAnsi="Times New Roman" w:cs="Times New Roman"/>
                <w:sz w:val="24"/>
                <w:szCs w:val="24"/>
              </w:rPr>
              <w:t>°</w:t>
            </w:r>
            <w:r>
              <w:rPr>
                <w:rFonts w:ascii="Times New Roman" w:hAnsi="Times New Roman" w:cs="Times New Roman"/>
                <w:sz w:val="24"/>
                <w:szCs w:val="24"/>
              </w:rPr>
              <w:t>)</w:t>
            </w:r>
          </w:p>
        </w:tc>
        <w:tc>
          <w:tcPr>
            <w:tcW w:w="1679" w:type="pct"/>
            <w:tcBorders>
              <w:top w:val="single" w:color="080000" w:sz="12" w:space="0"/>
              <w:left w:val="nil"/>
              <w:bottom w:val="nil"/>
              <w:right w:val="nil"/>
            </w:tcBorders>
            <w:tcMar>
              <w:top w:w="15" w:type="dxa"/>
              <w:left w:w="108" w:type="dxa"/>
              <w:bottom w:w="0" w:type="dxa"/>
              <w:right w:w="108" w:type="dxa"/>
            </w:tcMar>
            <w:vAlign w:val="center"/>
          </w:tcPr>
          <w:p w14:paraId="37800533">
            <w:pPr>
              <w:adjustRightInd w:val="0"/>
              <w:snapToGrid w:val="0"/>
              <w:jc w:val="center"/>
              <w:rPr>
                <w:rFonts w:ascii="Times New Roman" w:hAnsi="Times New Roman" w:cs="Times New Roman"/>
                <w:sz w:val="24"/>
                <w:szCs w:val="24"/>
              </w:rPr>
            </w:pPr>
            <m:oMath>
              <m:sSub>
                <m:sSubPr>
                  <m:ctrlPr>
                    <w:rPr>
                      <w:rFonts w:ascii="Cambria Math" w:hAnsi="Cambria Math" w:cs="Times New Roman"/>
                      <w:i/>
                      <w:sz w:val="24"/>
                      <w:szCs w:val="24"/>
                    </w:rPr>
                  </m:ctrlPr>
                </m:sSubPr>
                <m:e>
                  <m:r>
                    <m:rPr/>
                    <w:rPr>
                      <w:rFonts w:ascii="Cambria Math" w:hAnsi="Cambria Math" w:cs="Times New Roman"/>
                      <w:sz w:val="24"/>
                      <w:szCs w:val="24"/>
                    </w:rPr>
                    <m:t>d</m:t>
                  </m:r>
                  <m:ctrlPr>
                    <w:rPr>
                      <w:rFonts w:ascii="Cambria Math" w:hAnsi="Cambria Math" w:cs="Times New Roman"/>
                      <w:i/>
                      <w:sz w:val="24"/>
                      <w:szCs w:val="24"/>
                    </w:rPr>
                  </m:ctrlPr>
                </m:e>
                <m:sub>
                  <m:r>
                    <m:rPr>
                      <m:sty m:val="p"/>
                    </m:rPr>
                    <w:rPr>
                      <w:rFonts w:ascii="Cambria Math" w:hAnsi="Cambria Math" w:cs="Times New Roman"/>
                      <w:sz w:val="24"/>
                      <w:szCs w:val="24"/>
                    </w:rPr>
                    <m:t>sample</m:t>
                  </m:r>
                  <m:ctrlPr>
                    <w:rPr>
                      <w:rFonts w:ascii="Cambria Math" w:hAnsi="Cambria Math" w:cs="Times New Roman"/>
                      <w:i/>
                      <w:sz w:val="24"/>
                      <w:szCs w:val="24"/>
                    </w:rPr>
                  </m:ctrlPr>
                </m:sub>
              </m:sSub>
            </m:oMath>
            <w:r>
              <w:rPr>
                <w:rFonts w:ascii="Times New Roman" w:hAnsi="Times New Roman" w:cs="Times New Roman"/>
                <w:sz w:val="24"/>
                <w:szCs w:val="24"/>
              </w:rPr>
              <w:t xml:space="preserve"> (nm)</w:t>
            </w:r>
          </w:p>
        </w:tc>
      </w:tr>
      <w:tr w14:paraId="4F98B31E">
        <w:tblPrEx>
          <w:tblCellMar>
            <w:top w:w="0" w:type="dxa"/>
            <w:left w:w="0" w:type="dxa"/>
            <w:bottom w:w="0" w:type="dxa"/>
            <w:right w:w="0" w:type="dxa"/>
          </w:tblCellMar>
        </w:tblPrEx>
        <w:trPr>
          <w:trHeight w:val="103" w:hRule="atLeast"/>
        </w:trPr>
        <w:tc>
          <w:tcPr>
            <w:tcW w:w="0" w:type="auto"/>
            <w:tcBorders>
              <w:top w:val="single" w:color="080000" w:sz="12" w:space="0"/>
              <w:left w:val="nil"/>
              <w:bottom w:val="nil"/>
              <w:right w:val="nil"/>
            </w:tcBorders>
            <w:tcMar>
              <w:top w:w="15" w:type="dxa"/>
              <w:left w:w="108" w:type="dxa"/>
              <w:bottom w:w="0" w:type="dxa"/>
              <w:right w:w="108" w:type="dxa"/>
            </w:tcMar>
            <w:vAlign w:val="center"/>
          </w:tcPr>
          <w:p w14:paraId="5A492ED2">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1</w:t>
            </w:r>
          </w:p>
        </w:tc>
        <w:tc>
          <w:tcPr>
            <w:tcW w:w="0" w:type="auto"/>
            <w:tcBorders>
              <w:top w:val="single" w:color="080000" w:sz="12" w:space="0"/>
              <w:left w:val="nil"/>
              <w:bottom w:val="nil"/>
              <w:right w:val="nil"/>
            </w:tcBorders>
            <w:tcMar>
              <w:top w:w="15" w:type="dxa"/>
              <w:left w:w="108" w:type="dxa"/>
              <w:bottom w:w="0" w:type="dxa"/>
              <w:right w:w="108" w:type="dxa"/>
            </w:tcMar>
            <w:vAlign w:val="center"/>
          </w:tcPr>
          <w:p w14:paraId="44960FD9">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5.3</w:t>
            </w:r>
          </w:p>
        </w:tc>
        <w:tc>
          <w:tcPr>
            <w:tcW w:w="1210" w:type="pct"/>
            <w:tcBorders>
              <w:top w:val="single" w:color="080000" w:sz="12" w:space="0"/>
              <w:left w:val="nil"/>
              <w:bottom w:val="nil"/>
              <w:right w:val="nil"/>
            </w:tcBorders>
            <w:vAlign w:val="center"/>
          </w:tcPr>
          <w:p w14:paraId="0794E687">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41</w:t>
            </w:r>
          </w:p>
        </w:tc>
        <w:tc>
          <w:tcPr>
            <w:tcW w:w="1679" w:type="pct"/>
            <w:tcBorders>
              <w:top w:val="single" w:color="080000" w:sz="12" w:space="0"/>
              <w:left w:val="nil"/>
              <w:bottom w:val="nil"/>
              <w:right w:val="nil"/>
            </w:tcBorders>
            <w:tcMar>
              <w:top w:w="15" w:type="dxa"/>
              <w:left w:w="108" w:type="dxa"/>
              <w:bottom w:w="0" w:type="dxa"/>
              <w:right w:w="108" w:type="dxa"/>
            </w:tcMar>
            <w:vAlign w:val="center"/>
          </w:tcPr>
          <w:p w14:paraId="536CDFA5">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214</w:t>
            </w:r>
          </w:p>
        </w:tc>
      </w:tr>
      <w:tr w14:paraId="66F1B24C">
        <w:tblPrEx>
          <w:tblCellMar>
            <w:top w:w="0" w:type="dxa"/>
            <w:left w:w="0" w:type="dxa"/>
            <w:bottom w:w="0" w:type="dxa"/>
            <w:right w:w="0" w:type="dxa"/>
          </w:tblCellMar>
        </w:tblPrEx>
        <w:trPr>
          <w:trHeight w:val="103" w:hRule="atLeast"/>
        </w:trPr>
        <w:tc>
          <w:tcPr>
            <w:tcW w:w="0" w:type="auto"/>
            <w:tcMar>
              <w:top w:w="15" w:type="dxa"/>
              <w:left w:w="108" w:type="dxa"/>
              <w:bottom w:w="0" w:type="dxa"/>
              <w:right w:w="108" w:type="dxa"/>
            </w:tcMar>
            <w:vAlign w:val="center"/>
          </w:tcPr>
          <w:p w14:paraId="301C6DFA">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2</w:t>
            </w:r>
          </w:p>
        </w:tc>
        <w:tc>
          <w:tcPr>
            <w:tcW w:w="0" w:type="auto"/>
            <w:tcMar>
              <w:top w:w="15" w:type="dxa"/>
              <w:left w:w="108" w:type="dxa"/>
              <w:bottom w:w="0" w:type="dxa"/>
              <w:right w:w="108" w:type="dxa"/>
            </w:tcMar>
            <w:vAlign w:val="center"/>
          </w:tcPr>
          <w:p w14:paraId="4DB3CEC2">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7.3</w:t>
            </w:r>
          </w:p>
        </w:tc>
        <w:tc>
          <w:tcPr>
            <w:tcW w:w="1210" w:type="pct"/>
            <w:vAlign w:val="center"/>
          </w:tcPr>
          <w:p w14:paraId="28F148D2">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42, 138</w:t>
            </w:r>
          </w:p>
        </w:tc>
        <w:tc>
          <w:tcPr>
            <w:tcW w:w="1679" w:type="pct"/>
            <w:tcMar>
              <w:top w:w="15" w:type="dxa"/>
              <w:left w:w="108" w:type="dxa"/>
              <w:bottom w:w="0" w:type="dxa"/>
              <w:right w:w="108" w:type="dxa"/>
            </w:tcMar>
            <w:vAlign w:val="center"/>
          </w:tcPr>
          <w:p w14:paraId="094B0B34">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192</w:t>
            </w:r>
          </w:p>
        </w:tc>
      </w:tr>
      <w:tr w14:paraId="568ADBC5">
        <w:tblPrEx>
          <w:tblCellMar>
            <w:top w:w="0" w:type="dxa"/>
            <w:left w:w="0" w:type="dxa"/>
            <w:bottom w:w="0" w:type="dxa"/>
            <w:right w:w="0" w:type="dxa"/>
          </w:tblCellMar>
        </w:tblPrEx>
        <w:trPr>
          <w:trHeight w:val="103" w:hRule="atLeast"/>
        </w:trPr>
        <w:tc>
          <w:tcPr>
            <w:tcW w:w="0" w:type="auto"/>
            <w:tcMar>
              <w:top w:w="15" w:type="dxa"/>
              <w:left w:w="108" w:type="dxa"/>
              <w:bottom w:w="0" w:type="dxa"/>
              <w:right w:w="108" w:type="dxa"/>
            </w:tcMar>
            <w:vAlign w:val="center"/>
          </w:tcPr>
          <w:p w14:paraId="6151FFE0">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3</w:t>
            </w:r>
          </w:p>
        </w:tc>
        <w:tc>
          <w:tcPr>
            <w:tcW w:w="0" w:type="auto"/>
            <w:tcMar>
              <w:top w:w="15" w:type="dxa"/>
              <w:left w:w="108" w:type="dxa"/>
              <w:bottom w:w="0" w:type="dxa"/>
              <w:right w:w="108" w:type="dxa"/>
            </w:tcMar>
            <w:vAlign w:val="center"/>
          </w:tcPr>
          <w:p w14:paraId="21D20E4B">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8.0</w:t>
            </w:r>
          </w:p>
        </w:tc>
        <w:tc>
          <w:tcPr>
            <w:tcW w:w="1210" w:type="pct"/>
            <w:vAlign w:val="center"/>
          </w:tcPr>
          <w:p w14:paraId="148FBAF3">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43</w:t>
            </w:r>
          </w:p>
        </w:tc>
        <w:tc>
          <w:tcPr>
            <w:tcW w:w="1679" w:type="pct"/>
            <w:tcMar>
              <w:top w:w="15" w:type="dxa"/>
              <w:left w:w="108" w:type="dxa"/>
              <w:bottom w:w="0" w:type="dxa"/>
              <w:right w:w="108" w:type="dxa"/>
            </w:tcMar>
            <w:vAlign w:val="center"/>
          </w:tcPr>
          <w:p w14:paraId="518AE1F8">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212</w:t>
            </w:r>
          </w:p>
        </w:tc>
      </w:tr>
      <w:tr w14:paraId="2394111A">
        <w:tblPrEx>
          <w:tblCellMar>
            <w:top w:w="0" w:type="dxa"/>
            <w:left w:w="0" w:type="dxa"/>
            <w:bottom w:w="0" w:type="dxa"/>
            <w:right w:w="0" w:type="dxa"/>
          </w:tblCellMar>
        </w:tblPrEx>
        <w:trPr>
          <w:trHeight w:val="103" w:hRule="atLeast"/>
        </w:trPr>
        <w:tc>
          <w:tcPr>
            <w:tcW w:w="0" w:type="auto"/>
            <w:tcMar>
              <w:top w:w="15" w:type="dxa"/>
              <w:left w:w="108" w:type="dxa"/>
              <w:bottom w:w="0" w:type="dxa"/>
              <w:right w:w="108" w:type="dxa"/>
            </w:tcMar>
            <w:vAlign w:val="center"/>
          </w:tcPr>
          <w:p w14:paraId="281DFDD8">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4</w:t>
            </w:r>
          </w:p>
        </w:tc>
        <w:tc>
          <w:tcPr>
            <w:tcW w:w="0" w:type="auto"/>
            <w:tcMar>
              <w:top w:w="15" w:type="dxa"/>
              <w:left w:w="108" w:type="dxa"/>
              <w:bottom w:w="0" w:type="dxa"/>
              <w:right w:w="108" w:type="dxa"/>
            </w:tcMar>
            <w:vAlign w:val="center"/>
          </w:tcPr>
          <w:p w14:paraId="21A002D0">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8.2</w:t>
            </w:r>
          </w:p>
        </w:tc>
        <w:tc>
          <w:tcPr>
            <w:tcW w:w="1210" w:type="pct"/>
            <w:vAlign w:val="center"/>
          </w:tcPr>
          <w:p w14:paraId="0824AD68">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41</w:t>
            </w:r>
          </w:p>
        </w:tc>
        <w:tc>
          <w:tcPr>
            <w:tcW w:w="1679" w:type="pct"/>
            <w:tcMar>
              <w:top w:w="15" w:type="dxa"/>
              <w:left w:w="108" w:type="dxa"/>
              <w:bottom w:w="0" w:type="dxa"/>
              <w:right w:w="108" w:type="dxa"/>
            </w:tcMar>
            <w:vAlign w:val="center"/>
          </w:tcPr>
          <w:p w14:paraId="311FE204">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170</w:t>
            </w:r>
          </w:p>
        </w:tc>
      </w:tr>
      <w:tr w14:paraId="6A5ECC0D">
        <w:tblPrEx>
          <w:tblCellMar>
            <w:top w:w="0" w:type="dxa"/>
            <w:left w:w="0" w:type="dxa"/>
            <w:bottom w:w="0" w:type="dxa"/>
            <w:right w:w="0" w:type="dxa"/>
          </w:tblCellMar>
        </w:tblPrEx>
        <w:trPr>
          <w:trHeight w:val="103" w:hRule="atLeast"/>
        </w:trPr>
        <w:tc>
          <w:tcPr>
            <w:tcW w:w="0" w:type="auto"/>
            <w:tcMar>
              <w:top w:w="15" w:type="dxa"/>
              <w:left w:w="108" w:type="dxa"/>
              <w:bottom w:w="0" w:type="dxa"/>
              <w:right w:w="108" w:type="dxa"/>
            </w:tcMar>
            <w:vAlign w:val="center"/>
          </w:tcPr>
          <w:p w14:paraId="0260D67C">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5</w:t>
            </w:r>
          </w:p>
        </w:tc>
        <w:tc>
          <w:tcPr>
            <w:tcW w:w="0" w:type="auto"/>
            <w:tcMar>
              <w:top w:w="15" w:type="dxa"/>
              <w:left w:w="108" w:type="dxa"/>
              <w:bottom w:w="0" w:type="dxa"/>
              <w:right w:w="108" w:type="dxa"/>
            </w:tcMar>
            <w:vAlign w:val="center"/>
          </w:tcPr>
          <w:p w14:paraId="581103D3">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7.0</w:t>
            </w:r>
          </w:p>
        </w:tc>
        <w:tc>
          <w:tcPr>
            <w:tcW w:w="1210" w:type="pct"/>
            <w:vAlign w:val="center"/>
          </w:tcPr>
          <w:p w14:paraId="0716CD07">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40</w:t>
            </w:r>
          </w:p>
        </w:tc>
        <w:tc>
          <w:tcPr>
            <w:tcW w:w="1679" w:type="pct"/>
            <w:tcMar>
              <w:top w:w="15" w:type="dxa"/>
              <w:left w:w="108" w:type="dxa"/>
              <w:bottom w:w="0" w:type="dxa"/>
              <w:right w:w="108" w:type="dxa"/>
            </w:tcMar>
            <w:vAlign w:val="center"/>
          </w:tcPr>
          <w:p w14:paraId="536D3F3F">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206</w:t>
            </w:r>
          </w:p>
        </w:tc>
      </w:tr>
      <w:tr w14:paraId="2FE66223">
        <w:tblPrEx>
          <w:tblCellMar>
            <w:top w:w="0" w:type="dxa"/>
            <w:left w:w="0" w:type="dxa"/>
            <w:bottom w:w="0" w:type="dxa"/>
            <w:right w:w="0" w:type="dxa"/>
          </w:tblCellMar>
        </w:tblPrEx>
        <w:trPr>
          <w:trHeight w:val="103" w:hRule="atLeast"/>
        </w:trPr>
        <w:tc>
          <w:tcPr>
            <w:tcW w:w="0" w:type="auto"/>
            <w:tcMar>
              <w:top w:w="15" w:type="dxa"/>
              <w:left w:w="108" w:type="dxa"/>
              <w:bottom w:w="0" w:type="dxa"/>
              <w:right w:w="108" w:type="dxa"/>
            </w:tcMar>
            <w:vAlign w:val="center"/>
          </w:tcPr>
          <w:p w14:paraId="51C6FB71">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6</w:t>
            </w:r>
          </w:p>
        </w:tc>
        <w:tc>
          <w:tcPr>
            <w:tcW w:w="0" w:type="auto"/>
            <w:tcMar>
              <w:top w:w="15" w:type="dxa"/>
              <w:left w:w="108" w:type="dxa"/>
              <w:bottom w:w="0" w:type="dxa"/>
              <w:right w:w="108" w:type="dxa"/>
            </w:tcMar>
            <w:vAlign w:val="center"/>
          </w:tcPr>
          <w:p w14:paraId="59A90D65">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5.6</w:t>
            </w:r>
          </w:p>
        </w:tc>
        <w:tc>
          <w:tcPr>
            <w:tcW w:w="1210" w:type="pct"/>
            <w:vAlign w:val="center"/>
          </w:tcPr>
          <w:p w14:paraId="028F3984">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45, 135</w:t>
            </w:r>
          </w:p>
        </w:tc>
        <w:tc>
          <w:tcPr>
            <w:tcW w:w="1679" w:type="pct"/>
            <w:tcMar>
              <w:top w:w="15" w:type="dxa"/>
              <w:left w:w="108" w:type="dxa"/>
              <w:bottom w:w="0" w:type="dxa"/>
              <w:right w:w="108" w:type="dxa"/>
            </w:tcMar>
            <w:vAlign w:val="center"/>
          </w:tcPr>
          <w:p w14:paraId="0BD4DEBF">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183</w:t>
            </w:r>
          </w:p>
        </w:tc>
      </w:tr>
      <w:tr w14:paraId="3BABA560">
        <w:tblPrEx>
          <w:tblCellMar>
            <w:top w:w="0" w:type="dxa"/>
            <w:left w:w="0" w:type="dxa"/>
            <w:bottom w:w="0" w:type="dxa"/>
            <w:right w:w="0" w:type="dxa"/>
          </w:tblCellMar>
        </w:tblPrEx>
        <w:trPr>
          <w:trHeight w:val="103" w:hRule="atLeast"/>
        </w:trPr>
        <w:tc>
          <w:tcPr>
            <w:tcW w:w="0" w:type="auto"/>
            <w:tcMar>
              <w:top w:w="15" w:type="dxa"/>
              <w:left w:w="108" w:type="dxa"/>
              <w:bottom w:w="0" w:type="dxa"/>
              <w:right w:w="108" w:type="dxa"/>
            </w:tcMar>
            <w:vAlign w:val="center"/>
          </w:tcPr>
          <w:p w14:paraId="344FB87A">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7</w:t>
            </w:r>
          </w:p>
        </w:tc>
        <w:tc>
          <w:tcPr>
            <w:tcW w:w="0" w:type="auto"/>
            <w:tcMar>
              <w:top w:w="15" w:type="dxa"/>
              <w:left w:w="108" w:type="dxa"/>
              <w:bottom w:w="0" w:type="dxa"/>
              <w:right w:w="108" w:type="dxa"/>
            </w:tcMar>
            <w:vAlign w:val="center"/>
          </w:tcPr>
          <w:p w14:paraId="7164E48A">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5.3</w:t>
            </w:r>
          </w:p>
        </w:tc>
        <w:tc>
          <w:tcPr>
            <w:tcW w:w="1210" w:type="pct"/>
            <w:vAlign w:val="center"/>
          </w:tcPr>
          <w:p w14:paraId="1609E6A6">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44</w:t>
            </w:r>
          </w:p>
        </w:tc>
        <w:tc>
          <w:tcPr>
            <w:tcW w:w="1679" w:type="pct"/>
            <w:tcMar>
              <w:top w:w="15" w:type="dxa"/>
              <w:left w:w="108" w:type="dxa"/>
              <w:bottom w:w="0" w:type="dxa"/>
              <w:right w:w="108" w:type="dxa"/>
            </w:tcMar>
            <w:vAlign w:val="center"/>
          </w:tcPr>
          <w:p w14:paraId="44EB8829">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104</w:t>
            </w:r>
          </w:p>
        </w:tc>
      </w:tr>
      <w:tr w14:paraId="4434DAB8">
        <w:tblPrEx>
          <w:tblCellMar>
            <w:top w:w="0" w:type="dxa"/>
            <w:left w:w="0" w:type="dxa"/>
            <w:bottom w:w="0" w:type="dxa"/>
            <w:right w:w="0" w:type="dxa"/>
          </w:tblCellMar>
        </w:tblPrEx>
        <w:trPr>
          <w:trHeight w:val="103" w:hRule="atLeast"/>
        </w:trPr>
        <w:tc>
          <w:tcPr>
            <w:tcW w:w="0" w:type="auto"/>
            <w:tcMar>
              <w:top w:w="15" w:type="dxa"/>
              <w:left w:w="108" w:type="dxa"/>
              <w:bottom w:w="0" w:type="dxa"/>
              <w:right w:w="108" w:type="dxa"/>
            </w:tcMar>
            <w:vAlign w:val="center"/>
          </w:tcPr>
          <w:p w14:paraId="42F41AE8">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8</w:t>
            </w:r>
          </w:p>
        </w:tc>
        <w:tc>
          <w:tcPr>
            <w:tcW w:w="0" w:type="auto"/>
            <w:tcMar>
              <w:top w:w="15" w:type="dxa"/>
              <w:left w:w="108" w:type="dxa"/>
              <w:bottom w:w="0" w:type="dxa"/>
              <w:right w:w="108" w:type="dxa"/>
            </w:tcMar>
            <w:vAlign w:val="center"/>
          </w:tcPr>
          <w:p w14:paraId="29B9179D">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8.7</w:t>
            </w:r>
          </w:p>
        </w:tc>
        <w:tc>
          <w:tcPr>
            <w:tcW w:w="1210" w:type="pct"/>
            <w:vAlign w:val="center"/>
          </w:tcPr>
          <w:p w14:paraId="6EAB7547">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42, 138</w:t>
            </w:r>
          </w:p>
        </w:tc>
        <w:tc>
          <w:tcPr>
            <w:tcW w:w="1679" w:type="pct"/>
            <w:tcMar>
              <w:top w:w="15" w:type="dxa"/>
              <w:left w:w="108" w:type="dxa"/>
              <w:bottom w:w="0" w:type="dxa"/>
              <w:right w:w="108" w:type="dxa"/>
            </w:tcMar>
            <w:vAlign w:val="center"/>
          </w:tcPr>
          <w:p w14:paraId="381B11E8">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110</w:t>
            </w:r>
          </w:p>
        </w:tc>
      </w:tr>
      <w:tr w14:paraId="30B54078">
        <w:tblPrEx>
          <w:tblCellMar>
            <w:top w:w="0" w:type="dxa"/>
            <w:left w:w="0" w:type="dxa"/>
            <w:bottom w:w="0" w:type="dxa"/>
            <w:right w:w="0" w:type="dxa"/>
          </w:tblCellMar>
        </w:tblPrEx>
        <w:trPr>
          <w:trHeight w:val="103" w:hRule="atLeast"/>
        </w:trPr>
        <w:tc>
          <w:tcPr>
            <w:tcW w:w="0" w:type="auto"/>
            <w:tcMar>
              <w:top w:w="15" w:type="dxa"/>
              <w:left w:w="108" w:type="dxa"/>
              <w:bottom w:w="0" w:type="dxa"/>
              <w:right w:w="108" w:type="dxa"/>
            </w:tcMar>
            <w:vAlign w:val="center"/>
          </w:tcPr>
          <w:p w14:paraId="3AB79D43">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9</w:t>
            </w:r>
          </w:p>
        </w:tc>
        <w:tc>
          <w:tcPr>
            <w:tcW w:w="0" w:type="auto"/>
            <w:tcMar>
              <w:top w:w="15" w:type="dxa"/>
              <w:left w:w="108" w:type="dxa"/>
              <w:bottom w:w="0" w:type="dxa"/>
              <w:right w:w="108" w:type="dxa"/>
            </w:tcMar>
            <w:vAlign w:val="center"/>
          </w:tcPr>
          <w:p w14:paraId="3118DF2B">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6.5</w:t>
            </w:r>
          </w:p>
        </w:tc>
        <w:tc>
          <w:tcPr>
            <w:tcW w:w="1210" w:type="pct"/>
            <w:vAlign w:val="center"/>
          </w:tcPr>
          <w:p w14:paraId="17646271">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42, 138</w:t>
            </w:r>
          </w:p>
        </w:tc>
        <w:tc>
          <w:tcPr>
            <w:tcW w:w="1679" w:type="pct"/>
            <w:tcMar>
              <w:top w:w="15" w:type="dxa"/>
              <w:left w:w="108" w:type="dxa"/>
              <w:bottom w:w="0" w:type="dxa"/>
              <w:right w:w="108" w:type="dxa"/>
            </w:tcMar>
            <w:vAlign w:val="center"/>
          </w:tcPr>
          <w:p w14:paraId="725E213F">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181</w:t>
            </w:r>
          </w:p>
        </w:tc>
      </w:tr>
      <w:tr w14:paraId="3BFBD396">
        <w:tblPrEx>
          <w:tblCellMar>
            <w:top w:w="0" w:type="dxa"/>
            <w:left w:w="0" w:type="dxa"/>
            <w:bottom w:w="0" w:type="dxa"/>
            <w:right w:w="0" w:type="dxa"/>
          </w:tblCellMar>
        </w:tblPrEx>
        <w:trPr>
          <w:trHeight w:val="103" w:hRule="atLeast"/>
        </w:trPr>
        <w:tc>
          <w:tcPr>
            <w:tcW w:w="0" w:type="auto"/>
            <w:tcMar>
              <w:top w:w="15" w:type="dxa"/>
              <w:left w:w="108" w:type="dxa"/>
              <w:bottom w:w="0" w:type="dxa"/>
              <w:right w:w="108" w:type="dxa"/>
            </w:tcMar>
            <w:vAlign w:val="center"/>
          </w:tcPr>
          <w:p w14:paraId="34770F84">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10</w:t>
            </w:r>
          </w:p>
        </w:tc>
        <w:tc>
          <w:tcPr>
            <w:tcW w:w="0" w:type="auto"/>
            <w:tcMar>
              <w:top w:w="15" w:type="dxa"/>
              <w:left w:w="108" w:type="dxa"/>
              <w:bottom w:w="0" w:type="dxa"/>
              <w:right w:w="108" w:type="dxa"/>
            </w:tcMar>
            <w:vAlign w:val="center"/>
          </w:tcPr>
          <w:p w14:paraId="569AFF36">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8.3</w:t>
            </w:r>
          </w:p>
        </w:tc>
        <w:tc>
          <w:tcPr>
            <w:tcW w:w="1210" w:type="pct"/>
            <w:vAlign w:val="center"/>
          </w:tcPr>
          <w:p w14:paraId="3F2F9EC0">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41</w:t>
            </w:r>
          </w:p>
        </w:tc>
        <w:tc>
          <w:tcPr>
            <w:tcW w:w="1679" w:type="pct"/>
            <w:tcMar>
              <w:top w:w="15" w:type="dxa"/>
              <w:left w:w="108" w:type="dxa"/>
              <w:bottom w:w="0" w:type="dxa"/>
              <w:right w:w="108" w:type="dxa"/>
            </w:tcMar>
            <w:vAlign w:val="center"/>
          </w:tcPr>
          <w:p w14:paraId="4C3BAB28">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194</w:t>
            </w:r>
          </w:p>
        </w:tc>
      </w:tr>
      <w:tr w14:paraId="254BE99C">
        <w:tblPrEx>
          <w:tblCellMar>
            <w:top w:w="0" w:type="dxa"/>
            <w:left w:w="0" w:type="dxa"/>
            <w:bottom w:w="0" w:type="dxa"/>
            <w:right w:w="0" w:type="dxa"/>
          </w:tblCellMar>
        </w:tblPrEx>
        <w:trPr>
          <w:trHeight w:val="103" w:hRule="atLeast"/>
        </w:trPr>
        <w:tc>
          <w:tcPr>
            <w:tcW w:w="0" w:type="auto"/>
            <w:tcMar>
              <w:top w:w="15" w:type="dxa"/>
              <w:left w:w="108" w:type="dxa"/>
              <w:bottom w:w="0" w:type="dxa"/>
              <w:right w:w="108" w:type="dxa"/>
            </w:tcMar>
            <w:vAlign w:val="center"/>
          </w:tcPr>
          <w:p w14:paraId="46F0FD34">
            <w:pPr>
              <w:adjustRightInd w:val="0"/>
              <w:snapToGrid w:val="0"/>
              <w:jc w:val="center"/>
              <w:rPr>
                <w:rFonts w:ascii="Times New Roman" w:hAnsi="Times New Roman" w:cs="Times New Roman"/>
                <w:sz w:val="24"/>
                <w:szCs w:val="24"/>
              </w:rPr>
            </w:pPr>
            <w:bookmarkStart w:id="14" w:name="OLE_LINK2" w:colFirst="3" w:colLast="9"/>
            <w:r>
              <w:rPr>
                <w:rFonts w:ascii="Times New Roman" w:hAnsi="Times New Roman" w:cs="Times New Roman"/>
                <w:sz w:val="24"/>
                <w:szCs w:val="24"/>
              </w:rPr>
              <w:t>11</w:t>
            </w:r>
          </w:p>
        </w:tc>
        <w:tc>
          <w:tcPr>
            <w:tcW w:w="0" w:type="auto"/>
            <w:tcMar>
              <w:top w:w="15" w:type="dxa"/>
              <w:left w:w="108" w:type="dxa"/>
              <w:bottom w:w="0" w:type="dxa"/>
              <w:right w:w="108" w:type="dxa"/>
            </w:tcMar>
            <w:vAlign w:val="center"/>
          </w:tcPr>
          <w:p w14:paraId="262E9A52">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5.9</w:t>
            </w:r>
          </w:p>
        </w:tc>
        <w:tc>
          <w:tcPr>
            <w:tcW w:w="1210" w:type="pct"/>
            <w:vAlign w:val="center"/>
          </w:tcPr>
          <w:p w14:paraId="72BF6154">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43</w:t>
            </w:r>
          </w:p>
        </w:tc>
        <w:tc>
          <w:tcPr>
            <w:tcW w:w="1679" w:type="pct"/>
            <w:tcMar>
              <w:top w:w="15" w:type="dxa"/>
              <w:left w:w="108" w:type="dxa"/>
              <w:bottom w:w="0" w:type="dxa"/>
              <w:right w:w="108" w:type="dxa"/>
            </w:tcMar>
            <w:vAlign w:val="center"/>
          </w:tcPr>
          <w:p w14:paraId="7DC9975B">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184</w:t>
            </w:r>
          </w:p>
        </w:tc>
      </w:tr>
      <w:bookmarkEnd w:id="14"/>
      <w:tr w14:paraId="7D170C42">
        <w:tblPrEx>
          <w:tblCellMar>
            <w:top w:w="0" w:type="dxa"/>
            <w:left w:w="0" w:type="dxa"/>
            <w:bottom w:w="0" w:type="dxa"/>
            <w:right w:w="0" w:type="dxa"/>
          </w:tblCellMar>
        </w:tblPrEx>
        <w:trPr>
          <w:trHeight w:val="103" w:hRule="atLeast"/>
        </w:trPr>
        <w:tc>
          <w:tcPr>
            <w:tcW w:w="0" w:type="auto"/>
            <w:tcMar>
              <w:top w:w="15" w:type="dxa"/>
              <w:left w:w="108" w:type="dxa"/>
              <w:bottom w:w="0" w:type="dxa"/>
              <w:right w:w="108" w:type="dxa"/>
            </w:tcMar>
            <w:vAlign w:val="center"/>
          </w:tcPr>
          <w:p w14:paraId="6C4DBD91">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12</w:t>
            </w:r>
          </w:p>
        </w:tc>
        <w:tc>
          <w:tcPr>
            <w:tcW w:w="0" w:type="auto"/>
            <w:tcMar>
              <w:top w:w="15" w:type="dxa"/>
              <w:left w:w="108" w:type="dxa"/>
              <w:bottom w:w="0" w:type="dxa"/>
              <w:right w:w="108" w:type="dxa"/>
            </w:tcMar>
            <w:vAlign w:val="center"/>
          </w:tcPr>
          <w:p w14:paraId="7D6E50D8">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9.2</w:t>
            </w:r>
          </w:p>
        </w:tc>
        <w:tc>
          <w:tcPr>
            <w:tcW w:w="1210" w:type="pct"/>
            <w:vAlign w:val="center"/>
          </w:tcPr>
          <w:p w14:paraId="5142E540">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45</w:t>
            </w:r>
          </w:p>
        </w:tc>
        <w:tc>
          <w:tcPr>
            <w:tcW w:w="1679" w:type="pct"/>
            <w:tcMar>
              <w:top w:w="15" w:type="dxa"/>
              <w:left w:w="108" w:type="dxa"/>
              <w:bottom w:w="0" w:type="dxa"/>
              <w:right w:w="108" w:type="dxa"/>
            </w:tcMar>
            <w:vAlign w:val="center"/>
          </w:tcPr>
          <w:p w14:paraId="54406AC2">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278</w:t>
            </w:r>
          </w:p>
        </w:tc>
      </w:tr>
      <w:tr w14:paraId="6BD75CDA">
        <w:tblPrEx>
          <w:tblCellMar>
            <w:top w:w="0" w:type="dxa"/>
            <w:left w:w="0" w:type="dxa"/>
            <w:bottom w:w="0" w:type="dxa"/>
            <w:right w:w="0" w:type="dxa"/>
          </w:tblCellMar>
        </w:tblPrEx>
        <w:trPr>
          <w:trHeight w:val="103" w:hRule="atLeast"/>
        </w:trPr>
        <w:tc>
          <w:tcPr>
            <w:tcW w:w="0" w:type="auto"/>
            <w:tcMar>
              <w:top w:w="15" w:type="dxa"/>
              <w:left w:w="108" w:type="dxa"/>
              <w:bottom w:w="0" w:type="dxa"/>
              <w:right w:w="108" w:type="dxa"/>
            </w:tcMar>
            <w:vAlign w:val="center"/>
          </w:tcPr>
          <w:p w14:paraId="783E3E74">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13</w:t>
            </w:r>
          </w:p>
        </w:tc>
        <w:tc>
          <w:tcPr>
            <w:tcW w:w="0" w:type="auto"/>
            <w:tcMar>
              <w:top w:w="15" w:type="dxa"/>
              <w:left w:w="108" w:type="dxa"/>
              <w:bottom w:w="0" w:type="dxa"/>
              <w:right w:w="108" w:type="dxa"/>
            </w:tcMar>
            <w:vAlign w:val="center"/>
          </w:tcPr>
          <w:p w14:paraId="06EED95C">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7.0</w:t>
            </w:r>
          </w:p>
        </w:tc>
        <w:tc>
          <w:tcPr>
            <w:tcW w:w="1210" w:type="pct"/>
            <w:vAlign w:val="center"/>
          </w:tcPr>
          <w:p w14:paraId="139A17B5">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43, 137</w:t>
            </w:r>
          </w:p>
        </w:tc>
        <w:tc>
          <w:tcPr>
            <w:tcW w:w="1679" w:type="pct"/>
            <w:tcMar>
              <w:top w:w="15" w:type="dxa"/>
              <w:left w:w="108" w:type="dxa"/>
              <w:bottom w:w="0" w:type="dxa"/>
              <w:right w:w="108" w:type="dxa"/>
            </w:tcMar>
            <w:vAlign w:val="center"/>
          </w:tcPr>
          <w:p w14:paraId="357F74F2">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263</w:t>
            </w:r>
          </w:p>
        </w:tc>
      </w:tr>
      <w:tr w14:paraId="4FA95A75">
        <w:tblPrEx>
          <w:tblCellMar>
            <w:top w:w="0" w:type="dxa"/>
            <w:left w:w="0" w:type="dxa"/>
            <w:bottom w:w="0" w:type="dxa"/>
            <w:right w:w="0" w:type="dxa"/>
          </w:tblCellMar>
        </w:tblPrEx>
        <w:trPr>
          <w:trHeight w:val="103" w:hRule="atLeast"/>
        </w:trPr>
        <w:tc>
          <w:tcPr>
            <w:tcW w:w="0" w:type="auto"/>
            <w:tcMar>
              <w:top w:w="15" w:type="dxa"/>
              <w:left w:w="108" w:type="dxa"/>
              <w:bottom w:w="0" w:type="dxa"/>
              <w:right w:w="108" w:type="dxa"/>
            </w:tcMar>
            <w:vAlign w:val="center"/>
          </w:tcPr>
          <w:p w14:paraId="40120C4F">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14</w:t>
            </w:r>
          </w:p>
        </w:tc>
        <w:tc>
          <w:tcPr>
            <w:tcW w:w="0" w:type="auto"/>
            <w:tcMar>
              <w:top w:w="15" w:type="dxa"/>
              <w:left w:w="108" w:type="dxa"/>
              <w:bottom w:w="0" w:type="dxa"/>
              <w:right w:w="108" w:type="dxa"/>
            </w:tcMar>
            <w:vAlign w:val="center"/>
          </w:tcPr>
          <w:p w14:paraId="0F6F08F2">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7.4</w:t>
            </w:r>
          </w:p>
        </w:tc>
        <w:tc>
          <w:tcPr>
            <w:tcW w:w="1210" w:type="pct"/>
            <w:vAlign w:val="center"/>
          </w:tcPr>
          <w:p w14:paraId="50096C79">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41</w:t>
            </w:r>
          </w:p>
        </w:tc>
        <w:tc>
          <w:tcPr>
            <w:tcW w:w="1679" w:type="pct"/>
            <w:tcMar>
              <w:top w:w="15" w:type="dxa"/>
              <w:left w:w="108" w:type="dxa"/>
              <w:bottom w:w="0" w:type="dxa"/>
              <w:right w:w="108" w:type="dxa"/>
            </w:tcMar>
            <w:vAlign w:val="center"/>
          </w:tcPr>
          <w:p w14:paraId="7020AFA6">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255</w:t>
            </w:r>
          </w:p>
        </w:tc>
      </w:tr>
      <w:tr w14:paraId="683E7D8D">
        <w:tblPrEx>
          <w:tblCellMar>
            <w:top w:w="0" w:type="dxa"/>
            <w:left w:w="0" w:type="dxa"/>
            <w:bottom w:w="0" w:type="dxa"/>
            <w:right w:w="0" w:type="dxa"/>
          </w:tblCellMar>
        </w:tblPrEx>
        <w:trPr>
          <w:trHeight w:val="103" w:hRule="atLeast"/>
        </w:trPr>
        <w:tc>
          <w:tcPr>
            <w:tcW w:w="0" w:type="auto"/>
            <w:tcMar>
              <w:top w:w="15" w:type="dxa"/>
              <w:left w:w="108" w:type="dxa"/>
              <w:bottom w:w="0" w:type="dxa"/>
              <w:right w:w="108" w:type="dxa"/>
            </w:tcMar>
            <w:vAlign w:val="center"/>
          </w:tcPr>
          <w:p w14:paraId="2F001E29">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15</w:t>
            </w:r>
          </w:p>
        </w:tc>
        <w:tc>
          <w:tcPr>
            <w:tcW w:w="0" w:type="auto"/>
            <w:tcMar>
              <w:top w:w="15" w:type="dxa"/>
              <w:left w:w="108" w:type="dxa"/>
              <w:bottom w:w="0" w:type="dxa"/>
              <w:right w:w="108" w:type="dxa"/>
            </w:tcMar>
            <w:vAlign w:val="center"/>
          </w:tcPr>
          <w:p w14:paraId="3291D4B3">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6.4</w:t>
            </w:r>
          </w:p>
        </w:tc>
        <w:tc>
          <w:tcPr>
            <w:tcW w:w="1210" w:type="pct"/>
            <w:vAlign w:val="center"/>
          </w:tcPr>
          <w:p w14:paraId="65A76BE1">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39</w:t>
            </w:r>
          </w:p>
        </w:tc>
        <w:tc>
          <w:tcPr>
            <w:tcW w:w="1679" w:type="pct"/>
            <w:tcMar>
              <w:top w:w="15" w:type="dxa"/>
              <w:left w:w="108" w:type="dxa"/>
              <w:bottom w:w="0" w:type="dxa"/>
              <w:right w:w="108" w:type="dxa"/>
            </w:tcMar>
            <w:vAlign w:val="center"/>
          </w:tcPr>
          <w:p w14:paraId="2783A738">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230</w:t>
            </w:r>
          </w:p>
        </w:tc>
      </w:tr>
      <w:tr w14:paraId="7F479FEE">
        <w:tblPrEx>
          <w:tblCellMar>
            <w:top w:w="0" w:type="dxa"/>
            <w:left w:w="0" w:type="dxa"/>
            <w:bottom w:w="0" w:type="dxa"/>
            <w:right w:w="0" w:type="dxa"/>
          </w:tblCellMar>
        </w:tblPrEx>
        <w:trPr>
          <w:trHeight w:val="103" w:hRule="atLeast"/>
        </w:trPr>
        <w:tc>
          <w:tcPr>
            <w:tcW w:w="0" w:type="auto"/>
            <w:tcMar>
              <w:top w:w="15" w:type="dxa"/>
              <w:left w:w="108" w:type="dxa"/>
              <w:bottom w:w="0" w:type="dxa"/>
              <w:right w:w="108" w:type="dxa"/>
            </w:tcMar>
            <w:vAlign w:val="center"/>
          </w:tcPr>
          <w:p w14:paraId="40636749">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16</w:t>
            </w:r>
          </w:p>
        </w:tc>
        <w:tc>
          <w:tcPr>
            <w:tcW w:w="0" w:type="auto"/>
            <w:tcMar>
              <w:top w:w="15" w:type="dxa"/>
              <w:left w:w="108" w:type="dxa"/>
              <w:bottom w:w="0" w:type="dxa"/>
              <w:right w:w="108" w:type="dxa"/>
            </w:tcMar>
            <w:vAlign w:val="center"/>
          </w:tcPr>
          <w:p w14:paraId="407E3163">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6.0</w:t>
            </w:r>
          </w:p>
        </w:tc>
        <w:tc>
          <w:tcPr>
            <w:tcW w:w="1210" w:type="pct"/>
            <w:vAlign w:val="center"/>
          </w:tcPr>
          <w:p w14:paraId="6D6171E7">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42</w:t>
            </w:r>
          </w:p>
        </w:tc>
        <w:tc>
          <w:tcPr>
            <w:tcW w:w="1679" w:type="pct"/>
            <w:tcMar>
              <w:top w:w="15" w:type="dxa"/>
              <w:left w:w="108" w:type="dxa"/>
              <w:bottom w:w="0" w:type="dxa"/>
              <w:right w:w="108" w:type="dxa"/>
            </w:tcMar>
            <w:vAlign w:val="center"/>
          </w:tcPr>
          <w:p w14:paraId="29094C54">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157</w:t>
            </w:r>
          </w:p>
        </w:tc>
      </w:tr>
      <w:tr w14:paraId="3DA78862">
        <w:tblPrEx>
          <w:tblCellMar>
            <w:top w:w="0" w:type="dxa"/>
            <w:left w:w="0" w:type="dxa"/>
            <w:bottom w:w="0" w:type="dxa"/>
            <w:right w:w="0" w:type="dxa"/>
          </w:tblCellMar>
        </w:tblPrEx>
        <w:trPr>
          <w:trHeight w:val="103" w:hRule="atLeast"/>
        </w:trPr>
        <w:tc>
          <w:tcPr>
            <w:tcW w:w="0" w:type="auto"/>
            <w:tcMar>
              <w:top w:w="15" w:type="dxa"/>
              <w:left w:w="108" w:type="dxa"/>
              <w:bottom w:w="0" w:type="dxa"/>
              <w:right w:w="108" w:type="dxa"/>
            </w:tcMar>
            <w:vAlign w:val="center"/>
          </w:tcPr>
          <w:p w14:paraId="79CF753A">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17</w:t>
            </w:r>
          </w:p>
        </w:tc>
        <w:tc>
          <w:tcPr>
            <w:tcW w:w="0" w:type="auto"/>
            <w:tcMar>
              <w:top w:w="15" w:type="dxa"/>
              <w:left w:w="108" w:type="dxa"/>
              <w:bottom w:w="0" w:type="dxa"/>
              <w:right w:w="108" w:type="dxa"/>
            </w:tcMar>
            <w:vAlign w:val="center"/>
          </w:tcPr>
          <w:p w14:paraId="26D1375F">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6.5</w:t>
            </w:r>
          </w:p>
        </w:tc>
        <w:tc>
          <w:tcPr>
            <w:tcW w:w="1210" w:type="pct"/>
            <w:vAlign w:val="center"/>
          </w:tcPr>
          <w:p w14:paraId="6D23B445">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43</w:t>
            </w:r>
          </w:p>
        </w:tc>
        <w:tc>
          <w:tcPr>
            <w:tcW w:w="1679" w:type="pct"/>
            <w:tcMar>
              <w:top w:w="15" w:type="dxa"/>
              <w:left w:w="108" w:type="dxa"/>
              <w:bottom w:w="0" w:type="dxa"/>
              <w:right w:w="108" w:type="dxa"/>
            </w:tcMar>
            <w:vAlign w:val="center"/>
          </w:tcPr>
          <w:p w14:paraId="3E1E0937">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180</w:t>
            </w:r>
          </w:p>
        </w:tc>
      </w:tr>
      <w:tr w14:paraId="1D193523">
        <w:tblPrEx>
          <w:tblCellMar>
            <w:top w:w="0" w:type="dxa"/>
            <w:left w:w="0" w:type="dxa"/>
            <w:bottom w:w="0" w:type="dxa"/>
            <w:right w:w="0" w:type="dxa"/>
          </w:tblCellMar>
        </w:tblPrEx>
        <w:trPr>
          <w:trHeight w:val="103" w:hRule="atLeast"/>
        </w:trPr>
        <w:tc>
          <w:tcPr>
            <w:tcW w:w="0" w:type="auto"/>
            <w:tcMar>
              <w:top w:w="15" w:type="dxa"/>
              <w:left w:w="108" w:type="dxa"/>
              <w:bottom w:w="0" w:type="dxa"/>
              <w:right w:w="108" w:type="dxa"/>
            </w:tcMar>
            <w:vAlign w:val="center"/>
          </w:tcPr>
          <w:p w14:paraId="5F27E646">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18</w:t>
            </w:r>
          </w:p>
        </w:tc>
        <w:tc>
          <w:tcPr>
            <w:tcW w:w="0" w:type="auto"/>
            <w:tcMar>
              <w:top w:w="15" w:type="dxa"/>
              <w:left w:w="108" w:type="dxa"/>
              <w:bottom w:w="0" w:type="dxa"/>
              <w:right w:w="108" w:type="dxa"/>
            </w:tcMar>
            <w:vAlign w:val="center"/>
          </w:tcPr>
          <w:p w14:paraId="18BA00FF">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7.1</w:t>
            </w:r>
          </w:p>
        </w:tc>
        <w:tc>
          <w:tcPr>
            <w:tcW w:w="1210" w:type="pct"/>
            <w:vAlign w:val="center"/>
          </w:tcPr>
          <w:p w14:paraId="474D8C98">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40, 140</w:t>
            </w:r>
          </w:p>
        </w:tc>
        <w:tc>
          <w:tcPr>
            <w:tcW w:w="1679" w:type="pct"/>
            <w:tcMar>
              <w:top w:w="15" w:type="dxa"/>
              <w:left w:w="108" w:type="dxa"/>
              <w:bottom w:w="0" w:type="dxa"/>
              <w:right w:w="108" w:type="dxa"/>
            </w:tcMar>
            <w:vAlign w:val="center"/>
          </w:tcPr>
          <w:p w14:paraId="72EE858E">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205</w:t>
            </w:r>
          </w:p>
        </w:tc>
      </w:tr>
      <w:tr w14:paraId="66C897DE">
        <w:tblPrEx>
          <w:tblCellMar>
            <w:top w:w="0" w:type="dxa"/>
            <w:left w:w="0" w:type="dxa"/>
            <w:bottom w:w="0" w:type="dxa"/>
            <w:right w:w="0" w:type="dxa"/>
          </w:tblCellMar>
        </w:tblPrEx>
        <w:trPr>
          <w:trHeight w:val="103" w:hRule="atLeast"/>
        </w:trPr>
        <w:tc>
          <w:tcPr>
            <w:tcW w:w="0" w:type="auto"/>
            <w:tcMar>
              <w:top w:w="15" w:type="dxa"/>
              <w:left w:w="108" w:type="dxa"/>
              <w:bottom w:w="0" w:type="dxa"/>
              <w:right w:w="108" w:type="dxa"/>
            </w:tcMar>
            <w:vAlign w:val="center"/>
          </w:tcPr>
          <w:p w14:paraId="6B18349D">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19</w:t>
            </w:r>
          </w:p>
        </w:tc>
        <w:tc>
          <w:tcPr>
            <w:tcW w:w="0" w:type="auto"/>
            <w:tcMar>
              <w:top w:w="15" w:type="dxa"/>
              <w:left w:w="108" w:type="dxa"/>
              <w:bottom w:w="0" w:type="dxa"/>
              <w:right w:w="108" w:type="dxa"/>
            </w:tcMar>
            <w:vAlign w:val="center"/>
          </w:tcPr>
          <w:p w14:paraId="1AA74E05">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6.8</w:t>
            </w:r>
          </w:p>
        </w:tc>
        <w:tc>
          <w:tcPr>
            <w:tcW w:w="1210" w:type="pct"/>
            <w:vAlign w:val="center"/>
          </w:tcPr>
          <w:p w14:paraId="11B45749">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41</w:t>
            </w:r>
          </w:p>
        </w:tc>
        <w:tc>
          <w:tcPr>
            <w:tcW w:w="1679" w:type="pct"/>
            <w:tcMar>
              <w:top w:w="15" w:type="dxa"/>
              <w:left w:w="108" w:type="dxa"/>
              <w:bottom w:w="0" w:type="dxa"/>
              <w:right w:w="108" w:type="dxa"/>
            </w:tcMar>
            <w:vAlign w:val="center"/>
          </w:tcPr>
          <w:p w14:paraId="678C9CCA">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255</w:t>
            </w:r>
          </w:p>
        </w:tc>
      </w:tr>
      <w:tr w14:paraId="2ED857AC">
        <w:tblPrEx>
          <w:tblCellMar>
            <w:top w:w="0" w:type="dxa"/>
            <w:left w:w="0" w:type="dxa"/>
            <w:bottom w:w="0" w:type="dxa"/>
            <w:right w:w="0" w:type="dxa"/>
          </w:tblCellMar>
        </w:tblPrEx>
        <w:trPr>
          <w:trHeight w:val="103" w:hRule="atLeast"/>
        </w:trPr>
        <w:tc>
          <w:tcPr>
            <w:tcW w:w="0" w:type="auto"/>
            <w:tcMar>
              <w:top w:w="15" w:type="dxa"/>
              <w:left w:w="108" w:type="dxa"/>
              <w:bottom w:w="0" w:type="dxa"/>
              <w:right w:w="108" w:type="dxa"/>
            </w:tcMar>
            <w:vAlign w:val="center"/>
          </w:tcPr>
          <w:p w14:paraId="38771C8E">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20</w:t>
            </w:r>
          </w:p>
        </w:tc>
        <w:tc>
          <w:tcPr>
            <w:tcW w:w="0" w:type="auto"/>
            <w:tcMar>
              <w:top w:w="15" w:type="dxa"/>
              <w:left w:w="108" w:type="dxa"/>
              <w:bottom w:w="0" w:type="dxa"/>
              <w:right w:w="108" w:type="dxa"/>
            </w:tcMar>
            <w:vAlign w:val="center"/>
          </w:tcPr>
          <w:p w14:paraId="4C8F458F">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5.9</w:t>
            </w:r>
          </w:p>
        </w:tc>
        <w:tc>
          <w:tcPr>
            <w:tcW w:w="1210" w:type="pct"/>
            <w:vAlign w:val="center"/>
          </w:tcPr>
          <w:p w14:paraId="68F361EF">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42</w:t>
            </w:r>
          </w:p>
        </w:tc>
        <w:tc>
          <w:tcPr>
            <w:tcW w:w="1679" w:type="pct"/>
            <w:tcMar>
              <w:top w:w="15" w:type="dxa"/>
              <w:left w:w="108" w:type="dxa"/>
              <w:bottom w:w="0" w:type="dxa"/>
              <w:right w:w="108" w:type="dxa"/>
            </w:tcMar>
            <w:vAlign w:val="center"/>
          </w:tcPr>
          <w:p w14:paraId="2DA109F1">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310</w:t>
            </w:r>
          </w:p>
        </w:tc>
      </w:tr>
      <w:tr w14:paraId="684851CD">
        <w:tblPrEx>
          <w:tblCellMar>
            <w:top w:w="0" w:type="dxa"/>
            <w:left w:w="0" w:type="dxa"/>
            <w:bottom w:w="0" w:type="dxa"/>
            <w:right w:w="0" w:type="dxa"/>
          </w:tblCellMar>
        </w:tblPrEx>
        <w:trPr>
          <w:trHeight w:val="103" w:hRule="atLeast"/>
        </w:trPr>
        <w:tc>
          <w:tcPr>
            <w:tcW w:w="0" w:type="auto"/>
            <w:tcMar>
              <w:top w:w="15" w:type="dxa"/>
              <w:left w:w="108" w:type="dxa"/>
              <w:bottom w:w="0" w:type="dxa"/>
              <w:right w:w="108" w:type="dxa"/>
            </w:tcMar>
            <w:vAlign w:val="center"/>
          </w:tcPr>
          <w:p w14:paraId="3CA83D6C">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21</w:t>
            </w:r>
          </w:p>
        </w:tc>
        <w:tc>
          <w:tcPr>
            <w:tcW w:w="0" w:type="auto"/>
            <w:tcMar>
              <w:top w:w="15" w:type="dxa"/>
              <w:left w:w="108" w:type="dxa"/>
              <w:bottom w:w="0" w:type="dxa"/>
              <w:right w:w="108" w:type="dxa"/>
            </w:tcMar>
            <w:vAlign w:val="center"/>
          </w:tcPr>
          <w:p w14:paraId="1D492D35">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6.4</w:t>
            </w:r>
          </w:p>
        </w:tc>
        <w:tc>
          <w:tcPr>
            <w:tcW w:w="1210" w:type="pct"/>
            <w:vAlign w:val="center"/>
          </w:tcPr>
          <w:p w14:paraId="199101E7">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44</w:t>
            </w:r>
          </w:p>
        </w:tc>
        <w:tc>
          <w:tcPr>
            <w:tcW w:w="1679" w:type="pct"/>
            <w:tcMar>
              <w:top w:w="15" w:type="dxa"/>
              <w:left w:w="108" w:type="dxa"/>
              <w:bottom w:w="0" w:type="dxa"/>
              <w:right w:w="108" w:type="dxa"/>
            </w:tcMar>
            <w:vAlign w:val="center"/>
          </w:tcPr>
          <w:p w14:paraId="61452639">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285</w:t>
            </w:r>
          </w:p>
        </w:tc>
      </w:tr>
      <w:tr w14:paraId="628CFA0D">
        <w:tblPrEx>
          <w:tblCellMar>
            <w:top w:w="0" w:type="dxa"/>
            <w:left w:w="0" w:type="dxa"/>
            <w:bottom w:w="0" w:type="dxa"/>
            <w:right w:w="0" w:type="dxa"/>
          </w:tblCellMar>
        </w:tblPrEx>
        <w:trPr>
          <w:trHeight w:val="103" w:hRule="atLeast"/>
        </w:trPr>
        <w:tc>
          <w:tcPr>
            <w:tcW w:w="0" w:type="auto"/>
            <w:tcMar>
              <w:top w:w="15" w:type="dxa"/>
              <w:left w:w="108" w:type="dxa"/>
              <w:bottom w:w="0" w:type="dxa"/>
              <w:right w:w="108" w:type="dxa"/>
            </w:tcMar>
            <w:vAlign w:val="center"/>
          </w:tcPr>
          <w:p w14:paraId="397711BF">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22</w:t>
            </w:r>
          </w:p>
        </w:tc>
        <w:tc>
          <w:tcPr>
            <w:tcW w:w="0" w:type="auto"/>
            <w:tcMar>
              <w:top w:w="15" w:type="dxa"/>
              <w:left w:w="108" w:type="dxa"/>
              <w:bottom w:w="0" w:type="dxa"/>
              <w:right w:w="108" w:type="dxa"/>
            </w:tcMar>
            <w:vAlign w:val="center"/>
          </w:tcPr>
          <w:p w14:paraId="27F091EC">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8.1</w:t>
            </w:r>
          </w:p>
        </w:tc>
        <w:tc>
          <w:tcPr>
            <w:tcW w:w="1210" w:type="pct"/>
            <w:vAlign w:val="center"/>
          </w:tcPr>
          <w:p w14:paraId="473BCA0B">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41, 139</w:t>
            </w:r>
          </w:p>
        </w:tc>
        <w:tc>
          <w:tcPr>
            <w:tcW w:w="1679" w:type="pct"/>
            <w:tcMar>
              <w:top w:w="15" w:type="dxa"/>
              <w:left w:w="108" w:type="dxa"/>
              <w:bottom w:w="0" w:type="dxa"/>
              <w:right w:w="108" w:type="dxa"/>
            </w:tcMar>
            <w:vAlign w:val="center"/>
          </w:tcPr>
          <w:p w14:paraId="5EA95D0D">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153</w:t>
            </w:r>
          </w:p>
        </w:tc>
      </w:tr>
      <w:tr w14:paraId="4497BB88">
        <w:tblPrEx>
          <w:tblCellMar>
            <w:top w:w="0" w:type="dxa"/>
            <w:left w:w="0" w:type="dxa"/>
            <w:bottom w:w="0" w:type="dxa"/>
            <w:right w:w="0" w:type="dxa"/>
          </w:tblCellMar>
        </w:tblPrEx>
        <w:trPr>
          <w:trHeight w:val="103" w:hRule="atLeast"/>
        </w:trPr>
        <w:tc>
          <w:tcPr>
            <w:tcW w:w="0" w:type="auto"/>
            <w:tcMar>
              <w:top w:w="15" w:type="dxa"/>
              <w:left w:w="108" w:type="dxa"/>
              <w:bottom w:w="0" w:type="dxa"/>
              <w:right w:w="108" w:type="dxa"/>
            </w:tcMar>
            <w:vAlign w:val="center"/>
          </w:tcPr>
          <w:p w14:paraId="5561A800">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23</w:t>
            </w:r>
          </w:p>
        </w:tc>
        <w:tc>
          <w:tcPr>
            <w:tcW w:w="0" w:type="auto"/>
            <w:tcMar>
              <w:top w:w="15" w:type="dxa"/>
              <w:left w:w="108" w:type="dxa"/>
              <w:bottom w:w="0" w:type="dxa"/>
              <w:right w:w="108" w:type="dxa"/>
            </w:tcMar>
            <w:vAlign w:val="center"/>
          </w:tcPr>
          <w:p w14:paraId="1E76FBB1">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7.3</w:t>
            </w:r>
          </w:p>
        </w:tc>
        <w:tc>
          <w:tcPr>
            <w:tcW w:w="1210" w:type="pct"/>
            <w:vAlign w:val="center"/>
          </w:tcPr>
          <w:p w14:paraId="55354DF6">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42, 138</w:t>
            </w:r>
          </w:p>
        </w:tc>
        <w:tc>
          <w:tcPr>
            <w:tcW w:w="1679" w:type="pct"/>
            <w:tcMar>
              <w:top w:w="15" w:type="dxa"/>
              <w:left w:w="108" w:type="dxa"/>
              <w:bottom w:w="0" w:type="dxa"/>
              <w:right w:w="108" w:type="dxa"/>
            </w:tcMar>
            <w:vAlign w:val="center"/>
          </w:tcPr>
          <w:p w14:paraId="11626E88">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185</w:t>
            </w:r>
          </w:p>
        </w:tc>
      </w:tr>
      <w:tr w14:paraId="70F0D733">
        <w:tblPrEx>
          <w:tblCellMar>
            <w:top w:w="0" w:type="dxa"/>
            <w:left w:w="0" w:type="dxa"/>
            <w:bottom w:w="0" w:type="dxa"/>
            <w:right w:w="0" w:type="dxa"/>
          </w:tblCellMar>
        </w:tblPrEx>
        <w:trPr>
          <w:trHeight w:val="103" w:hRule="atLeast"/>
        </w:trPr>
        <w:tc>
          <w:tcPr>
            <w:tcW w:w="0" w:type="auto"/>
            <w:tcMar>
              <w:top w:w="15" w:type="dxa"/>
              <w:left w:w="108" w:type="dxa"/>
              <w:bottom w:w="0" w:type="dxa"/>
              <w:right w:w="108" w:type="dxa"/>
            </w:tcMar>
            <w:vAlign w:val="center"/>
          </w:tcPr>
          <w:p w14:paraId="0C021784">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24</w:t>
            </w:r>
          </w:p>
        </w:tc>
        <w:tc>
          <w:tcPr>
            <w:tcW w:w="0" w:type="auto"/>
            <w:tcMar>
              <w:top w:w="15" w:type="dxa"/>
              <w:left w:w="108" w:type="dxa"/>
              <w:bottom w:w="0" w:type="dxa"/>
              <w:right w:w="108" w:type="dxa"/>
            </w:tcMar>
            <w:vAlign w:val="center"/>
          </w:tcPr>
          <w:p w14:paraId="474CE4E4">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6.2</w:t>
            </w:r>
          </w:p>
        </w:tc>
        <w:tc>
          <w:tcPr>
            <w:tcW w:w="1210" w:type="pct"/>
            <w:vAlign w:val="center"/>
          </w:tcPr>
          <w:p w14:paraId="509FF423">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43</w:t>
            </w:r>
          </w:p>
        </w:tc>
        <w:tc>
          <w:tcPr>
            <w:tcW w:w="1679" w:type="pct"/>
            <w:tcMar>
              <w:top w:w="15" w:type="dxa"/>
              <w:left w:w="108" w:type="dxa"/>
              <w:bottom w:w="0" w:type="dxa"/>
              <w:right w:w="108" w:type="dxa"/>
            </w:tcMar>
            <w:vAlign w:val="center"/>
          </w:tcPr>
          <w:p w14:paraId="145DBE77">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194</w:t>
            </w:r>
          </w:p>
        </w:tc>
      </w:tr>
      <w:tr w14:paraId="4BDBC935">
        <w:tblPrEx>
          <w:tblCellMar>
            <w:top w:w="0" w:type="dxa"/>
            <w:left w:w="0" w:type="dxa"/>
            <w:bottom w:w="0" w:type="dxa"/>
            <w:right w:w="0" w:type="dxa"/>
          </w:tblCellMar>
        </w:tblPrEx>
        <w:trPr>
          <w:trHeight w:val="103" w:hRule="atLeast"/>
        </w:trPr>
        <w:tc>
          <w:tcPr>
            <w:tcW w:w="0" w:type="auto"/>
            <w:tcMar>
              <w:top w:w="15" w:type="dxa"/>
              <w:left w:w="108" w:type="dxa"/>
              <w:bottom w:w="0" w:type="dxa"/>
              <w:right w:w="108" w:type="dxa"/>
            </w:tcMar>
            <w:vAlign w:val="center"/>
          </w:tcPr>
          <w:p w14:paraId="627CC353">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25</w:t>
            </w:r>
          </w:p>
        </w:tc>
        <w:tc>
          <w:tcPr>
            <w:tcW w:w="0" w:type="auto"/>
            <w:tcMar>
              <w:top w:w="15" w:type="dxa"/>
              <w:left w:w="108" w:type="dxa"/>
              <w:bottom w:w="0" w:type="dxa"/>
              <w:right w:w="108" w:type="dxa"/>
            </w:tcMar>
            <w:vAlign w:val="center"/>
          </w:tcPr>
          <w:p w14:paraId="675E3478">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7.5</w:t>
            </w:r>
          </w:p>
        </w:tc>
        <w:tc>
          <w:tcPr>
            <w:tcW w:w="1210" w:type="pct"/>
            <w:vAlign w:val="center"/>
          </w:tcPr>
          <w:p w14:paraId="101D85E1">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45</w:t>
            </w:r>
          </w:p>
        </w:tc>
        <w:tc>
          <w:tcPr>
            <w:tcW w:w="1679" w:type="pct"/>
            <w:tcMar>
              <w:top w:w="15" w:type="dxa"/>
              <w:left w:w="108" w:type="dxa"/>
              <w:bottom w:w="0" w:type="dxa"/>
              <w:right w:w="108" w:type="dxa"/>
            </w:tcMar>
            <w:vAlign w:val="center"/>
          </w:tcPr>
          <w:p w14:paraId="0D8E2C02">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303</w:t>
            </w:r>
          </w:p>
        </w:tc>
      </w:tr>
      <w:tr w14:paraId="489B6A13">
        <w:tblPrEx>
          <w:tblCellMar>
            <w:top w:w="0" w:type="dxa"/>
            <w:left w:w="0" w:type="dxa"/>
            <w:bottom w:w="0" w:type="dxa"/>
            <w:right w:w="0" w:type="dxa"/>
          </w:tblCellMar>
        </w:tblPrEx>
        <w:trPr>
          <w:trHeight w:val="103" w:hRule="atLeast"/>
        </w:trPr>
        <w:tc>
          <w:tcPr>
            <w:tcW w:w="0" w:type="auto"/>
            <w:tcMar>
              <w:top w:w="15" w:type="dxa"/>
              <w:left w:w="108" w:type="dxa"/>
              <w:bottom w:w="0" w:type="dxa"/>
              <w:right w:w="108" w:type="dxa"/>
            </w:tcMar>
            <w:vAlign w:val="center"/>
          </w:tcPr>
          <w:p w14:paraId="49C2E440">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26</w:t>
            </w:r>
          </w:p>
        </w:tc>
        <w:tc>
          <w:tcPr>
            <w:tcW w:w="0" w:type="auto"/>
            <w:tcMar>
              <w:top w:w="15" w:type="dxa"/>
              <w:left w:w="108" w:type="dxa"/>
              <w:bottom w:w="0" w:type="dxa"/>
              <w:right w:w="108" w:type="dxa"/>
            </w:tcMar>
            <w:vAlign w:val="center"/>
          </w:tcPr>
          <w:p w14:paraId="54BB379A">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6.7</w:t>
            </w:r>
          </w:p>
        </w:tc>
        <w:tc>
          <w:tcPr>
            <w:tcW w:w="1210" w:type="pct"/>
            <w:vAlign w:val="center"/>
          </w:tcPr>
          <w:p w14:paraId="1486529E">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45</w:t>
            </w:r>
          </w:p>
        </w:tc>
        <w:tc>
          <w:tcPr>
            <w:tcW w:w="1679" w:type="pct"/>
            <w:tcMar>
              <w:top w:w="15" w:type="dxa"/>
              <w:left w:w="108" w:type="dxa"/>
              <w:bottom w:w="0" w:type="dxa"/>
              <w:right w:w="108" w:type="dxa"/>
            </w:tcMar>
            <w:vAlign w:val="center"/>
          </w:tcPr>
          <w:p w14:paraId="534C890E">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235</w:t>
            </w:r>
          </w:p>
        </w:tc>
      </w:tr>
      <w:tr w14:paraId="6EA56612">
        <w:tblPrEx>
          <w:tblCellMar>
            <w:top w:w="0" w:type="dxa"/>
            <w:left w:w="0" w:type="dxa"/>
            <w:bottom w:w="0" w:type="dxa"/>
            <w:right w:w="0" w:type="dxa"/>
          </w:tblCellMar>
        </w:tblPrEx>
        <w:trPr>
          <w:trHeight w:val="103" w:hRule="atLeast"/>
        </w:trPr>
        <w:tc>
          <w:tcPr>
            <w:tcW w:w="0" w:type="auto"/>
            <w:tcMar>
              <w:top w:w="15" w:type="dxa"/>
              <w:left w:w="108" w:type="dxa"/>
              <w:bottom w:w="0" w:type="dxa"/>
              <w:right w:w="108" w:type="dxa"/>
            </w:tcMar>
            <w:vAlign w:val="center"/>
          </w:tcPr>
          <w:p w14:paraId="0D41424F">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27</w:t>
            </w:r>
          </w:p>
        </w:tc>
        <w:tc>
          <w:tcPr>
            <w:tcW w:w="0" w:type="auto"/>
            <w:tcMar>
              <w:top w:w="15" w:type="dxa"/>
              <w:left w:w="108" w:type="dxa"/>
              <w:bottom w:w="0" w:type="dxa"/>
              <w:right w:w="108" w:type="dxa"/>
            </w:tcMar>
            <w:vAlign w:val="center"/>
          </w:tcPr>
          <w:p w14:paraId="1B99774A">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7.2</w:t>
            </w:r>
          </w:p>
        </w:tc>
        <w:tc>
          <w:tcPr>
            <w:tcW w:w="1210" w:type="pct"/>
            <w:vAlign w:val="center"/>
          </w:tcPr>
          <w:p w14:paraId="3F366803">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42</w:t>
            </w:r>
          </w:p>
        </w:tc>
        <w:tc>
          <w:tcPr>
            <w:tcW w:w="1679" w:type="pct"/>
            <w:tcMar>
              <w:top w:w="15" w:type="dxa"/>
              <w:left w:w="108" w:type="dxa"/>
              <w:bottom w:w="0" w:type="dxa"/>
              <w:right w:w="108" w:type="dxa"/>
            </w:tcMar>
            <w:vAlign w:val="center"/>
          </w:tcPr>
          <w:p w14:paraId="4CE69EF8">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265</w:t>
            </w:r>
          </w:p>
        </w:tc>
      </w:tr>
      <w:tr w14:paraId="4A67BF9B">
        <w:tblPrEx>
          <w:tblCellMar>
            <w:top w:w="0" w:type="dxa"/>
            <w:left w:w="0" w:type="dxa"/>
            <w:bottom w:w="0" w:type="dxa"/>
            <w:right w:w="0" w:type="dxa"/>
          </w:tblCellMar>
        </w:tblPrEx>
        <w:trPr>
          <w:trHeight w:val="103" w:hRule="atLeast"/>
        </w:trPr>
        <w:tc>
          <w:tcPr>
            <w:tcW w:w="0" w:type="auto"/>
            <w:tcMar>
              <w:top w:w="15" w:type="dxa"/>
              <w:left w:w="108" w:type="dxa"/>
              <w:bottom w:w="0" w:type="dxa"/>
              <w:right w:w="108" w:type="dxa"/>
            </w:tcMar>
            <w:vAlign w:val="center"/>
          </w:tcPr>
          <w:p w14:paraId="5A49B952">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28</w:t>
            </w:r>
          </w:p>
        </w:tc>
        <w:tc>
          <w:tcPr>
            <w:tcW w:w="0" w:type="auto"/>
            <w:tcMar>
              <w:top w:w="15" w:type="dxa"/>
              <w:left w:w="108" w:type="dxa"/>
              <w:bottom w:w="0" w:type="dxa"/>
              <w:right w:w="108" w:type="dxa"/>
            </w:tcMar>
            <w:vAlign w:val="center"/>
          </w:tcPr>
          <w:p w14:paraId="5957777F">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7.0</w:t>
            </w:r>
          </w:p>
        </w:tc>
        <w:tc>
          <w:tcPr>
            <w:tcW w:w="1210" w:type="pct"/>
            <w:vAlign w:val="center"/>
          </w:tcPr>
          <w:p w14:paraId="36496B3D">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43, 137</w:t>
            </w:r>
          </w:p>
        </w:tc>
        <w:tc>
          <w:tcPr>
            <w:tcW w:w="1679" w:type="pct"/>
            <w:tcMar>
              <w:top w:w="15" w:type="dxa"/>
              <w:left w:w="108" w:type="dxa"/>
              <w:bottom w:w="0" w:type="dxa"/>
              <w:right w:w="108" w:type="dxa"/>
            </w:tcMar>
            <w:vAlign w:val="center"/>
          </w:tcPr>
          <w:p w14:paraId="5CC70D2A">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197</w:t>
            </w:r>
          </w:p>
        </w:tc>
      </w:tr>
      <w:tr w14:paraId="7211E140">
        <w:tblPrEx>
          <w:tblCellMar>
            <w:top w:w="0" w:type="dxa"/>
            <w:left w:w="0" w:type="dxa"/>
            <w:bottom w:w="0" w:type="dxa"/>
            <w:right w:w="0" w:type="dxa"/>
          </w:tblCellMar>
        </w:tblPrEx>
        <w:trPr>
          <w:trHeight w:val="103" w:hRule="atLeast"/>
        </w:trPr>
        <w:tc>
          <w:tcPr>
            <w:tcW w:w="0" w:type="auto"/>
            <w:tcMar>
              <w:top w:w="15" w:type="dxa"/>
              <w:left w:w="108" w:type="dxa"/>
              <w:bottom w:w="0" w:type="dxa"/>
              <w:right w:w="108" w:type="dxa"/>
            </w:tcMar>
            <w:vAlign w:val="center"/>
          </w:tcPr>
          <w:p w14:paraId="092E6DEF">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29</w:t>
            </w:r>
          </w:p>
        </w:tc>
        <w:tc>
          <w:tcPr>
            <w:tcW w:w="0" w:type="auto"/>
            <w:tcMar>
              <w:top w:w="15" w:type="dxa"/>
              <w:left w:w="108" w:type="dxa"/>
              <w:bottom w:w="0" w:type="dxa"/>
              <w:right w:w="108" w:type="dxa"/>
            </w:tcMar>
            <w:vAlign w:val="center"/>
          </w:tcPr>
          <w:p w14:paraId="553C2E62">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6.5</w:t>
            </w:r>
          </w:p>
        </w:tc>
        <w:tc>
          <w:tcPr>
            <w:tcW w:w="1210" w:type="pct"/>
            <w:vAlign w:val="center"/>
          </w:tcPr>
          <w:p w14:paraId="37D2B667">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41</w:t>
            </w:r>
          </w:p>
        </w:tc>
        <w:tc>
          <w:tcPr>
            <w:tcW w:w="1679" w:type="pct"/>
            <w:tcMar>
              <w:top w:w="15" w:type="dxa"/>
              <w:left w:w="108" w:type="dxa"/>
              <w:bottom w:w="0" w:type="dxa"/>
              <w:right w:w="108" w:type="dxa"/>
            </w:tcMar>
            <w:vAlign w:val="center"/>
          </w:tcPr>
          <w:p w14:paraId="55921128">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283</w:t>
            </w:r>
          </w:p>
        </w:tc>
      </w:tr>
      <w:tr w14:paraId="29F9658B">
        <w:tblPrEx>
          <w:tblCellMar>
            <w:top w:w="0" w:type="dxa"/>
            <w:left w:w="0" w:type="dxa"/>
            <w:bottom w:w="0" w:type="dxa"/>
            <w:right w:w="0" w:type="dxa"/>
          </w:tblCellMar>
        </w:tblPrEx>
        <w:trPr>
          <w:trHeight w:val="249" w:hRule="atLeast"/>
        </w:trPr>
        <w:tc>
          <w:tcPr>
            <w:tcW w:w="0" w:type="auto"/>
            <w:tcBorders>
              <w:top w:val="nil"/>
              <w:left w:val="nil"/>
              <w:bottom w:val="single" w:color="000000" w:sz="8" w:space="0"/>
              <w:right w:val="nil"/>
            </w:tcBorders>
            <w:tcMar>
              <w:top w:w="15" w:type="dxa"/>
              <w:left w:w="108" w:type="dxa"/>
              <w:bottom w:w="0" w:type="dxa"/>
              <w:right w:w="108" w:type="dxa"/>
            </w:tcMar>
            <w:vAlign w:val="center"/>
          </w:tcPr>
          <w:p w14:paraId="3BAEB9FB">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30</w:t>
            </w:r>
          </w:p>
        </w:tc>
        <w:tc>
          <w:tcPr>
            <w:tcW w:w="0" w:type="auto"/>
            <w:tcBorders>
              <w:top w:val="nil"/>
              <w:left w:val="nil"/>
              <w:bottom w:val="single" w:color="000000" w:sz="8" w:space="0"/>
              <w:right w:val="nil"/>
            </w:tcBorders>
            <w:tcMar>
              <w:top w:w="15" w:type="dxa"/>
              <w:left w:w="108" w:type="dxa"/>
              <w:bottom w:w="0" w:type="dxa"/>
              <w:right w:w="108" w:type="dxa"/>
            </w:tcMar>
            <w:vAlign w:val="center"/>
          </w:tcPr>
          <w:p w14:paraId="3921A49B">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7.7</w:t>
            </w:r>
          </w:p>
        </w:tc>
        <w:tc>
          <w:tcPr>
            <w:tcW w:w="1210" w:type="pct"/>
            <w:tcBorders>
              <w:top w:val="nil"/>
              <w:left w:val="nil"/>
              <w:bottom w:val="single" w:color="000000" w:sz="8" w:space="0"/>
              <w:right w:val="nil"/>
            </w:tcBorders>
            <w:vAlign w:val="center"/>
          </w:tcPr>
          <w:p w14:paraId="5E841868">
            <w:pPr>
              <w:adjustRightInd w:val="0"/>
              <w:snapToGrid w:val="0"/>
              <w:jc w:val="center"/>
              <w:rPr>
                <w:rFonts w:ascii="Times New Roman" w:hAnsi="Times New Roman" w:cs="Times New Roman"/>
                <w:sz w:val="24"/>
                <w:szCs w:val="24"/>
              </w:rPr>
            </w:pPr>
            <w:r>
              <w:rPr>
                <w:rFonts w:hint="eastAsia" w:ascii="Times New Roman" w:hAnsi="Times New Roman" w:cs="Times New Roman"/>
                <w:sz w:val="24"/>
                <w:szCs w:val="24"/>
              </w:rPr>
              <w:t>41, 139</w:t>
            </w:r>
          </w:p>
        </w:tc>
        <w:tc>
          <w:tcPr>
            <w:tcW w:w="1679" w:type="pct"/>
            <w:tcBorders>
              <w:top w:val="nil"/>
              <w:left w:val="nil"/>
              <w:bottom w:val="single" w:color="000000" w:sz="8" w:space="0"/>
              <w:right w:val="nil"/>
            </w:tcBorders>
            <w:tcMar>
              <w:top w:w="15" w:type="dxa"/>
              <w:left w:w="108" w:type="dxa"/>
              <w:bottom w:w="0" w:type="dxa"/>
              <w:right w:w="108" w:type="dxa"/>
            </w:tcMar>
            <w:vAlign w:val="center"/>
          </w:tcPr>
          <w:p w14:paraId="5494E011">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173</w:t>
            </w:r>
          </w:p>
        </w:tc>
      </w:tr>
    </w:tbl>
    <w:p w14:paraId="26D520CC">
      <w:pPr>
        <w:widowControl/>
        <w:spacing w:after="156" w:afterLines="50" w:line="360" w:lineRule="auto"/>
        <w:rPr>
          <w:rFonts w:ascii="Times New Roman" w:hAnsi="Times New Roman" w:cs="Times New Roman"/>
          <w:szCs w:val="21"/>
        </w:rPr>
      </w:pPr>
      <m:oMath>
        <m:sSub>
          <m:sSubPr>
            <m:ctrlPr>
              <w:rPr>
                <w:rFonts w:ascii="Cambria Math" w:hAnsi="Cambria Math" w:cs="Times New Roman"/>
                <w:i/>
                <w:szCs w:val="21"/>
              </w:rPr>
            </m:ctrlPr>
          </m:sSubPr>
          <m:e>
            <m:r>
              <m:rPr/>
              <w:rPr>
                <w:rFonts w:ascii="Cambria Math" w:hAnsi="Cambria Math" w:cs="Times New Roman"/>
                <w:szCs w:val="21"/>
              </w:rPr>
              <m:t>ε</m:t>
            </m:r>
            <m:ctrlPr>
              <w:rPr>
                <w:rFonts w:ascii="Cambria Math" w:hAnsi="Cambria Math" w:cs="Times New Roman"/>
                <w:i/>
                <w:szCs w:val="21"/>
              </w:rPr>
            </m:ctrlPr>
          </m:e>
          <m:sub>
            <m:r>
              <m:rPr/>
              <w:rPr>
                <w:rFonts w:ascii="Cambria Math" w:hAnsi="Cambria Math" w:cs="Times New Roman"/>
                <w:szCs w:val="21"/>
              </w:rPr>
              <m:t>c</m:t>
            </m:r>
            <m:ctrlPr>
              <w:rPr>
                <w:rFonts w:ascii="Cambria Math" w:hAnsi="Cambria Math" w:cs="Times New Roman"/>
                <w:i/>
                <w:szCs w:val="21"/>
              </w:rPr>
            </m:ctrlPr>
          </m:sub>
        </m:sSub>
      </m:oMath>
      <w:r>
        <w:rPr>
          <w:rFonts w:ascii="Times New Roman" w:hAnsi="Times New Roman" w:cs="Times New Roman"/>
          <w:szCs w:val="21"/>
        </w:rPr>
        <w:t xml:space="preserve"> is the critical strain for the emergence of </w:t>
      </w:r>
      <w:r>
        <w:rPr>
          <w:rFonts w:ascii="Times New Roman" w:hAnsi="Times New Roman" w:eastAsia="等线" w:cs="Times New Roman"/>
          <w:szCs w:val="21"/>
        </w:rPr>
        <w:t xml:space="preserve">the </w:t>
      </w:r>
      <w:r>
        <w:rPr>
          <w:rFonts w:hint="eastAsia" w:ascii="Times New Roman" w:hAnsi="Times New Roman" w:cs="Times New Roman"/>
          <w:szCs w:val="21"/>
        </w:rPr>
        <w:t>chair–boat transition</w:t>
      </w:r>
      <w:r>
        <w:rPr>
          <w:rFonts w:ascii="Times New Roman" w:hAnsi="Times New Roman" w:cs="Times New Roman"/>
          <w:szCs w:val="21"/>
        </w:rPr>
        <w:t xml:space="preserve">, </w:t>
      </w:r>
      <m:oMath>
        <m:sSub>
          <m:sSubPr>
            <m:ctrlPr>
              <w:rPr>
                <w:rFonts w:ascii="Cambria Math" w:hAnsi="Cambria Math" w:cs="Times New Roman"/>
                <w:i/>
                <w:szCs w:val="21"/>
              </w:rPr>
            </m:ctrlPr>
          </m:sSubPr>
          <m:e>
            <m:r>
              <m:rPr/>
              <w:rPr>
                <w:rFonts w:ascii="Cambria Math" w:hAnsi="Cambria Math" w:cs="Times New Roman"/>
                <w:szCs w:val="21"/>
              </w:rPr>
              <m:t>θ</m:t>
            </m:r>
            <m:ctrlPr>
              <w:rPr>
                <w:rFonts w:ascii="Cambria Math" w:hAnsi="Cambria Math" w:cs="Times New Roman"/>
                <w:i/>
                <w:szCs w:val="21"/>
              </w:rPr>
            </m:ctrlPr>
          </m:e>
          <m:sub>
            <m:r>
              <m:rPr>
                <m:sty m:val="p"/>
              </m:rPr>
              <w:rPr>
                <w:rFonts w:ascii="Cambria Math" w:hAnsi="Cambria Math" w:cs="Times New Roman"/>
                <w:szCs w:val="21"/>
              </w:rPr>
              <m:t>domain</m:t>
            </m:r>
            <m:ctrlPr>
              <w:rPr>
                <w:rFonts w:ascii="Cambria Math" w:hAnsi="Cambria Math" w:cs="Times New Roman"/>
                <w:i/>
                <w:szCs w:val="21"/>
              </w:rPr>
            </m:ctrlPr>
          </m:sub>
        </m:sSub>
      </m:oMath>
      <w:r>
        <w:rPr>
          <w:rFonts w:ascii="Times New Roman" w:hAnsi="Times New Roman" w:cs="Times New Roman"/>
          <w:szCs w:val="21"/>
        </w:rPr>
        <w:t xml:space="preserve"> is the angle between the emergent</w:t>
      </w:r>
      <w:r>
        <w:rPr>
          <w:rFonts w:hint="eastAsia" w:ascii="Times New Roman" w:hAnsi="Times New Roman" w:cs="Times New Roman"/>
          <w:szCs w:val="21"/>
        </w:rPr>
        <w:t xml:space="preserve"> </w:t>
      </w:r>
      <w:r>
        <w:rPr>
          <w:rFonts w:ascii="Times New Roman" w:hAnsi="Times New Roman" w:cs="Times New Roman"/>
          <w:szCs w:val="21"/>
        </w:rPr>
        <w:t xml:space="preserve">domain and </w:t>
      </w:r>
      <w:r>
        <w:rPr>
          <w:rFonts w:hint="eastAsia" w:ascii="Times New Roman" w:hAnsi="Times New Roman" w:cs="Times New Roman"/>
          <w:szCs w:val="21"/>
        </w:rPr>
        <w:t xml:space="preserve">[001] </w:t>
      </w:r>
      <w:r>
        <w:rPr>
          <w:rFonts w:ascii="Times New Roman" w:hAnsi="Times New Roman" w:cs="Times New Roman"/>
          <w:szCs w:val="21"/>
        </w:rPr>
        <w:t xml:space="preserve">direction of GeSe, </w:t>
      </w:r>
      <w:r>
        <w:rPr>
          <w:rFonts w:ascii="Times New Roman" w:hAnsi="Times New Roman" w:eastAsia="等线" w:cs="Times New Roman"/>
          <w:szCs w:val="21"/>
        </w:rPr>
        <w:t xml:space="preserve">and </w:t>
      </w:r>
      <m:oMath>
        <m:sSub>
          <m:sSubPr>
            <m:ctrlPr>
              <w:rPr>
                <w:rFonts w:ascii="Cambria Math" w:hAnsi="Cambria Math" w:cs="Times New Roman"/>
                <w:i/>
                <w:szCs w:val="21"/>
              </w:rPr>
            </m:ctrlPr>
          </m:sSubPr>
          <m:e>
            <m:r>
              <m:rPr/>
              <w:rPr>
                <w:rFonts w:ascii="Cambria Math" w:hAnsi="Cambria Math" w:cs="Times New Roman"/>
                <w:szCs w:val="21"/>
              </w:rPr>
              <m:t>d</m:t>
            </m:r>
            <m:ctrlPr>
              <w:rPr>
                <w:rFonts w:ascii="Cambria Math" w:hAnsi="Cambria Math" w:cs="Times New Roman"/>
                <w:i/>
                <w:szCs w:val="21"/>
              </w:rPr>
            </m:ctrlPr>
          </m:e>
          <m:sub>
            <m:r>
              <m:rPr>
                <m:sty m:val="p"/>
              </m:rPr>
              <w:rPr>
                <w:rFonts w:ascii="Cambria Math" w:hAnsi="Cambria Math" w:cs="Times New Roman"/>
                <w:szCs w:val="21"/>
              </w:rPr>
              <m:t>sample</m:t>
            </m:r>
            <m:ctrlPr>
              <w:rPr>
                <w:rFonts w:ascii="Cambria Math" w:hAnsi="Cambria Math" w:cs="Times New Roman"/>
                <w:i/>
                <w:szCs w:val="21"/>
              </w:rPr>
            </m:ctrlPr>
          </m:sub>
        </m:sSub>
      </m:oMath>
      <w:r>
        <w:rPr>
          <w:rFonts w:ascii="Times New Roman" w:hAnsi="Times New Roman" w:cs="Times New Roman"/>
          <w:szCs w:val="21"/>
        </w:rPr>
        <w:t xml:space="preserve"> is the </w:t>
      </w:r>
      <w:r>
        <w:rPr>
          <w:rFonts w:hint="eastAsia" w:ascii="Times New Roman" w:hAnsi="Times New Roman" w:cs="Times New Roman"/>
          <w:szCs w:val="21"/>
        </w:rPr>
        <w:t>diameter</w:t>
      </w:r>
      <w:r>
        <w:rPr>
          <w:rFonts w:ascii="Times New Roman" w:hAnsi="Times New Roman" w:cs="Times New Roman"/>
          <w:szCs w:val="21"/>
        </w:rPr>
        <w:t xml:space="preserve"> of the pristine GeSe sample before testing.</w:t>
      </w:r>
    </w:p>
    <w:p w14:paraId="08E643EA">
      <w:pPr>
        <w:widowControl/>
        <w:spacing w:after="156" w:afterLines="50" w:line="360" w:lineRule="auto"/>
        <w:rPr>
          <w:rFonts w:ascii="Times New Roman" w:hAnsi="Times New Roman" w:cs="Times New Roman"/>
          <w:szCs w:val="21"/>
        </w:rPr>
      </w:pPr>
    </w:p>
    <w:p w14:paraId="2ACFDCAD">
      <w:pPr>
        <w:widowControl/>
        <w:spacing w:after="156" w:afterLines="50" w:line="360" w:lineRule="auto"/>
        <w:rPr>
          <w:rFonts w:ascii="Times New Roman" w:hAnsi="Times New Roman" w:cs="Times New Roman"/>
          <w:szCs w:val="21"/>
        </w:rPr>
      </w:pPr>
    </w:p>
    <w:p w14:paraId="1486AEB0">
      <w:pPr>
        <w:widowControl/>
        <w:spacing w:after="156" w:afterLines="50" w:line="360" w:lineRule="auto"/>
        <w:rPr>
          <w:rFonts w:ascii="Times New Roman" w:hAnsi="Times New Roman" w:cs="Times New Roman"/>
          <w:szCs w:val="21"/>
        </w:rPr>
      </w:pPr>
    </w:p>
    <w:p w14:paraId="5957F1B9">
      <w:pPr>
        <w:pStyle w:val="29"/>
        <w:numPr>
          <w:ilvl w:val="0"/>
          <w:numId w:val="3"/>
        </w:numPr>
      </w:pPr>
      <w:bookmarkStart w:id="15" w:name="OLE_LINK21"/>
      <w:r>
        <w:t xml:space="preserve">Reproducibility of </w:t>
      </w:r>
      <w:r>
        <w:rPr>
          <w:rFonts w:hint="eastAsia"/>
        </w:rPr>
        <w:t>chair-boat-</w:t>
      </w:r>
      <w:r>
        <w:t>transition</w:t>
      </w:r>
      <w:r>
        <w:rPr>
          <w:rFonts w:hint="eastAsia"/>
        </w:rPr>
        <w:t xml:space="preserve"> induced </w:t>
      </w:r>
      <w:r>
        <w:t>super</w:t>
      </w:r>
      <w:r>
        <w:rPr>
          <w:rFonts w:hint="eastAsia"/>
        </w:rPr>
        <w:t>p</w:t>
      </w:r>
      <w:r>
        <w:t xml:space="preserve">lasticity </w:t>
      </w:r>
      <w:r>
        <w:rPr>
          <w:rFonts w:hint="eastAsia"/>
        </w:rPr>
        <w:t>in</w:t>
      </w:r>
      <w:r>
        <w:t xml:space="preserve"> GeSe samples </w:t>
      </w:r>
    </w:p>
    <w:p w14:paraId="4C093E36">
      <w:pPr>
        <w:pStyle w:val="10"/>
        <w:spacing w:line="360" w:lineRule="auto"/>
        <w:jc w:val="both"/>
        <w:rPr>
          <w:rFonts w:ascii="Times New Roman" w:hAnsi="Times New Roman" w:cs="Times New Roman"/>
        </w:rPr>
      </w:pPr>
      <w:r>
        <w:rPr>
          <w:rFonts w:ascii="Times New Roman" w:hAnsi="Times New Roman" w:cs="Times New Roman"/>
        </w:rPr>
        <w:t xml:space="preserve">To </w:t>
      </w:r>
      <w:r>
        <w:rPr>
          <w:rFonts w:hint="eastAsia" w:ascii="Times New Roman" w:hAnsi="Times New Roman" w:cs="Times New Roman"/>
        </w:rPr>
        <w:t>confirm</w:t>
      </w:r>
      <w:r>
        <w:rPr>
          <w:rFonts w:ascii="Times New Roman" w:hAnsi="Times New Roman" w:cs="Times New Roman"/>
        </w:rPr>
        <w:t xml:space="preserve"> the reproducibility of chair–boat–transition-induced superplasticity in GeSe, in</w:t>
      </w:r>
      <w:r>
        <w:rPr>
          <w:rFonts w:hint="eastAsia" w:ascii="Times New Roman" w:hAnsi="Times New Roman" w:cs="Times New Roman"/>
        </w:rPr>
        <w:t>-</w:t>
      </w:r>
      <w:r>
        <w:rPr>
          <w:rFonts w:ascii="Times New Roman" w:hAnsi="Times New Roman" w:cs="Times New Roman"/>
        </w:rPr>
        <w:t xml:space="preserve">situ compression experiments were systematically performed on GeSe nanopillars with different characteristic length scales. As shown in Supplementary Fig. </w:t>
      </w:r>
      <w:r>
        <w:rPr>
          <w:rFonts w:hint="eastAsia" w:ascii="Times New Roman" w:hAnsi="Times New Roman" w:cs="Times New Roman"/>
        </w:rPr>
        <w:t>4</w:t>
      </w:r>
      <w:r>
        <w:rPr>
          <w:rFonts w:ascii="Times New Roman" w:hAnsi="Times New Roman" w:cs="Times New Roman"/>
        </w:rPr>
        <w:t xml:space="preserve">, a representative GeSe nanopillar with a diameter of approximately 170 nm was subjected to uniaxial compression along the </w:t>
      </w:r>
      <w:bookmarkStart w:id="16" w:name="OLE_LINK5"/>
      <w:r>
        <w:rPr>
          <w:rStyle w:val="17"/>
          <w:rFonts w:hint="eastAsia" w:ascii="Times New Roman" w:hAnsi="Times New Roman" w:cs="Times New Roman"/>
          <w:i w:val="0"/>
          <w:iCs/>
        </w:rPr>
        <w:t>[001] direction</w:t>
      </w:r>
      <w:bookmarkEnd w:id="16"/>
      <w:r>
        <w:rPr>
          <w:rFonts w:ascii="Times New Roman" w:hAnsi="Times New Roman" w:cs="Times New Roman"/>
        </w:rPr>
        <w:t xml:space="preserve"> inside the </w:t>
      </w:r>
      <w:r>
        <w:rPr>
          <w:rFonts w:hint="eastAsia" w:ascii="Times New Roman" w:hAnsi="Times New Roman" w:cs="Times New Roman"/>
        </w:rPr>
        <w:t>TEM</w:t>
      </w:r>
      <w:r>
        <w:rPr>
          <w:rFonts w:ascii="Times New Roman" w:hAnsi="Times New Roman" w:cs="Times New Roman"/>
        </w:rPr>
        <w:t>. During the compression process, a series of TEM images were acquired at increasing strain levels, together with the corresponding engineering stress–strain curve. As the applied compressive strain increases, chair–boat transformation domains repeatedly nucleate within the nanopillar and subsequently expand and propagate. These structural evolution processes are accompanied by intermittent stress drops superimposed on an overall strain-hardening response in the stress–strain curve, indicating a strong correlation between the progression of the structural transition and the macroscopic mechanical response.</w:t>
      </w:r>
    </w:p>
    <w:p w14:paraId="61BDD063">
      <w:pPr>
        <w:pStyle w:val="10"/>
        <w:spacing w:line="360" w:lineRule="auto"/>
        <w:jc w:val="both"/>
        <w:rPr>
          <w:rFonts w:hint="eastAsia"/>
        </w:rPr>
      </w:pPr>
      <w:r>
        <w:rPr>
          <w:rFonts w:ascii="Times New Roman" w:hAnsi="Times New Roman" w:cs="Times New Roman"/>
        </w:rPr>
        <w:t>At smaller length scales, in</w:t>
      </w:r>
      <w:r>
        <w:rPr>
          <w:rFonts w:hint="eastAsia" w:ascii="Times New Roman" w:hAnsi="Times New Roman" w:cs="Times New Roman"/>
        </w:rPr>
        <w:t>-</w:t>
      </w:r>
      <w:r>
        <w:rPr>
          <w:rFonts w:ascii="Times New Roman" w:hAnsi="Times New Roman" w:cs="Times New Roman"/>
        </w:rPr>
        <w:t xml:space="preserve">situ high-resolution TEM compression experiments provide direct atomic-scale evidence for the reproducibility of the chair–boat transition. As presented in </w:t>
      </w:r>
      <w:bookmarkStart w:id="17" w:name="OLE_LINK50"/>
      <w:r>
        <w:rPr>
          <w:rFonts w:ascii="Times New Roman" w:hAnsi="Times New Roman" w:cs="Times New Roman"/>
        </w:rPr>
        <w:t xml:space="preserve">Supplementary Fig. </w:t>
      </w:r>
      <w:bookmarkEnd w:id="17"/>
      <w:r>
        <w:rPr>
          <w:rFonts w:hint="eastAsia" w:ascii="Times New Roman" w:hAnsi="Times New Roman" w:cs="Times New Roman"/>
        </w:rPr>
        <w:t>5</w:t>
      </w:r>
      <w:r>
        <w:rPr>
          <w:rFonts w:ascii="Times New Roman" w:hAnsi="Times New Roman" w:cs="Times New Roman"/>
        </w:rPr>
        <w:t xml:space="preserve">, a GeSe nanopillar compressed along the </w:t>
      </w:r>
      <w:r>
        <w:rPr>
          <w:rStyle w:val="17"/>
          <w:rFonts w:hint="eastAsia" w:ascii="Times New Roman" w:hAnsi="Times New Roman" w:cs="Times New Roman"/>
          <w:i w:val="0"/>
          <w:iCs/>
        </w:rPr>
        <w:t>[001] direction</w:t>
      </w:r>
      <w:r>
        <w:rPr>
          <w:rFonts w:ascii="Times New Roman" w:hAnsi="Times New Roman" w:cs="Times New Roman"/>
        </w:rPr>
        <w:t xml:space="preserve"> was continuously imaged along the</w:t>
      </w:r>
      <w:r>
        <w:rPr>
          <w:rFonts w:hint="eastAsia" w:ascii="Times New Roman" w:hAnsi="Times New Roman" w:cs="Times New Roman"/>
        </w:rPr>
        <w:t xml:space="preserve"> [100]</w:t>
      </w:r>
      <w:r>
        <w:rPr>
          <w:rFonts w:ascii="Times New Roman" w:hAnsi="Times New Roman" w:cs="Times New Roman"/>
        </w:rPr>
        <w:t xml:space="preserve"> </w:t>
      </w:r>
      <w:r>
        <w:rPr>
          <w:rFonts w:hint="eastAsia" w:ascii="Times New Roman" w:hAnsi="Times New Roman" w:cs="Times New Roman"/>
        </w:rPr>
        <w:t>(</w:t>
      </w:r>
      <w:r>
        <w:rPr>
          <w:rFonts w:ascii="Times New Roman" w:hAnsi="Times New Roman" w:cs="Times New Roman"/>
        </w:rPr>
        <w:t>zigzag</w:t>
      </w:r>
      <w:r>
        <w:rPr>
          <w:rFonts w:hint="eastAsia" w:ascii="Times New Roman" w:hAnsi="Times New Roman" w:cs="Times New Roman"/>
        </w:rPr>
        <w:t>)</w:t>
      </w:r>
      <w:r>
        <w:rPr>
          <w:rFonts w:ascii="Times New Roman" w:hAnsi="Times New Roman" w:cs="Times New Roman"/>
        </w:rPr>
        <w:t xml:space="preserve"> direction at different loading times. At the early stage of deformation, lattice distortion develops without a discernible phase transformation. With further loading, the initial nucleation of the </w:t>
      </w:r>
      <w:r>
        <w:rPr>
          <w:rFonts w:ascii="Times New Roman" w:hAnsi="Times New Roman" w:cs="Times New Roman"/>
          <w:i/>
          <w:iCs/>
        </w:rPr>
        <w:t>β</w:t>
      </w:r>
      <w:r>
        <w:rPr>
          <w:rFonts w:ascii="Times New Roman" w:hAnsi="Times New Roman" w:cs="Times New Roman"/>
        </w:rPr>
        <w:t xml:space="preserve">-GeSe phase associated with the chair–boat structural transition becomes clearly visible at the atomic scale. Upon continued compression, the transformed </w:t>
      </w:r>
      <w:r>
        <w:rPr>
          <w:rFonts w:ascii="Times New Roman" w:hAnsi="Times New Roman" w:cs="Times New Roman"/>
          <w:i/>
          <w:iCs/>
        </w:rPr>
        <w:t>β</w:t>
      </w:r>
      <w:r>
        <w:rPr>
          <w:rFonts w:ascii="Times New Roman" w:hAnsi="Times New Roman" w:cs="Times New Roman"/>
        </w:rPr>
        <w:t xml:space="preserve">-phase domains progressively grow and extend into the surrounding </w:t>
      </w:r>
      <w:r>
        <w:rPr>
          <w:rFonts w:ascii="Times New Roman" w:hAnsi="Times New Roman" w:cs="Times New Roman"/>
          <w:i/>
          <w:iCs/>
        </w:rPr>
        <w:t>α</w:t>
      </w:r>
      <w:r>
        <w:rPr>
          <w:rFonts w:ascii="Times New Roman" w:hAnsi="Times New Roman" w:cs="Times New Roman"/>
        </w:rPr>
        <w:t>-phase matrix. The consistent observation of the nucleation and growth behavior of the chair–boat transformation domains across different loading times demonstrates that the structural transition is highly reproducible at the atomic scale</w:t>
      </w:r>
      <w:r>
        <w:rPr>
          <w:rFonts w:hint="eastAsia" w:ascii="Times New Roman" w:hAnsi="Times New Roman" w:cs="Times New Roman"/>
        </w:rPr>
        <w:t xml:space="preserve">. </w:t>
      </w:r>
      <w:r>
        <w:rPr>
          <w:rFonts w:ascii="Times New Roman" w:hAnsi="Times New Roman" w:cs="Times New Roman"/>
        </w:rPr>
        <w:t>Taken together, the in</w:t>
      </w:r>
      <w:r>
        <w:rPr>
          <w:rFonts w:hint="eastAsia" w:ascii="Times New Roman" w:hAnsi="Times New Roman" w:cs="Times New Roman"/>
        </w:rPr>
        <w:t>-</w:t>
      </w:r>
      <w:r>
        <w:rPr>
          <w:rFonts w:ascii="Times New Roman" w:hAnsi="Times New Roman" w:cs="Times New Roman"/>
        </w:rPr>
        <w:t xml:space="preserve">situ compression results obtained at both the nanoscale and atomic scale demonstrate that the chair–boat </w:t>
      </w:r>
      <w:r>
        <w:rPr>
          <w:rFonts w:hint="eastAsia" w:ascii="Times New Roman" w:hAnsi="Times New Roman" w:cs="Times New Roman"/>
        </w:rPr>
        <w:t>conformation</w:t>
      </w:r>
      <w:r>
        <w:rPr>
          <w:rFonts w:ascii="Times New Roman" w:hAnsi="Times New Roman" w:cs="Times New Roman"/>
        </w:rPr>
        <w:t xml:space="preserve"> transition in GeSe nanopillars occurs in a repeatable and robust manner under uniaxial compressive loading. The close correspondence between the evolution of transformation domains and the characteristic features in the stress–strain response further supports the reproducibility of chair–boat–transition-induced superplasticity in GeSe across multiple length scales.</w:t>
      </w:r>
    </w:p>
    <w:bookmarkEnd w:id="15"/>
    <w:p w14:paraId="52501845">
      <w:pPr>
        <w:widowControl/>
        <w:spacing w:after="156" w:afterLines="50" w:line="360" w:lineRule="auto"/>
        <w:jc w:val="center"/>
        <w:rPr>
          <w:rFonts w:ascii="Times New Roman" w:hAnsi="Times New Roman" w:cs="Times New Roman"/>
          <w:sz w:val="24"/>
          <w:szCs w:val="24"/>
        </w:rPr>
      </w:pPr>
      <w:r>
        <w:rPr>
          <w:rFonts w:ascii="Times New Roman" w:hAnsi="Times New Roman" w:cs="Times New Roman"/>
          <w:sz w:val="24"/>
          <w:szCs w:val="24"/>
        </w:rPr>
        <w:drawing>
          <wp:inline distT="0" distB="0" distL="0" distR="0">
            <wp:extent cx="5731510" cy="3528695"/>
            <wp:effectExtent l="0" t="0" r="2540" b="0"/>
            <wp:docPr id="2688520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52035" name="图片 1"/>
                    <pic:cNvPicPr>
                      <a:picLocks noChangeAspect="1"/>
                    </pic:cNvPicPr>
                  </pic:nvPicPr>
                  <pic:blipFill>
                    <a:blip r:embed="rId9"/>
                    <a:stretch>
                      <a:fillRect/>
                    </a:stretch>
                  </pic:blipFill>
                  <pic:spPr>
                    <a:xfrm>
                      <a:off x="0" y="0"/>
                      <a:ext cx="5731510" cy="3528695"/>
                    </a:xfrm>
                    <a:prstGeom prst="rect">
                      <a:avLst/>
                    </a:prstGeom>
                  </pic:spPr>
                </pic:pic>
              </a:graphicData>
            </a:graphic>
          </wp:inline>
        </w:drawing>
      </w:r>
    </w:p>
    <w:p w14:paraId="30BA2115">
      <w:pPr>
        <w:widowControl/>
        <w:spacing w:after="156" w:afterLines="50" w:line="360" w:lineRule="auto"/>
        <w:rPr>
          <w:rFonts w:ascii="Times New Roman" w:hAnsi="Times New Roman" w:cs="Times New Roman"/>
          <w:sz w:val="24"/>
          <w:szCs w:val="24"/>
        </w:rPr>
      </w:pPr>
      <w:r>
        <w:rPr>
          <w:rFonts w:ascii="Times New Roman" w:hAnsi="Times New Roman" w:cs="Times New Roman"/>
          <w:b/>
          <w:bCs/>
          <w:sz w:val="24"/>
          <w:szCs w:val="24"/>
        </w:rPr>
        <w:t xml:space="preserve">Supplementary Figure </w:t>
      </w:r>
      <w:r>
        <w:rPr>
          <w:rFonts w:hint="eastAsia" w:ascii="Times New Roman" w:hAnsi="Times New Roman" w:cs="Times New Roman"/>
          <w:b/>
          <w:bCs/>
          <w:sz w:val="24"/>
          <w:szCs w:val="24"/>
        </w:rPr>
        <w:t>4</w:t>
      </w:r>
      <w:r>
        <w:rPr>
          <w:rFonts w:ascii="Times New Roman" w:hAnsi="Times New Roman" w:cs="Times New Roman"/>
          <w:b/>
          <w:bCs/>
          <w:sz w:val="24"/>
          <w:szCs w:val="24"/>
        </w:rPr>
        <w:t>. In</w:t>
      </w:r>
      <w:r>
        <w:rPr>
          <w:rFonts w:hint="eastAsia" w:ascii="Times New Roman" w:hAnsi="Times New Roman" w:cs="Times New Roman"/>
          <w:b/>
          <w:bCs/>
          <w:sz w:val="24"/>
          <w:szCs w:val="24"/>
        </w:rPr>
        <w:t>-</w:t>
      </w:r>
      <w:r>
        <w:rPr>
          <w:rFonts w:ascii="Times New Roman" w:hAnsi="Times New Roman" w:cs="Times New Roman"/>
          <w:b/>
          <w:bCs/>
          <w:sz w:val="24"/>
          <w:szCs w:val="24"/>
        </w:rPr>
        <w:t xml:space="preserve">situ TEM images of a GeSe nanopillar under uniaxial compression along the </w:t>
      </w:r>
      <w:r>
        <w:rPr>
          <w:rFonts w:hint="eastAsia" w:ascii="Times New Roman" w:hAnsi="Times New Roman" w:cs="Times New Roman"/>
          <w:b/>
          <w:bCs/>
          <w:sz w:val="24"/>
          <w:szCs w:val="24"/>
        </w:rPr>
        <w:t>[001] direction</w:t>
      </w:r>
      <w:r>
        <w:rPr>
          <w:rFonts w:ascii="Times New Roman" w:hAnsi="Times New Roman" w:cs="Times New Roman"/>
          <w:b/>
          <w:bCs/>
          <w:sz w:val="24"/>
          <w:szCs w:val="24"/>
        </w:rPr>
        <w:t>. a</w:t>
      </w:r>
      <w:r>
        <w:rPr>
          <w:rFonts w:ascii="Times New Roman" w:hAnsi="Times New Roman" w:cs="Times New Roman"/>
          <w:sz w:val="24"/>
          <w:szCs w:val="24"/>
        </w:rPr>
        <w:t>–</w:t>
      </w:r>
      <w:r>
        <w:rPr>
          <w:rFonts w:ascii="Times New Roman" w:hAnsi="Times New Roman" w:cs="Times New Roman"/>
          <w:b/>
          <w:bCs/>
          <w:sz w:val="24"/>
          <w:szCs w:val="24"/>
        </w:rPr>
        <w:t>e</w:t>
      </w:r>
      <w:r>
        <w:rPr>
          <w:rFonts w:ascii="Times New Roman" w:hAnsi="Times New Roman" w:cs="Times New Roman"/>
          <w:sz w:val="24"/>
          <w:szCs w:val="24"/>
        </w:rPr>
        <w:t xml:space="preserve"> </w:t>
      </w:r>
      <w:r>
        <w:rPr>
          <w:rFonts w:hint="eastAsia" w:ascii="Times New Roman" w:hAnsi="Times New Roman" w:cs="Times New Roman"/>
          <w:sz w:val="24"/>
          <w:szCs w:val="24"/>
        </w:rPr>
        <w:t>S</w:t>
      </w:r>
      <w:r>
        <w:rPr>
          <w:rFonts w:ascii="Times New Roman" w:hAnsi="Times New Roman" w:cs="Times New Roman"/>
          <w:sz w:val="24"/>
          <w:szCs w:val="24"/>
        </w:rPr>
        <w:t>tructural evolution of the GeSe nanopillar as the applied compressive strain</w:t>
      </w:r>
      <w:r>
        <w:rPr>
          <w:rFonts w:hint="eastAsia" w:ascii="Times New Roman" w:hAnsi="Times New Roman" w:cs="Times New Roman"/>
          <w:sz w:val="24"/>
          <w:szCs w:val="24"/>
        </w:rPr>
        <w:t xml:space="preserve"> </w:t>
      </w:r>
      <m:oMath>
        <m:r>
          <m:rPr/>
          <w:rPr>
            <w:rFonts w:ascii="Cambria Math" w:hAnsi="Cambria Math" w:cs="Times New Roman"/>
            <w:sz w:val="24"/>
            <w:szCs w:val="24"/>
          </w:rPr>
          <m:t>ε</m:t>
        </m:r>
      </m:oMath>
      <w:r>
        <w:rPr>
          <w:rFonts w:ascii="Times New Roman" w:hAnsi="Times New Roman" w:cs="Times New Roman"/>
          <w:sz w:val="24"/>
          <w:szCs w:val="24"/>
        </w:rPr>
        <w:t xml:space="preserve"> increases from 0% to 51.3%.</w:t>
      </w:r>
      <w:r>
        <w:rPr>
          <w:rFonts w:hint="eastAsia" w:ascii="Times New Roman" w:hAnsi="Times New Roman" w:cs="Times New Roman"/>
          <w:sz w:val="24"/>
          <w:szCs w:val="24"/>
        </w:rPr>
        <w:t xml:space="preserve"> </w:t>
      </w:r>
      <w:r>
        <w:rPr>
          <w:rFonts w:ascii="Times New Roman" w:hAnsi="Times New Roman" w:cs="Times New Roman"/>
          <w:sz w:val="24"/>
          <w:szCs w:val="24"/>
        </w:rPr>
        <w:t xml:space="preserve">At </w:t>
      </w:r>
      <w:bookmarkStart w:id="18" w:name="OLE_LINK6"/>
      <m:oMath>
        <m:r>
          <m:rPr/>
          <w:rPr>
            <w:rFonts w:ascii="Cambria Math" w:hAnsi="Cambria Math" w:cs="Times New Roman"/>
            <w:sz w:val="24"/>
            <w:szCs w:val="24"/>
          </w:rPr>
          <m:t>ε</m:t>
        </m:r>
      </m:oMath>
      <w:bookmarkEnd w:id="18"/>
      <w:r>
        <w:rPr>
          <w:rFonts w:ascii="Times New Roman" w:hAnsi="Times New Roman" w:cs="Times New Roman"/>
          <w:sz w:val="24"/>
          <w:szCs w:val="24"/>
        </w:rPr>
        <w:t xml:space="preserve"> = 0%, the nanopillar preserves its initial morphology without observable lattice distortion (a). At </w:t>
      </w:r>
      <m:oMath>
        <m:r>
          <m:rPr/>
          <w:rPr>
            <w:rFonts w:ascii="Cambria Math" w:hAnsi="Cambria Math" w:cs="Times New Roman"/>
            <w:sz w:val="24"/>
            <w:szCs w:val="24"/>
          </w:rPr>
          <m:t>ε</m:t>
        </m:r>
      </m:oMath>
      <w:r>
        <w:rPr>
          <w:rFonts w:ascii="Times New Roman" w:hAnsi="Times New Roman" w:cs="Times New Roman"/>
          <w:sz w:val="24"/>
          <w:szCs w:val="24"/>
        </w:rPr>
        <w:t xml:space="preserve"> = 6.6%, the first signatures of strain-induced phase transformation emerge, as indicated by the white arrows</w:t>
      </w:r>
      <w:r>
        <w:rPr>
          <w:rFonts w:hint="eastAsia" w:ascii="Times New Roman" w:hAnsi="Times New Roman" w:cs="Times New Roman"/>
          <w:sz w:val="24"/>
          <w:szCs w:val="24"/>
        </w:rPr>
        <w:t xml:space="preserve"> </w:t>
      </w:r>
      <w:r>
        <w:rPr>
          <w:rFonts w:ascii="Times New Roman" w:hAnsi="Times New Roman" w:cs="Times New Roman"/>
          <w:sz w:val="24"/>
          <w:szCs w:val="24"/>
        </w:rPr>
        <w:t xml:space="preserve">(b). With further loading, the transformed domains expand progressively, corresponding to </w:t>
      </w:r>
      <m:oMath>
        <m:r>
          <m:rPr/>
          <w:rPr>
            <w:rFonts w:ascii="Cambria Math" w:hAnsi="Cambria Math" w:cs="Times New Roman"/>
            <w:sz w:val="24"/>
            <w:szCs w:val="24"/>
          </w:rPr>
          <m:t>ε</m:t>
        </m:r>
      </m:oMath>
      <w:r>
        <w:rPr>
          <w:rFonts w:ascii="Times New Roman" w:hAnsi="Times New Roman" w:cs="Times New Roman"/>
          <w:sz w:val="24"/>
          <w:szCs w:val="24"/>
        </w:rPr>
        <w:t xml:space="preserve"> = 16.3%, 28.2%, and 51.3%, respectively</w:t>
      </w:r>
      <w:r>
        <w:rPr>
          <w:rFonts w:hint="eastAsia" w:ascii="Times New Roman" w:hAnsi="Times New Roman" w:cs="Times New Roman"/>
          <w:sz w:val="24"/>
          <w:szCs w:val="24"/>
        </w:rPr>
        <w:t xml:space="preserve"> </w:t>
      </w:r>
      <w:r>
        <w:rPr>
          <w:rFonts w:ascii="Times New Roman" w:hAnsi="Times New Roman" w:cs="Times New Roman"/>
          <w:sz w:val="24"/>
          <w:szCs w:val="24"/>
        </w:rPr>
        <w:t>(c–e). The sequence highlights the nucleation and growth of the transformation fronts under increasing compressive strain.</w:t>
      </w:r>
      <w:r>
        <w:rPr>
          <w:rFonts w:hint="eastAsia" w:ascii="Times New Roman" w:hAnsi="Times New Roman" w:cs="Times New Roman"/>
          <w:sz w:val="24"/>
          <w:szCs w:val="24"/>
        </w:rPr>
        <w:t xml:space="preserve"> </w:t>
      </w:r>
      <w:r>
        <w:rPr>
          <w:rFonts w:hint="eastAsia" w:ascii="Times New Roman" w:hAnsi="Times New Roman" w:cs="Times New Roman"/>
          <w:b/>
          <w:bCs/>
          <w:sz w:val="24"/>
          <w:szCs w:val="24"/>
        </w:rPr>
        <w:t>f</w:t>
      </w:r>
      <w:r>
        <w:rPr>
          <w:rFonts w:hint="eastAsia" w:ascii="Times New Roman" w:hAnsi="Times New Roman" w:cs="Times New Roman"/>
          <w:sz w:val="24"/>
          <w:szCs w:val="24"/>
        </w:rPr>
        <w:t>, Corresponding engineering stress–strain curve obtained during the in-situ TEM compression test, showing a continuous strain response accompanied by intermittent stress drops, which associate with the nucleation and propagation of stripy domains during superplastic deformation.</w:t>
      </w:r>
    </w:p>
    <w:p w14:paraId="18C4C88F">
      <w:pPr>
        <w:widowControl/>
        <w:spacing w:after="156" w:afterLines="50" w:line="360" w:lineRule="auto"/>
        <w:rPr>
          <w:rFonts w:ascii="Times New Roman" w:hAnsi="Times New Roman" w:cs="Times New Roman"/>
          <w:sz w:val="24"/>
          <w:szCs w:val="24"/>
        </w:rPr>
      </w:pPr>
      <w:r>
        <w:rPr>
          <w:rFonts w:ascii="Times New Roman" w:hAnsi="Times New Roman" w:cs="Times New Roman"/>
          <w:b/>
          <w:bCs/>
          <w:sz w:val="24"/>
          <w:szCs w:val="24"/>
        </w:rPr>
        <w:drawing>
          <wp:inline distT="0" distB="0" distL="0" distR="0">
            <wp:extent cx="5731510" cy="2280920"/>
            <wp:effectExtent l="0" t="0" r="2540" b="5080"/>
            <wp:docPr id="10087590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759078" name="图片 1"/>
                    <pic:cNvPicPr>
                      <a:picLocks noChangeAspect="1"/>
                    </pic:cNvPicPr>
                  </pic:nvPicPr>
                  <pic:blipFill>
                    <a:blip r:embed="rId10"/>
                    <a:stretch>
                      <a:fillRect/>
                    </a:stretch>
                  </pic:blipFill>
                  <pic:spPr>
                    <a:xfrm>
                      <a:off x="0" y="0"/>
                      <a:ext cx="5731510" cy="2280920"/>
                    </a:xfrm>
                    <a:prstGeom prst="rect">
                      <a:avLst/>
                    </a:prstGeom>
                  </pic:spPr>
                </pic:pic>
              </a:graphicData>
            </a:graphic>
          </wp:inline>
        </w:drawing>
      </w:r>
      <w:r>
        <w:rPr>
          <w:rFonts w:ascii="Times New Roman" w:hAnsi="Times New Roman" w:cs="Times New Roman"/>
          <w:b/>
          <w:bCs/>
          <w:sz w:val="24"/>
          <w:szCs w:val="24"/>
        </w:rPr>
        <w:t xml:space="preserve">Supplementary Figure </w:t>
      </w:r>
      <w:r>
        <w:rPr>
          <w:rFonts w:hint="eastAsia" w:ascii="Times New Roman" w:hAnsi="Times New Roman" w:cs="Times New Roman"/>
          <w:b/>
          <w:bCs/>
          <w:sz w:val="24"/>
          <w:szCs w:val="24"/>
        </w:rPr>
        <w:t>5</w:t>
      </w:r>
      <w:r>
        <w:rPr>
          <w:rFonts w:ascii="Times New Roman" w:hAnsi="Times New Roman" w:cs="Times New Roman"/>
          <w:b/>
          <w:bCs/>
          <w:sz w:val="24"/>
          <w:szCs w:val="24"/>
        </w:rPr>
        <w:t>. In</w:t>
      </w:r>
      <w:r>
        <w:rPr>
          <w:rFonts w:hint="eastAsia" w:ascii="Times New Roman" w:hAnsi="Times New Roman" w:cs="Times New Roman"/>
          <w:b/>
          <w:bCs/>
          <w:sz w:val="24"/>
          <w:szCs w:val="24"/>
        </w:rPr>
        <w:t>-</w:t>
      </w:r>
      <w:r>
        <w:rPr>
          <w:rFonts w:ascii="Times New Roman" w:hAnsi="Times New Roman" w:cs="Times New Roman"/>
          <w:b/>
          <w:bCs/>
          <w:sz w:val="24"/>
          <w:szCs w:val="24"/>
        </w:rPr>
        <w:t xml:space="preserve">situ high-resolution TEM imaging of a GeSe nanopillar during uniaxial compression along </w:t>
      </w:r>
      <w:r>
        <w:rPr>
          <w:rFonts w:hint="eastAsia" w:ascii="Times New Roman" w:hAnsi="Times New Roman" w:cs="Times New Roman"/>
          <w:b/>
          <w:bCs/>
          <w:sz w:val="24"/>
          <w:szCs w:val="24"/>
        </w:rPr>
        <w:t>[001] direction</w:t>
      </w:r>
      <w:r>
        <w:rPr>
          <w:rFonts w:ascii="Times New Roman" w:hAnsi="Times New Roman" w:cs="Times New Roman"/>
          <w:b/>
          <w:bCs/>
          <w:sz w:val="24"/>
          <w:szCs w:val="24"/>
        </w:rPr>
        <w:t xml:space="preserve">, viewed along the </w:t>
      </w:r>
      <w:r>
        <w:rPr>
          <w:rFonts w:hint="eastAsia" w:ascii="Times New Roman" w:hAnsi="Times New Roman" w:cs="Times New Roman"/>
          <w:b/>
          <w:bCs/>
          <w:sz w:val="24"/>
          <w:szCs w:val="24"/>
        </w:rPr>
        <w:t>[100] (</w:t>
      </w:r>
      <w:r>
        <w:rPr>
          <w:rFonts w:ascii="Times New Roman" w:hAnsi="Times New Roman" w:cs="Times New Roman"/>
          <w:b/>
          <w:bCs/>
          <w:sz w:val="24"/>
          <w:szCs w:val="24"/>
        </w:rPr>
        <w:t>zigzag</w:t>
      </w:r>
      <w:r>
        <w:rPr>
          <w:rFonts w:hint="eastAsia" w:ascii="Times New Roman" w:hAnsi="Times New Roman" w:cs="Times New Roman"/>
          <w:b/>
          <w:bCs/>
          <w:sz w:val="24"/>
          <w:szCs w:val="24"/>
        </w:rPr>
        <w:t>)</w:t>
      </w:r>
      <w:r>
        <w:rPr>
          <w:rFonts w:ascii="Times New Roman" w:hAnsi="Times New Roman" w:cs="Times New Roman"/>
          <w:b/>
          <w:bCs/>
          <w:sz w:val="24"/>
          <w:szCs w:val="24"/>
        </w:rPr>
        <w:t xml:space="preserve"> direction.</w:t>
      </w:r>
      <w:r>
        <w:rPr>
          <w:rFonts w:ascii="Times New Roman" w:hAnsi="Times New Roman" w:cs="Times New Roman"/>
          <w:sz w:val="24"/>
          <w:szCs w:val="24"/>
        </w:rPr>
        <w:t xml:space="preserve"> </w:t>
      </w:r>
      <w:r>
        <w:rPr>
          <w:rFonts w:ascii="Times New Roman" w:hAnsi="Times New Roman" w:cs="Times New Roman"/>
          <w:b/>
          <w:bCs/>
          <w:sz w:val="24"/>
          <w:szCs w:val="24"/>
        </w:rPr>
        <w:t>a</w:t>
      </w:r>
      <w:r>
        <w:rPr>
          <w:rFonts w:ascii="Times New Roman" w:hAnsi="Times New Roman" w:cs="Times New Roman"/>
          <w:sz w:val="24"/>
          <w:szCs w:val="24"/>
        </w:rPr>
        <w:t>–</w:t>
      </w:r>
      <w:r>
        <w:rPr>
          <w:rFonts w:ascii="Times New Roman" w:hAnsi="Times New Roman" w:cs="Times New Roman"/>
          <w:b/>
          <w:bCs/>
          <w:sz w:val="24"/>
          <w:szCs w:val="24"/>
        </w:rPr>
        <w:t>e</w:t>
      </w:r>
      <w:r>
        <w:rPr>
          <w:rFonts w:ascii="Times New Roman" w:hAnsi="Times New Roman" w:cs="Times New Roman"/>
          <w:sz w:val="24"/>
          <w:szCs w:val="24"/>
        </w:rPr>
        <w:t xml:space="preserve"> Time-resolved HRTEM images acquired at 0, 34, 51, 201, and 214 s during continuous loading. (a) At 0 s, the nanopillar remains in the undeformed state without discernible structural transformation. (b) At 34 s, lattice distortion develops under applied strain, while no phase transition is observed. (c) At 51 s, the initial nucleation of the </w:t>
      </w:r>
      <w:r>
        <w:rPr>
          <w:rFonts w:ascii="Times New Roman" w:hAnsi="Times New Roman" w:cs="Times New Roman"/>
          <w:i/>
          <w:iCs/>
          <w:sz w:val="24"/>
          <w:szCs w:val="24"/>
        </w:rPr>
        <w:t>β</w:t>
      </w:r>
      <w:r>
        <w:rPr>
          <w:rFonts w:ascii="Times New Roman" w:hAnsi="Times New Roman" w:cs="Times New Roman"/>
          <w:sz w:val="24"/>
          <w:szCs w:val="24"/>
        </w:rPr>
        <w:t>-GeSe phase is detected, as highlighted by the dashed region. (d,e) With further increasing strain, the β-phase domains progressively expand, indicating strain-driven phase growth under sustained compression.</w:t>
      </w:r>
    </w:p>
    <w:p w14:paraId="06F3E851">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40001AAF">
      <w:pPr>
        <w:pStyle w:val="29"/>
        <w:numPr>
          <w:ilvl w:val="0"/>
          <w:numId w:val="3"/>
        </w:numPr>
      </w:pPr>
      <w:bookmarkStart w:id="19" w:name="_Hlk217299536"/>
      <w:r>
        <w:t xml:space="preserve">Lattice variation </w:t>
      </w:r>
      <w:r>
        <w:rPr>
          <w:rFonts w:hint="eastAsia"/>
        </w:rPr>
        <w:t>and m</w:t>
      </w:r>
      <w:r>
        <w:t>echanical stability of GeSe under uniaxial compressive strain</w:t>
      </w:r>
    </w:p>
    <w:bookmarkEnd w:id="19"/>
    <w:p w14:paraId="3E384351">
      <w:pPr>
        <w:pStyle w:val="10"/>
        <w:tabs>
          <w:tab w:val="left" w:pos="2705"/>
        </w:tabs>
        <w:spacing w:after="156" w:line="360" w:lineRule="auto"/>
        <w:jc w:val="both"/>
        <w:rPr>
          <w:rFonts w:ascii="Times New Roman" w:hAnsi="Times New Roman" w:eastAsia="等线"/>
          <w:color w:val="000000"/>
        </w:rPr>
      </w:pPr>
      <w:r>
        <w:rPr>
          <w:rFonts w:ascii="Times New Roman" w:hAnsi="Times New Roman" w:eastAsia="等线"/>
          <w:color w:val="000000"/>
        </w:rPr>
        <w:t>The atomic structure presented in Supplementary Fig</w:t>
      </w:r>
      <w:r>
        <w:rPr>
          <w:rFonts w:hint="eastAsia" w:ascii="Times New Roman" w:hAnsi="Times New Roman" w:eastAsia="等线"/>
          <w:color w:val="000000"/>
        </w:rPr>
        <w:t>.</w:t>
      </w:r>
      <w:r>
        <w:rPr>
          <w:rFonts w:ascii="Times New Roman" w:hAnsi="Times New Roman" w:eastAsia="等线"/>
          <w:color w:val="000000"/>
        </w:rPr>
        <w:t xml:space="preserve"> </w:t>
      </w:r>
      <w:r>
        <w:rPr>
          <w:rFonts w:hint="eastAsia" w:ascii="Times New Roman" w:hAnsi="Times New Roman" w:eastAsia="等线"/>
          <w:color w:val="000000"/>
        </w:rPr>
        <w:t>6a-c</w:t>
      </w:r>
      <w:r>
        <w:rPr>
          <w:rFonts w:ascii="Times New Roman" w:hAnsi="Times New Roman" w:eastAsia="等线"/>
          <w:color w:val="000000"/>
        </w:rPr>
        <w:t xml:space="preserve"> illustrates the anisotropic nature of GeSe, which is also reflected by lattice variation under uniaxial compressive strain along the </w:t>
      </w:r>
      <w:bookmarkStart w:id="20" w:name="OLE_LINK9"/>
      <w:bookmarkStart w:id="21" w:name="OLE_LINK8"/>
      <w:r>
        <w:rPr>
          <w:rFonts w:hint="eastAsia" w:ascii="Times New Roman" w:hAnsi="Times New Roman" w:eastAsia="等线"/>
          <w:color w:val="000000"/>
        </w:rPr>
        <w:t>[100]</w:t>
      </w:r>
      <w:r>
        <w:rPr>
          <w:rFonts w:ascii="Times New Roman" w:hAnsi="Times New Roman" w:eastAsia="等线"/>
          <w:color w:val="000000"/>
        </w:rPr>
        <w:t xml:space="preserve">, </w:t>
      </w:r>
      <w:r>
        <w:rPr>
          <w:rFonts w:hint="eastAsia" w:ascii="Times New Roman" w:hAnsi="Times New Roman" w:eastAsia="等线"/>
          <w:color w:val="000000"/>
        </w:rPr>
        <w:t>[010]</w:t>
      </w:r>
      <w:r>
        <w:rPr>
          <w:rFonts w:ascii="Times New Roman" w:hAnsi="Times New Roman" w:eastAsia="等线"/>
          <w:color w:val="000000"/>
        </w:rPr>
        <w:t xml:space="preserve"> and </w:t>
      </w:r>
      <w:r>
        <w:rPr>
          <w:rFonts w:hint="eastAsia" w:ascii="Times New Roman" w:hAnsi="Times New Roman" w:eastAsia="等线"/>
          <w:color w:val="000000"/>
        </w:rPr>
        <w:t>[001]</w:t>
      </w:r>
      <w:r>
        <w:rPr>
          <w:rFonts w:ascii="Times New Roman" w:hAnsi="Times New Roman" w:eastAsia="等线"/>
          <w:color w:val="000000"/>
        </w:rPr>
        <w:t xml:space="preserve"> directions</w:t>
      </w:r>
      <w:bookmarkEnd w:id="20"/>
      <w:r>
        <w:rPr>
          <w:rFonts w:ascii="Times New Roman" w:hAnsi="Times New Roman" w:eastAsia="等线"/>
          <w:color w:val="000000"/>
        </w:rPr>
        <w:t>.</w:t>
      </w:r>
      <w:bookmarkEnd w:id="21"/>
      <w:r>
        <w:rPr>
          <w:rFonts w:ascii="Times New Roman" w:hAnsi="Times New Roman" w:eastAsia="等线"/>
          <w:color w:val="000000"/>
        </w:rPr>
        <w:t xml:space="preserve"> By applying compressive uniaxial strain along </w:t>
      </w:r>
      <w:r>
        <w:rPr>
          <w:rFonts w:hint="eastAsia" w:ascii="Times New Roman" w:hAnsi="Times New Roman" w:eastAsia="等线"/>
          <w:color w:val="000000"/>
        </w:rPr>
        <w:t>[100]</w:t>
      </w:r>
      <w:r>
        <w:rPr>
          <w:rFonts w:ascii="Times New Roman" w:hAnsi="Times New Roman" w:eastAsia="等线"/>
          <w:color w:val="000000"/>
        </w:rPr>
        <w:t xml:space="preserve"> direction, the lattice constant along </w:t>
      </w:r>
      <w:r>
        <w:rPr>
          <w:rFonts w:hint="eastAsia" w:ascii="Times New Roman" w:hAnsi="Times New Roman" w:eastAsia="等线"/>
          <w:color w:val="000000"/>
        </w:rPr>
        <w:t>[010]</w:t>
      </w:r>
      <w:r>
        <w:rPr>
          <w:rFonts w:ascii="Times New Roman" w:hAnsi="Times New Roman" w:eastAsia="等线"/>
          <w:color w:val="000000"/>
        </w:rPr>
        <w:t xml:space="preserve"> increases, while that of </w:t>
      </w:r>
      <w:r>
        <w:rPr>
          <w:rFonts w:hint="eastAsia" w:ascii="Times New Roman" w:hAnsi="Times New Roman" w:eastAsia="等线"/>
          <w:color w:val="000000"/>
        </w:rPr>
        <w:t>[001]</w:t>
      </w:r>
      <w:r>
        <w:rPr>
          <w:rFonts w:ascii="Times New Roman" w:hAnsi="Times New Roman" w:eastAsia="等线"/>
          <w:color w:val="000000"/>
        </w:rPr>
        <w:t xml:space="preserve"> decreases (Supplementary Fig</w:t>
      </w:r>
      <w:r>
        <w:rPr>
          <w:rFonts w:hint="eastAsia" w:ascii="Times New Roman" w:hAnsi="Times New Roman" w:eastAsia="等线"/>
          <w:color w:val="000000"/>
        </w:rPr>
        <w:t>.</w:t>
      </w:r>
      <w:r>
        <w:rPr>
          <w:rFonts w:ascii="Times New Roman" w:hAnsi="Times New Roman" w:eastAsia="等线"/>
          <w:color w:val="000000"/>
        </w:rPr>
        <w:t xml:space="preserve"> </w:t>
      </w:r>
      <w:r>
        <w:rPr>
          <w:rFonts w:hint="eastAsia" w:ascii="Times New Roman" w:hAnsi="Times New Roman" w:eastAsia="等线"/>
          <w:color w:val="000000"/>
        </w:rPr>
        <w:t>6d</w:t>
      </w:r>
      <w:r>
        <w:rPr>
          <w:rFonts w:ascii="Times New Roman" w:hAnsi="Times New Roman" w:eastAsia="等线"/>
          <w:color w:val="000000"/>
        </w:rPr>
        <w:t>)</w:t>
      </w:r>
      <w:r>
        <w:rPr>
          <w:rFonts w:hint="eastAsia" w:ascii="Times New Roman" w:hAnsi="Times New Roman" w:eastAsia="等线"/>
          <w:color w:val="000000"/>
        </w:rPr>
        <w:t xml:space="preserve">. </w:t>
      </w:r>
      <w:r>
        <w:rPr>
          <w:rFonts w:ascii="Times New Roman" w:hAnsi="Times New Roman" w:eastAsia="等线"/>
          <w:color w:val="000000"/>
        </w:rPr>
        <w:t xml:space="preserve">In contrast, both lattice constants along </w:t>
      </w:r>
      <w:r>
        <w:rPr>
          <w:rFonts w:hint="eastAsia" w:ascii="Times New Roman" w:hAnsi="Times New Roman" w:eastAsia="等线"/>
          <w:color w:val="000000"/>
        </w:rPr>
        <w:t>[100]</w:t>
      </w:r>
      <w:r>
        <w:rPr>
          <w:rFonts w:ascii="Times New Roman" w:hAnsi="Times New Roman" w:eastAsia="等线"/>
          <w:color w:val="000000"/>
        </w:rPr>
        <w:t xml:space="preserve"> and </w:t>
      </w:r>
      <w:r>
        <w:rPr>
          <w:rFonts w:hint="eastAsia" w:ascii="Times New Roman" w:hAnsi="Times New Roman" w:eastAsia="等线"/>
          <w:color w:val="000000"/>
        </w:rPr>
        <w:t>[001]</w:t>
      </w:r>
      <w:r>
        <w:rPr>
          <w:rFonts w:ascii="Times New Roman" w:hAnsi="Times New Roman" w:eastAsia="等线"/>
          <w:color w:val="000000"/>
        </w:rPr>
        <w:t xml:space="preserve"> increases by applying compressive uniaxial strain along </w:t>
      </w:r>
      <w:r>
        <w:rPr>
          <w:rFonts w:hint="eastAsia" w:ascii="Times New Roman" w:hAnsi="Times New Roman" w:eastAsia="等线"/>
          <w:color w:val="000000"/>
        </w:rPr>
        <w:t>[010]</w:t>
      </w:r>
      <w:r>
        <w:rPr>
          <w:rFonts w:ascii="Times New Roman" w:hAnsi="Times New Roman" w:eastAsia="等线"/>
          <w:color w:val="000000"/>
        </w:rPr>
        <w:t xml:space="preserve"> direction</w:t>
      </w:r>
      <w:r>
        <w:rPr>
          <w:rFonts w:hint="eastAsia" w:ascii="Times New Roman" w:hAnsi="Times New Roman" w:eastAsia="等线"/>
          <w:color w:val="000000"/>
        </w:rPr>
        <w:t xml:space="preserve"> </w:t>
      </w:r>
      <w:r>
        <w:rPr>
          <w:rFonts w:ascii="Times New Roman" w:hAnsi="Times New Roman" w:eastAsia="等线"/>
          <w:color w:val="000000"/>
        </w:rPr>
        <w:t>(Supplementary Fig</w:t>
      </w:r>
      <w:r>
        <w:rPr>
          <w:rFonts w:hint="eastAsia" w:ascii="Times New Roman" w:hAnsi="Times New Roman" w:eastAsia="等线"/>
          <w:color w:val="000000"/>
        </w:rPr>
        <w:t>.</w:t>
      </w:r>
      <w:r>
        <w:rPr>
          <w:rFonts w:ascii="Times New Roman" w:hAnsi="Times New Roman" w:eastAsia="等线"/>
          <w:color w:val="000000"/>
        </w:rPr>
        <w:t xml:space="preserve"> </w:t>
      </w:r>
      <w:r>
        <w:rPr>
          <w:rFonts w:hint="eastAsia" w:ascii="Times New Roman" w:hAnsi="Times New Roman" w:eastAsia="等线"/>
          <w:color w:val="000000"/>
        </w:rPr>
        <w:t>6e</w:t>
      </w:r>
      <w:r>
        <w:rPr>
          <w:rFonts w:ascii="Times New Roman" w:hAnsi="Times New Roman" w:eastAsia="等线"/>
          <w:color w:val="000000"/>
        </w:rPr>
        <w:t xml:space="preserve">). Interesting, by applying compressive uniaxial strain along </w:t>
      </w:r>
      <w:r>
        <w:rPr>
          <w:rFonts w:hint="eastAsia" w:ascii="Times New Roman" w:hAnsi="Times New Roman" w:eastAsia="等线"/>
          <w:color w:val="000000"/>
        </w:rPr>
        <w:t>[001]</w:t>
      </w:r>
      <w:r>
        <w:rPr>
          <w:rFonts w:ascii="Times New Roman" w:hAnsi="Times New Roman" w:eastAsia="等线"/>
          <w:color w:val="000000"/>
        </w:rPr>
        <w:t xml:space="preserve"> direction, the lattice constant along </w:t>
      </w:r>
      <w:r>
        <w:rPr>
          <w:rFonts w:hint="eastAsia" w:ascii="Times New Roman" w:hAnsi="Times New Roman" w:eastAsia="等线"/>
          <w:color w:val="000000"/>
        </w:rPr>
        <w:t>[100]</w:t>
      </w:r>
      <w:r>
        <w:rPr>
          <w:rFonts w:ascii="Times New Roman" w:hAnsi="Times New Roman" w:eastAsia="等线"/>
          <w:color w:val="000000"/>
        </w:rPr>
        <w:t xml:space="preserve"> direction </w:t>
      </w:r>
      <w:r>
        <w:rPr>
          <w:rFonts w:hint="eastAsia" w:ascii="Times New Roman" w:hAnsi="Times New Roman" w:eastAsia="等线"/>
          <w:color w:val="000000"/>
        </w:rPr>
        <w:t>varies slightly</w:t>
      </w:r>
      <w:r>
        <w:rPr>
          <w:rFonts w:ascii="Times New Roman" w:hAnsi="Times New Roman" w:eastAsia="等线"/>
          <w:color w:val="000000"/>
        </w:rPr>
        <w:t xml:space="preserve"> (</w:t>
      </w:r>
      <w:bookmarkStart w:id="22" w:name="OLE_LINK53"/>
      <w:r>
        <w:rPr>
          <w:rFonts w:ascii="Times New Roman" w:hAnsi="Times New Roman" w:eastAsia="等线"/>
          <w:color w:val="000000"/>
        </w:rPr>
        <w:t>Supplementary Fig</w:t>
      </w:r>
      <w:r>
        <w:rPr>
          <w:rFonts w:hint="eastAsia" w:ascii="Times New Roman" w:hAnsi="Times New Roman" w:eastAsia="等线"/>
          <w:color w:val="000000"/>
        </w:rPr>
        <w:t>.</w:t>
      </w:r>
      <w:r>
        <w:rPr>
          <w:rFonts w:ascii="Times New Roman" w:hAnsi="Times New Roman" w:eastAsia="等线"/>
          <w:color w:val="000000"/>
        </w:rPr>
        <w:t xml:space="preserve"> </w:t>
      </w:r>
      <w:r>
        <w:rPr>
          <w:rFonts w:hint="eastAsia" w:ascii="Times New Roman" w:hAnsi="Times New Roman" w:eastAsia="等线"/>
          <w:color w:val="000000"/>
        </w:rPr>
        <w:t>6f</w:t>
      </w:r>
      <w:bookmarkEnd w:id="22"/>
      <w:r>
        <w:rPr>
          <w:rFonts w:ascii="Times New Roman" w:hAnsi="Times New Roman" w:eastAsia="等线"/>
          <w:color w:val="000000"/>
        </w:rPr>
        <w:t>)</w:t>
      </w:r>
      <w:r>
        <w:rPr>
          <w:rFonts w:ascii="Times New Roman" w:hAnsi="Times New Roman" w:eastAsia="等线"/>
          <w:color w:val="000000"/>
        </w:rPr>
        <w:fldChar w:fldCharType="begin"/>
      </w:r>
      <w:r>
        <w:rPr>
          <w:rFonts w:ascii="Times New Roman" w:hAnsi="Times New Roman" w:eastAsia="等线"/>
          <w:color w:val="000000"/>
        </w:rPr>
        <w:instrText xml:space="preserve"> ADDIN EN.CITE &lt;EndNote&gt;&lt;Cite&gt;&lt;Author&gt;Kong&lt;/Author&gt;&lt;Year&gt;2018&lt;/Year&gt;&lt;RecNum&gt;2985&lt;/RecNum&gt;&lt;DisplayText&gt;&lt;style face="superscript"&gt;1&lt;/style&gt;&lt;/DisplayText&gt;&lt;record&gt;&lt;rec-number&gt;2985&lt;/rec-number&gt;&lt;foreign-keys&gt;&lt;key app="EN" db-id="zs2fp5r2f2x2e2esxe75ap2k2dx05tep55zx" timestamp="1767016490"&gt;2985&lt;/key&gt;&lt;/foreign-keys&gt;&lt;ref-type name="Journal Article"&gt;17&lt;/ref-type&gt;&lt;contributors&gt;&lt;authors&gt;&lt;author&gt;Kong, Xian&lt;/author&gt;&lt;author&gt;Deng, Junkai&lt;/author&gt;&lt;author&gt;Li, Lou&lt;/author&gt;&lt;author&gt;Liu, Yilun&lt;/author&gt;&lt;author&gt;Ding, Xiangdong&lt;/author&gt;&lt;author&gt;Sun, Jun&lt;/author&gt;&lt;author&gt;Liu, Jefferson Zhe&lt;/author&gt;&lt;/authors&gt;&lt;/contributors&gt;&lt;titles&gt;&lt;title&gt;Tunable auxetic properties in group-IV monochalcogenide monolayers&lt;/title&gt;&lt;secondary-title&gt;Physical Review B&lt;/secondary-title&gt;&lt;/titles&gt;&lt;periodical&gt;&lt;full-title&gt;Physical Review B&lt;/full-title&gt;&lt;/periodical&gt;&lt;pages&gt;184104&lt;/pages&gt;&lt;volume&gt;98&lt;/volume&gt;&lt;number&gt;18&lt;/number&gt;&lt;dates&gt;&lt;year&gt;2018&lt;/year&gt;&lt;pub-dates&gt;&lt;date&gt;11/16/&lt;/date&gt;&lt;/pub-dates&gt;&lt;/dates&gt;&lt;publisher&gt;American Physical Society&lt;/publisher&gt;&lt;urls&gt;&lt;related-urls&gt;&lt;url&gt;https://link.aps.org/doi/10.1103/PhysRevB.98.184104&lt;/url&gt;&lt;/related-urls&gt;&lt;/urls&gt;&lt;electronic-resource-num&gt;10.1103/PhysRevB.98.184104&lt;/electronic-resource-num&gt;&lt;/record&gt;&lt;/Cite&gt;&lt;/EndNote&gt;</w:instrText>
      </w:r>
      <w:r>
        <w:rPr>
          <w:rFonts w:ascii="Times New Roman" w:hAnsi="Times New Roman" w:eastAsia="等线"/>
          <w:color w:val="000000"/>
        </w:rPr>
        <w:fldChar w:fldCharType="separate"/>
      </w:r>
      <w:r>
        <w:rPr>
          <w:rFonts w:ascii="Times New Roman" w:hAnsi="Times New Roman" w:eastAsia="等线"/>
          <w:color w:val="000000"/>
          <w:vertAlign w:val="superscript"/>
        </w:rPr>
        <w:t>1</w:t>
      </w:r>
      <w:r>
        <w:rPr>
          <w:rFonts w:ascii="Times New Roman" w:hAnsi="Times New Roman" w:eastAsia="等线"/>
          <w:color w:val="000000"/>
        </w:rPr>
        <w:fldChar w:fldCharType="end"/>
      </w:r>
      <w:r>
        <w:rPr>
          <w:rFonts w:hint="eastAsia" w:ascii="Times New Roman" w:hAnsi="Times New Roman" w:eastAsia="等线"/>
          <w:color w:val="000000"/>
        </w:rPr>
        <w:t>.</w:t>
      </w:r>
      <w:r>
        <w:rPr>
          <w:rFonts w:ascii="Times New Roman" w:hAnsi="Times New Roman" w:eastAsia="等线"/>
          <w:color w:val="000000"/>
        </w:rPr>
        <w:t xml:space="preserve"> </w:t>
      </w:r>
    </w:p>
    <w:p w14:paraId="1237EA01">
      <w:pPr>
        <w:pStyle w:val="10"/>
        <w:tabs>
          <w:tab w:val="left" w:pos="2705"/>
        </w:tabs>
        <w:spacing w:after="156" w:line="360" w:lineRule="auto"/>
        <w:jc w:val="both"/>
        <w:rPr>
          <w:rFonts w:ascii="Times New Roman" w:hAnsi="Times New Roman" w:eastAsia="等线"/>
          <w:color w:val="000000"/>
        </w:rPr>
      </w:pPr>
      <w:r>
        <w:rPr>
          <w:rFonts w:ascii="Times New Roman" w:hAnsi="Times New Roman" w:eastAsia="等线"/>
          <w:color w:val="000000"/>
        </w:rPr>
        <w:t>For the mechanical stability, the elastic constants for a stable structure should satisfy the Born stability criteria. α-GeSe belongs to Orthorhombic system. The following are the necessary and sufficient Born criteria for an orthorhombic system</w:t>
      </w:r>
      <w:r>
        <w:rPr>
          <w:rFonts w:ascii="Times New Roman" w:hAnsi="Times New Roman" w:eastAsia="等线"/>
          <w:color w:val="000000"/>
        </w:rPr>
        <w:fldChar w:fldCharType="begin"/>
      </w:r>
      <w:r>
        <w:rPr>
          <w:rFonts w:ascii="Times New Roman" w:hAnsi="Times New Roman" w:eastAsia="等线"/>
          <w:color w:val="000000"/>
        </w:rPr>
        <w:instrText xml:space="preserve"> ADDIN EN.CITE &lt;EndNote&gt;&lt;Cite&gt;&lt;Author&gt;Mouhat&lt;/Author&gt;&lt;Year&gt;2014&lt;/Year&gt;&lt;RecNum&gt;2987&lt;/RecNum&gt;&lt;DisplayText&gt;&lt;style face="superscript"&gt;2&lt;/style&gt;&lt;/DisplayText&gt;&lt;record&gt;&lt;rec-number&gt;2987&lt;/rec-number&gt;&lt;foreign-keys&gt;&lt;key app="EN" db-id="zs2fp5r2f2x2e2esxe75ap2k2dx05tep55zx" timestamp="1767016551"&gt;2987&lt;/key&gt;&lt;/foreign-keys&gt;&lt;ref-type name="Journal Article"&gt;17&lt;/ref-type&gt;&lt;contributors&gt;&lt;authors&gt;&lt;author&gt;Mouhat, Félix&lt;/author&gt;&lt;author&gt;Coudert, François-Xavier&lt;/author&gt;&lt;/authors&gt;&lt;/contributors&gt;&lt;titles&gt;&lt;title&gt;Necessary and sufficient elastic stability conditions in various crystal systems&lt;/title&gt;&lt;secondary-title&gt;Physical Review B&lt;/secondary-title&gt;&lt;/titles&gt;&lt;periodical&gt;&lt;full-title&gt;Physical Review B&lt;/full-title&gt;&lt;/periodical&gt;&lt;pages&gt;224104&lt;/pages&gt;&lt;volume&gt;90&lt;/volume&gt;&lt;number&gt;22&lt;/number&gt;&lt;dates&gt;&lt;year&gt;2014&lt;/year&gt;&lt;pub-dates&gt;&lt;date&gt;12/05/&lt;/date&gt;&lt;/pub-dates&gt;&lt;/dates&gt;&lt;publisher&gt;American Physical Society&lt;/publisher&gt;&lt;urls&gt;&lt;related-urls&gt;&lt;url&gt;https://link.aps.org/doi/10.1103/PhysRevB.90.224104&lt;/url&gt;&lt;/related-urls&gt;&lt;/urls&gt;&lt;electronic-resource-num&gt;10.1103/PhysRevB.90.224104&lt;/electronic-resource-num&gt;&lt;/record&gt;&lt;/Cite&gt;&lt;/EndNote&gt;</w:instrText>
      </w:r>
      <w:r>
        <w:rPr>
          <w:rFonts w:ascii="Times New Roman" w:hAnsi="Times New Roman" w:eastAsia="等线"/>
          <w:color w:val="000000"/>
        </w:rPr>
        <w:fldChar w:fldCharType="separate"/>
      </w:r>
      <w:r>
        <w:rPr>
          <w:rFonts w:ascii="Times New Roman" w:hAnsi="Times New Roman" w:eastAsia="等线"/>
          <w:color w:val="000000"/>
          <w:vertAlign w:val="superscript"/>
        </w:rPr>
        <w:t>2</w:t>
      </w:r>
      <w:r>
        <w:rPr>
          <w:rFonts w:ascii="Times New Roman" w:hAnsi="Times New Roman" w:eastAsia="等线"/>
          <w:color w:val="000000"/>
        </w:rPr>
        <w:fldChar w:fldCharType="end"/>
      </w:r>
      <w:r>
        <w:rPr>
          <w:rFonts w:hint="eastAsia" w:ascii="Times New Roman" w:hAnsi="Times New Roman" w:eastAsia="等线"/>
          <w:color w:val="000000"/>
        </w:rPr>
        <w:t>:</w:t>
      </w:r>
    </w:p>
    <w:p w14:paraId="0618E13D">
      <w:pPr>
        <w:pStyle w:val="10"/>
        <w:tabs>
          <w:tab w:val="left" w:pos="2705"/>
        </w:tabs>
        <w:spacing w:before="0" w:beforeAutospacing="0" w:after="0" w:afterAutospacing="0" w:line="360" w:lineRule="auto"/>
        <w:jc w:val="both"/>
        <w:rPr>
          <w:rFonts w:ascii="Times New Roman" w:hAnsi="Times New Roman" w:eastAsia="等线"/>
          <w:color w:val="000000"/>
        </w:rPr>
      </w:pPr>
      <m:oMathPara>
        <m:oMath>
          <m:m>
            <m:mPr>
              <m:mcs>
                <m:mc>
                  <m:mcPr>
                    <m:count m:val="1"/>
                    <m:mcJc m:val="center"/>
                  </m:mcPr>
                </m:mc>
              </m:mcs>
              <m:plcHide m:val="1"/>
              <m:ctrlPr>
                <w:rPr>
                  <w:rFonts w:ascii="Cambria Math" w:hAnsi="Cambria Math" w:eastAsia="等线"/>
                  <w:color w:val="000000"/>
                </w:rPr>
              </m:ctrlPr>
            </m:mPr>
            <m:mr>
              <m:e>
                <m:sSub>
                  <m:sSubPr>
                    <m:ctrlPr>
                      <w:rPr>
                        <w:rFonts w:ascii="Cambria Math" w:hAnsi="Cambria Math" w:eastAsia="等线"/>
                        <w:color w:val="000000"/>
                      </w:rPr>
                    </m:ctrlPr>
                  </m:sSubPr>
                  <m:e>
                    <m:r>
                      <m:rPr>
                        <m:nor/>
                      </m:rPr>
                      <w:rPr>
                        <w:rFonts w:ascii="Times New Roman" w:hAnsi="Times New Roman" w:eastAsia="等线"/>
                        <w:i/>
                        <w:color w:val="000000"/>
                      </w:rPr>
                      <m:t>C</m:t>
                    </m:r>
                    <m:ctrlPr>
                      <w:rPr>
                        <w:rFonts w:ascii="Cambria Math" w:hAnsi="Cambria Math" w:eastAsia="等线"/>
                        <w:color w:val="000000"/>
                      </w:rPr>
                    </m:ctrlPr>
                  </m:e>
                  <m:sub>
                    <m:r>
                      <m:rPr>
                        <m:nor/>
                        <m:sty m:val="p"/>
                      </m:rPr>
                      <w:rPr>
                        <w:rFonts w:ascii="Times New Roman" w:hAnsi="Times New Roman" w:eastAsia="等线"/>
                        <w:color w:val="000000"/>
                      </w:rPr>
                      <m:t>11</m:t>
                    </m:r>
                    <m:ctrlPr>
                      <w:rPr>
                        <w:rFonts w:ascii="Cambria Math" w:hAnsi="Cambria Math" w:eastAsia="等线"/>
                        <w:color w:val="000000"/>
                      </w:rPr>
                    </m:ctrlPr>
                  </m:sub>
                </m:sSub>
                <m:r>
                  <m:rPr>
                    <m:nor/>
                    <m:sty m:val="p"/>
                  </m:rPr>
                  <w:rPr>
                    <w:rFonts w:ascii="Times New Roman" w:hAnsi="Times New Roman" w:eastAsia="等线"/>
                    <w:color w:val="000000"/>
                  </w:rPr>
                  <m:t>&gt;0,</m:t>
                </m:r>
                <m:sSub>
                  <m:sSubPr>
                    <m:ctrlPr>
                      <w:rPr>
                        <w:rFonts w:ascii="Cambria Math" w:hAnsi="Cambria Math" w:eastAsia="等线"/>
                        <w:color w:val="000000"/>
                      </w:rPr>
                    </m:ctrlPr>
                  </m:sSubPr>
                  <m:e>
                    <m:r>
                      <m:rPr>
                        <m:nor/>
                      </m:rPr>
                      <w:rPr>
                        <w:rFonts w:ascii="Times New Roman" w:hAnsi="Times New Roman" w:eastAsia="等线"/>
                        <w:i/>
                        <w:color w:val="000000"/>
                      </w:rPr>
                      <m:t xml:space="preserve"> C</m:t>
                    </m:r>
                    <m:ctrlPr>
                      <w:rPr>
                        <w:rFonts w:ascii="Cambria Math" w:hAnsi="Cambria Math" w:eastAsia="等线"/>
                        <w:color w:val="000000"/>
                      </w:rPr>
                    </m:ctrlPr>
                  </m:e>
                  <m:sub>
                    <m:r>
                      <m:rPr>
                        <m:nor/>
                        <m:sty m:val="p"/>
                      </m:rPr>
                      <w:rPr>
                        <w:rFonts w:ascii="Times New Roman" w:hAnsi="Times New Roman" w:eastAsia="等线"/>
                        <w:color w:val="000000"/>
                      </w:rPr>
                      <m:t>11</m:t>
                    </m:r>
                    <m:ctrlPr>
                      <w:rPr>
                        <w:rFonts w:ascii="Cambria Math" w:hAnsi="Cambria Math" w:eastAsia="等线"/>
                        <w:color w:val="000000"/>
                      </w:rPr>
                    </m:ctrlPr>
                  </m:sub>
                </m:sSub>
                <m:sSub>
                  <m:sSubPr>
                    <m:ctrlPr>
                      <w:rPr>
                        <w:rFonts w:ascii="Cambria Math" w:hAnsi="Cambria Math" w:eastAsia="等线"/>
                        <w:color w:val="000000"/>
                      </w:rPr>
                    </m:ctrlPr>
                  </m:sSubPr>
                  <m:e>
                    <m:r>
                      <m:rPr>
                        <m:nor/>
                      </m:rPr>
                      <w:rPr>
                        <w:rFonts w:ascii="Times New Roman" w:hAnsi="Times New Roman" w:eastAsia="等线"/>
                        <w:i/>
                        <w:color w:val="000000"/>
                      </w:rPr>
                      <m:t>C</m:t>
                    </m:r>
                    <m:ctrlPr>
                      <w:rPr>
                        <w:rFonts w:ascii="Cambria Math" w:hAnsi="Cambria Math" w:eastAsia="等线"/>
                        <w:color w:val="000000"/>
                      </w:rPr>
                    </m:ctrlPr>
                  </m:e>
                  <m:sub>
                    <m:r>
                      <m:rPr>
                        <m:nor/>
                        <m:sty m:val="p"/>
                      </m:rPr>
                      <w:rPr>
                        <w:rFonts w:ascii="Times New Roman" w:hAnsi="Times New Roman" w:eastAsia="等线"/>
                        <w:color w:val="000000"/>
                      </w:rPr>
                      <m:t>22</m:t>
                    </m:r>
                    <m:ctrlPr>
                      <w:rPr>
                        <w:rFonts w:ascii="Cambria Math" w:hAnsi="Cambria Math" w:eastAsia="等线"/>
                        <w:color w:val="000000"/>
                      </w:rPr>
                    </m:ctrlPr>
                  </m:sub>
                </m:sSub>
                <m:r>
                  <m:rPr>
                    <m:nor/>
                    <m:sty m:val="p"/>
                  </m:rPr>
                  <w:rPr>
                    <w:rFonts w:ascii="Times New Roman" w:hAnsi="Times New Roman" w:eastAsia="等线"/>
                    <w:color w:val="000000"/>
                  </w:rPr>
                  <m:t>&gt;</m:t>
                </m:r>
                <m:sSubSup>
                  <m:sSubSupPr>
                    <m:ctrlPr>
                      <w:rPr>
                        <w:rFonts w:ascii="Cambria Math" w:hAnsi="Cambria Math" w:eastAsia="等线"/>
                        <w:color w:val="000000"/>
                      </w:rPr>
                    </m:ctrlPr>
                  </m:sSubSupPr>
                  <m:e>
                    <m:r>
                      <m:rPr>
                        <m:nor/>
                      </m:rPr>
                      <w:rPr>
                        <w:rFonts w:ascii="Times New Roman" w:hAnsi="Times New Roman" w:eastAsia="等线"/>
                        <w:i/>
                        <w:color w:val="000000"/>
                      </w:rPr>
                      <m:t>C</m:t>
                    </m:r>
                    <m:ctrlPr>
                      <w:rPr>
                        <w:rFonts w:ascii="Cambria Math" w:hAnsi="Cambria Math" w:eastAsia="等线"/>
                        <w:color w:val="000000"/>
                      </w:rPr>
                    </m:ctrlPr>
                  </m:e>
                  <m:sub>
                    <m:r>
                      <m:rPr>
                        <m:nor/>
                        <m:sty m:val="p"/>
                      </m:rPr>
                      <w:rPr>
                        <w:rFonts w:ascii="Times New Roman" w:hAnsi="Times New Roman" w:eastAsia="等线"/>
                        <w:color w:val="000000"/>
                      </w:rPr>
                      <m:t>12</m:t>
                    </m:r>
                    <m:ctrlPr>
                      <w:rPr>
                        <w:rFonts w:ascii="Cambria Math" w:hAnsi="Cambria Math" w:eastAsia="等线"/>
                        <w:color w:val="000000"/>
                      </w:rPr>
                    </m:ctrlPr>
                  </m:sub>
                  <m:sup>
                    <m:r>
                      <m:rPr>
                        <m:nor/>
                        <m:sty m:val="p"/>
                      </m:rPr>
                      <w:rPr>
                        <w:rFonts w:ascii="Times New Roman" w:hAnsi="Times New Roman" w:eastAsia="等线"/>
                        <w:color w:val="000000"/>
                      </w:rPr>
                      <m:t>2</m:t>
                    </m:r>
                    <m:ctrlPr>
                      <w:rPr>
                        <w:rFonts w:ascii="Cambria Math" w:hAnsi="Cambria Math" w:eastAsia="等线"/>
                        <w:color w:val="000000"/>
                      </w:rPr>
                    </m:ctrlPr>
                  </m:sup>
                </m:sSubSup>
                <m:r>
                  <m:rPr>
                    <m:nor/>
                    <m:sty m:val="p"/>
                  </m:rPr>
                  <w:rPr>
                    <w:rFonts w:ascii="Times New Roman" w:hAnsi="Times New Roman" w:eastAsia="等线"/>
                    <w:color w:val="000000"/>
                  </w:rPr>
                  <m:t>,</m:t>
                </m:r>
                <m:ctrlPr>
                  <w:rPr>
                    <w:rFonts w:ascii="Cambria Math" w:hAnsi="Cambria Math" w:eastAsia="等线"/>
                    <w:color w:val="000000"/>
                  </w:rPr>
                </m:ctrlPr>
              </m:e>
            </m:mr>
            <m:mr>
              <m:e>
                <m:sSub>
                  <m:sSubPr>
                    <m:ctrlPr>
                      <w:rPr>
                        <w:rFonts w:ascii="Cambria Math" w:hAnsi="Cambria Math" w:eastAsia="等线"/>
                        <w:color w:val="000000"/>
                      </w:rPr>
                    </m:ctrlPr>
                  </m:sSubPr>
                  <m:e>
                    <m:r>
                      <m:rPr>
                        <m:nor/>
                      </m:rPr>
                      <w:rPr>
                        <w:rFonts w:ascii="Times New Roman" w:hAnsi="Times New Roman" w:eastAsia="等线"/>
                        <w:i/>
                        <w:color w:val="000000"/>
                      </w:rPr>
                      <m:t>C</m:t>
                    </m:r>
                    <m:ctrlPr>
                      <w:rPr>
                        <w:rFonts w:ascii="Cambria Math" w:hAnsi="Cambria Math" w:eastAsia="等线"/>
                        <w:color w:val="000000"/>
                      </w:rPr>
                    </m:ctrlPr>
                  </m:e>
                  <m:sub>
                    <m:r>
                      <m:rPr>
                        <m:nor/>
                        <m:sty m:val="p"/>
                      </m:rPr>
                      <w:rPr>
                        <w:rFonts w:ascii="Times New Roman" w:hAnsi="Times New Roman" w:eastAsia="等线"/>
                        <w:color w:val="000000"/>
                      </w:rPr>
                      <m:t>11</m:t>
                    </m:r>
                    <m:ctrlPr>
                      <w:rPr>
                        <w:rFonts w:ascii="Cambria Math" w:hAnsi="Cambria Math" w:eastAsia="等线"/>
                        <w:color w:val="000000"/>
                      </w:rPr>
                    </m:ctrlPr>
                  </m:sub>
                </m:sSub>
                <m:sSub>
                  <m:sSubPr>
                    <m:ctrlPr>
                      <w:rPr>
                        <w:rFonts w:ascii="Cambria Math" w:hAnsi="Cambria Math" w:eastAsia="等线"/>
                        <w:color w:val="000000"/>
                      </w:rPr>
                    </m:ctrlPr>
                  </m:sSubPr>
                  <m:e>
                    <m:r>
                      <m:rPr>
                        <m:nor/>
                      </m:rPr>
                      <w:rPr>
                        <w:rFonts w:ascii="Times New Roman" w:hAnsi="Times New Roman" w:eastAsia="等线"/>
                        <w:i/>
                        <w:color w:val="000000"/>
                      </w:rPr>
                      <m:t>C</m:t>
                    </m:r>
                    <m:ctrlPr>
                      <w:rPr>
                        <w:rFonts w:ascii="Cambria Math" w:hAnsi="Cambria Math" w:eastAsia="等线"/>
                        <w:color w:val="000000"/>
                      </w:rPr>
                    </m:ctrlPr>
                  </m:e>
                  <m:sub>
                    <m:r>
                      <m:rPr>
                        <m:nor/>
                        <m:sty m:val="p"/>
                      </m:rPr>
                      <w:rPr>
                        <w:rFonts w:ascii="Times New Roman" w:hAnsi="Times New Roman" w:eastAsia="等线"/>
                        <w:color w:val="000000"/>
                      </w:rPr>
                      <m:t>22</m:t>
                    </m:r>
                    <m:ctrlPr>
                      <w:rPr>
                        <w:rFonts w:ascii="Cambria Math" w:hAnsi="Cambria Math" w:eastAsia="等线"/>
                        <w:color w:val="000000"/>
                      </w:rPr>
                    </m:ctrlPr>
                  </m:sub>
                </m:sSub>
                <m:sSub>
                  <m:sSubPr>
                    <m:ctrlPr>
                      <w:rPr>
                        <w:rFonts w:ascii="Cambria Math" w:hAnsi="Cambria Math" w:eastAsia="等线"/>
                        <w:color w:val="000000"/>
                      </w:rPr>
                    </m:ctrlPr>
                  </m:sSubPr>
                  <m:e>
                    <m:r>
                      <m:rPr>
                        <m:nor/>
                      </m:rPr>
                      <w:rPr>
                        <w:rFonts w:ascii="Times New Roman" w:hAnsi="Times New Roman" w:eastAsia="等线"/>
                        <w:i/>
                        <w:color w:val="000000"/>
                      </w:rPr>
                      <m:t>C</m:t>
                    </m:r>
                    <m:ctrlPr>
                      <w:rPr>
                        <w:rFonts w:ascii="Cambria Math" w:hAnsi="Cambria Math" w:eastAsia="等线"/>
                        <w:color w:val="000000"/>
                      </w:rPr>
                    </m:ctrlPr>
                  </m:e>
                  <m:sub>
                    <m:r>
                      <m:rPr>
                        <m:nor/>
                        <m:sty m:val="p"/>
                      </m:rPr>
                      <w:rPr>
                        <w:rFonts w:ascii="Times New Roman" w:hAnsi="Times New Roman" w:eastAsia="等线"/>
                        <w:color w:val="000000"/>
                      </w:rPr>
                      <m:t>33</m:t>
                    </m:r>
                    <m:ctrlPr>
                      <w:rPr>
                        <w:rFonts w:ascii="Cambria Math" w:hAnsi="Cambria Math" w:eastAsia="等线"/>
                        <w:color w:val="000000"/>
                      </w:rPr>
                    </m:ctrlPr>
                  </m:sub>
                </m:sSub>
                <m:r>
                  <m:rPr>
                    <m:nor/>
                    <m:sty m:val="p"/>
                  </m:rPr>
                  <w:rPr>
                    <w:rFonts w:ascii="Times New Roman" w:hAnsi="Times New Roman" w:eastAsia="等线"/>
                    <w:color w:val="000000"/>
                  </w:rPr>
                  <m:t>+2</m:t>
                </m:r>
                <m:sSub>
                  <m:sSubPr>
                    <m:ctrlPr>
                      <w:rPr>
                        <w:rFonts w:ascii="Cambria Math" w:hAnsi="Cambria Math" w:eastAsia="等线"/>
                        <w:color w:val="000000"/>
                      </w:rPr>
                    </m:ctrlPr>
                  </m:sSubPr>
                  <m:e>
                    <m:r>
                      <m:rPr>
                        <m:nor/>
                      </m:rPr>
                      <w:rPr>
                        <w:rFonts w:ascii="Times New Roman" w:hAnsi="Times New Roman" w:eastAsia="等线"/>
                        <w:i/>
                        <w:color w:val="000000"/>
                      </w:rPr>
                      <m:t>C</m:t>
                    </m:r>
                    <m:ctrlPr>
                      <w:rPr>
                        <w:rFonts w:ascii="Cambria Math" w:hAnsi="Cambria Math" w:eastAsia="等线"/>
                        <w:color w:val="000000"/>
                      </w:rPr>
                    </m:ctrlPr>
                  </m:e>
                  <m:sub>
                    <m:r>
                      <m:rPr>
                        <m:nor/>
                        <m:sty m:val="p"/>
                      </m:rPr>
                      <w:rPr>
                        <w:rFonts w:ascii="Times New Roman" w:hAnsi="Times New Roman" w:eastAsia="等线"/>
                        <w:color w:val="000000"/>
                      </w:rPr>
                      <m:t>12</m:t>
                    </m:r>
                    <m:ctrlPr>
                      <w:rPr>
                        <w:rFonts w:ascii="Cambria Math" w:hAnsi="Cambria Math" w:eastAsia="等线"/>
                        <w:color w:val="000000"/>
                      </w:rPr>
                    </m:ctrlPr>
                  </m:sub>
                </m:sSub>
                <m:sSub>
                  <m:sSubPr>
                    <m:ctrlPr>
                      <w:rPr>
                        <w:rFonts w:ascii="Cambria Math" w:hAnsi="Cambria Math" w:eastAsia="等线"/>
                        <w:color w:val="000000"/>
                      </w:rPr>
                    </m:ctrlPr>
                  </m:sSubPr>
                  <m:e>
                    <m:r>
                      <m:rPr>
                        <m:nor/>
                      </m:rPr>
                      <w:rPr>
                        <w:rFonts w:ascii="Times New Roman" w:hAnsi="Times New Roman" w:eastAsia="等线"/>
                        <w:i/>
                        <w:color w:val="000000"/>
                      </w:rPr>
                      <m:t>C</m:t>
                    </m:r>
                    <m:ctrlPr>
                      <w:rPr>
                        <w:rFonts w:ascii="Cambria Math" w:hAnsi="Cambria Math" w:eastAsia="等线"/>
                        <w:color w:val="000000"/>
                      </w:rPr>
                    </m:ctrlPr>
                  </m:e>
                  <m:sub>
                    <m:r>
                      <m:rPr>
                        <m:nor/>
                        <m:sty m:val="p"/>
                      </m:rPr>
                      <w:rPr>
                        <w:rFonts w:ascii="Times New Roman" w:hAnsi="Times New Roman" w:eastAsia="等线"/>
                        <w:color w:val="000000"/>
                      </w:rPr>
                      <m:t>13</m:t>
                    </m:r>
                    <m:ctrlPr>
                      <w:rPr>
                        <w:rFonts w:ascii="Cambria Math" w:hAnsi="Cambria Math" w:eastAsia="等线"/>
                        <w:color w:val="000000"/>
                      </w:rPr>
                    </m:ctrlPr>
                  </m:sub>
                </m:sSub>
                <m:sSub>
                  <m:sSubPr>
                    <m:ctrlPr>
                      <w:rPr>
                        <w:rFonts w:ascii="Cambria Math" w:hAnsi="Cambria Math" w:eastAsia="等线"/>
                        <w:color w:val="000000"/>
                      </w:rPr>
                    </m:ctrlPr>
                  </m:sSubPr>
                  <m:e>
                    <m:r>
                      <m:rPr>
                        <m:nor/>
                      </m:rPr>
                      <w:rPr>
                        <w:rFonts w:ascii="Times New Roman" w:hAnsi="Times New Roman" w:eastAsia="等线"/>
                        <w:i/>
                        <w:color w:val="000000"/>
                      </w:rPr>
                      <m:t>C</m:t>
                    </m:r>
                    <m:ctrlPr>
                      <w:rPr>
                        <w:rFonts w:ascii="Cambria Math" w:hAnsi="Cambria Math" w:eastAsia="等线"/>
                        <w:color w:val="000000"/>
                      </w:rPr>
                    </m:ctrlPr>
                  </m:e>
                  <m:sub>
                    <m:r>
                      <m:rPr>
                        <m:nor/>
                        <m:sty m:val="p"/>
                      </m:rPr>
                      <w:rPr>
                        <w:rFonts w:ascii="Times New Roman" w:hAnsi="Times New Roman" w:eastAsia="等线"/>
                        <w:color w:val="000000"/>
                      </w:rPr>
                      <m:t>23</m:t>
                    </m:r>
                    <m:ctrlPr>
                      <w:rPr>
                        <w:rFonts w:ascii="Cambria Math" w:hAnsi="Cambria Math" w:eastAsia="等线"/>
                        <w:color w:val="000000"/>
                      </w:rPr>
                    </m:ctrlPr>
                  </m:sub>
                </m:sSub>
                <m:r>
                  <m:rPr>
                    <m:nor/>
                    <m:sty m:val="p"/>
                  </m:rPr>
                  <w:rPr>
                    <w:rFonts w:ascii="Times New Roman" w:hAnsi="Times New Roman" w:eastAsia="等线"/>
                    <w:color w:val="000000"/>
                  </w:rPr>
                  <m:t>-</m:t>
                </m:r>
                <m:sSub>
                  <m:sSubPr>
                    <m:ctrlPr>
                      <w:rPr>
                        <w:rFonts w:ascii="Cambria Math" w:hAnsi="Cambria Math" w:eastAsia="等线"/>
                        <w:color w:val="000000"/>
                      </w:rPr>
                    </m:ctrlPr>
                  </m:sSubPr>
                  <m:e>
                    <m:r>
                      <m:rPr>
                        <m:nor/>
                      </m:rPr>
                      <w:rPr>
                        <w:rFonts w:ascii="Times New Roman" w:hAnsi="Times New Roman" w:eastAsia="等线"/>
                        <w:i/>
                        <w:color w:val="000000"/>
                      </w:rPr>
                      <m:t>C</m:t>
                    </m:r>
                    <m:ctrlPr>
                      <w:rPr>
                        <w:rFonts w:ascii="Cambria Math" w:hAnsi="Cambria Math" w:eastAsia="等线"/>
                        <w:color w:val="000000"/>
                      </w:rPr>
                    </m:ctrlPr>
                  </m:e>
                  <m:sub>
                    <m:r>
                      <m:rPr>
                        <m:nor/>
                        <m:sty m:val="p"/>
                      </m:rPr>
                      <w:rPr>
                        <w:rFonts w:ascii="Times New Roman" w:hAnsi="Times New Roman" w:eastAsia="等线"/>
                        <w:color w:val="000000"/>
                      </w:rPr>
                      <m:t>11</m:t>
                    </m:r>
                    <m:ctrlPr>
                      <w:rPr>
                        <w:rFonts w:ascii="Cambria Math" w:hAnsi="Cambria Math" w:eastAsia="等线"/>
                        <w:color w:val="000000"/>
                      </w:rPr>
                    </m:ctrlPr>
                  </m:sub>
                </m:sSub>
                <m:sSubSup>
                  <m:sSubSupPr>
                    <m:ctrlPr>
                      <w:rPr>
                        <w:rFonts w:ascii="Cambria Math" w:hAnsi="Cambria Math" w:eastAsia="等线"/>
                        <w:color w:val="000000"/>
                      </w:rPr>
                    </m:ctrlPr>
                  </m:sSubSupPr>
                  <m:e>
                    <m:r>
                      <m:rPr>
                        <m:nor/>
                      </m:rPr>
                      <w:rPr>
                        <w:rFonts w:ascii="Times New Roman" w:hAnsi="Times New Roman" w:eastAsia="等线"/>
                        <w:i/>
                        <w:color w:val="000000"/>
                      </w:rPr>
                      <m:t>C</m:t>
                    </m:r>
                    <m:ctrlPr>
                      <w:rPr>
                        <w:rFonts w:ascii="Cambria Math" w:hAnsi="Cambria Math" w:eastAsia="等线"/>
                        <w:color w:val="000000"/>
                      </w:rPr>
                    </m:ctrlPr>
                  </m:e>
                  <m:sub>
                    <m:r>
                      <m:rPr>
                        <m:nor/>
                        <m:sty m:val="p"/>
                      </m:rPr>
                      <w:rPr>
                        <w:rFonts w:ascii="Times New Roman" w:hAnsi="Times New Roman" w:eastAsia="等线"/>
                        <w:color w:val="000000"/>
                      </w:rPr>
                      <m:t>23</m:t>
                    </m:r>
                    <m:ctrlPr>
                      <w:rPr>
                        <w:rFonts w:ascii="Cambria Math" w:hAnsi="Cambria Math" w:eastAsia="等线"/>
                        <w:color w:val="000000"/>
                      </w:rPr>
                    </m:ctrlPr>
                  </m:sub>
                  <m:sup>
                    <m:r>
                      <m:rPr>
                        <m:nor/>
                        <m:sty m:val="p"/>
                      </m:rPr>
                      <w:rPr>
                        <w:rFonts w:ascii="Times New Roman" w:hAnsi="Times New Roman" w:eastAsia="等线"/>
                        <w:color w:val="000000"/>
                      </w:rPr>
                      <m:t>2</m:t>
                    </m:r>
                    <m:ctrlPr>
                      <w:rPr>
                        <w:rFonts w:ascii="Cambria Math" w:hAnsi="Cambria Math" w:eastAsia="等线"/>
                        <w:color w:val="000000"/>
                      </w:rPr>
                    </m:ctrlPr>
                  </m:sup>
                </m:sSubSup>
                <m:r>
                  <m:rPr>
                    <m:nor/>
                    <m:sty m:val="p"/>
                  </m:rPr>
                  <w:rPr>
                    <w:rFonts w:ascii="Times New Roman" w:hAnsi="Times New Roman" w:eastAsia="等线"/>
                    <w:color w:val="000000"/>
                  </w:rPr>
                  <m:t>-</m:t>
                </m:r>
                <m:sSub>
                  <m:sSubPr>
                    <m:ctrlPr>
                      <w:rPr>
                        <w:rFonts w:ascii="Cambria Math" w:hAnsi="Cambria Math" w:eastAsia="等线"/>
                        <w:color w:val="000000"/>
                      </w:rPr>
                    </m:ctrlPr>
                  </m:sSubPr>
                  <m:e>
                    <m:r>
                      <m:rPr>
                        <m:nor/>
                      </m:rPr>
                      <w:rPr>
                        <w:rFonts w:ascii="Times New Roman" w:hAnsi="Times New Roman" w:eastAsia="等线"/>
                        <w:i/>
                        <w:color w:val="000000"/>
                      </w:rPr>
                      <m:t>C</m:t>
                    </m:r>
                    <m:ctrlPr>
                      <w:rPr>
                        <w:rFonts w:ascii="Cambria Math" w:hAnsi="Cambria Math" w:eastAsia="等线"/>
                        <w:color w:val="000000"/>
                      </w:rPr>
                    </m:ctrlPr>
                  </m:e>
                  <m:sub>
                    <m:r>
                      <m:rPr>
                        <m:nor/>
                        <m:sty m:val="p"/>
                      </m:rPr>
                      <w:rPr>
                        <w:rFonts w:ascii="Times New Roman" w:hAnsi="Times New Roman" w:eastAsia="等线"/>
                        <w:color w:val="000000"/>
                      </w:rPr>
                      <m:t>22</m:t>
                    </m:r>
                    <m:ctrlPr>
                      <w:rPr>
                        <w:rFonts w:ascii="Cambria Math" w:hAnsi="Cambria Math" w:eastAsia="等线"/>
                        <w:color w:val="000000"/>
                      </w:rPr>
                    </m:ctrlPr>
                  </m:sub>
                </m:sSub>
                <m:sSubSup>
                  <m:sSubSupPr>
                    <m:ctrlPr>
                      <w:rPr>
                        <w:rFonts w:ascii="Cambria Math" w:hAnsi="Cambria Math" w:eastAsia="等线"/>
                        <w:color w:val="000000"/>
                      </w:rPr>
                    </m:ctrlPr>
                  </m:sSubSupPr>
                  <m:e>
                    <m:r>
                      <m:rPr>
                        <m:nor/>
                      </m:rPr>
                      <w:rPr>
                        <w:rFonts w:ascii="Times New Roman" w:hAnsi="Times New Roman" w:eastAsia="等线"/>
                        <w:i/>
                        <w:color w:val="000000"/>
                      </w:rPr>
                      <m:t>C</m:t>
                    </m:r>
                    <m:ctrlPr>
                      <w:rPr>
                        <w:rFonts w:ascii="Cambria Math" w:hAnsi="Cambria Math" w:eastAsia="等线"/>
                        <w:color w:val="000000"/>
                      </w:rPr>
                    </m:ctrlPr>
                  </m:e>
                  <m:sub>
                    <m:r>
                      <m:rPr>
                        <m:nor/>
                        <m:sty m:val="p"/>
                      </m:rPr>
                      <w:rPr>
                        <w:rFonts w:ascii="Times New Roman" w:hAnsi="Times New Roman" w:eastAsia="等线"/>
                        <w:color w:val="000000"/>
                      </w:rPr>
                      <m:t>13</m:t>
                    </m:r>
                    <m:ctrlPr>
                      <w:rPr>
                        <w:rFonts w:ascii="Cambria Math" w:hAnsi="Cambria Math" w:eastAsia="等线"/>
                        <w:color w:val="000000"/>
                      </w:rPr>
                    </m:ctrlPr>
                  </m:sub>
                  <m:sup>
                    <m:r>
                      <m:rPr>
                        <m:nor/>
                        <m:sty m:val="p"/>
                      </m:rPr>
                      <w:rPr>
                        <w:rFonts w:ascii="Times New Roman" w:hAnsi="Times New Roman" w:eastAsia="等线"/>
                        <w:color w:val="000000"/>
                      </w:rPr>
                      <m:t>2</m:t>
                    </m:r>
                    <m:ctrlPr>
                      <w:rPr>
                        <w:rFonts w:ascii="Cambria Math" w:hAnsi="Cambria Math" w:eastAsia="等线"/>
                        <w:color w:val="000000"/>
                      </w:rPr>
                    </m:ctrlPr>
                  </m:sup>
                </m:sSubSup>
                <m:r>
                  <m:rPr>
                    <m:nor/>
                    <m:sty m:val="p"/>
                  </m:rPr>
                  <w:rPr>
                    <w:rFonts w:ascii="Times New Roman" w:hAnsi="Times New Roman" w:eastAsia="等线"/>
                    <w:color w:val="000000"/>
                  </w:rPr>
                  <m:t>-</m:t>
                </m:r>
                <m:sSub>
                  <m:sSubPr>
                    <m:ctrlPr>
                      <w:rPr>
                        <w:rFonts w:ascii="Cambria Math" w:hAnsi="Cambria Math" w:eastAsia="等线"/>
                        <w:color w:val="000000"/>
                      </w:rPr>
                    </m:ctrlPr>
                  </m:sSubPr>
                  <m:e>
                    <m:r>
                      <m:rPr>
                        <m:nor/>
                      </m:rPr>
                      <w:rPr>
                        <w:rFonts w:ascii="Times New Roman" w:hAnsi="Times New Roman" w:eastAsia="等线"/>
                        <w:i/>
                        <w:color w:val="000000"/>
                      </w:rPr>
                      <m:t>C</m:t>
                    </m:r>
                    <m:ctrlPr>
                      <w:rPr>
                        <w:rFonts w:ascii="Cambria Math" w:hAnsi="Cambria Math" w:eastAsia="等线"/>
                        <w:color w:val="000000"/>
                      </w:rPr>
                    </m:ctrlPr>
                  </m:e>
                  <m:sub>
                    <m:r>
                      <m:rPr>
                        <m:nor/>
                        <m:sty m:val="p"/>
                      </m:rPr>
                      <w:rPr>
                        <w:rFonts w:ascii="Times New Roman" w:hAnsi="Times New Roman" w:eastAsia="等线"/>
                        <w:color w:val="000000"/>
                      </w:rPr>
                      <m:t>33</m:t>
                    </m:r>
                    <m:ctrlPr>
                      <w:rPr>
                        <w:rFonts w:ascii="Cambria Math" w:hAnsi="Cambria Math" w:eastAsia="等线"/>
                        <w:color w:val="000000"/>
                      </w:rPr>
                    </m:ctrlPr>
                  </m:sub>
                </m:sSub>
                <m:sSubSup>
                  <m:sSubSupPr>
                    <m:ctrlPr>
                      <w:rPr>
                        <w:rFonts w:ascii="Cambria Math" w:hAnsi="Cambria Math" w:eastAsia="等线"/>
                        <w:color w:val="000000"/>
                      </w:rPr>
                    </m:ctrlPr>
                  </m:sSubSupPr>
                  <m:e>
                    <m:r>
                      <m:rPr>
                        <m:nor/>
                      </m:rPr>
                      <w:rPr>
                        <w:rFonts w:ascii="Times New Roman" w:hAnsi="Times New Roman" w:eastAsia="等线"/>
                        <w:i/>
                        <w:color w:val="000000"/>
                      </w:rPr>
                      <m:t>C</m:t>
                    </m:r>
                    <m:ctrlPr>
                      <w:rPr>
                        <w:rFonts w:ascii="Cambria Math" w:hAnsi="Cambria Math" w:eastAsia="等线"/>
                        <w:color w:val="000000"/>
                      </w:rPr>
                    </m:ctrlPr>
                  </m:e>
                  <m:sub>
                    <m:r>
                      <m:rPr>
                        <m:nor/>
                        <m:sty m:val="p"/>
                      </m:rPr>
                      <w:rPr>
                        <w:rFonts w:ascii="Times New Roman" w:hAnsi="Times New Roman" w:eastAsia="等线"/>
                        <w:color w:val="000000"/>
                      </w:rPr>
                      <m:t>12</m:t>
                    </m:r>
                    <m:ctrlPr>
                      <w:rPr>
                        <w:rFonts w:ascii="Cambria Math" w:hAnsi="Cambria Math" w:eastAsia="等线"/>
                        <w:color w:val="000000"/>
                      </w:rPr>
                    </m:ctrlPr>
                  </m:sub>
                  <m:sup>
                    <m:r>
                      <m:rPr>
                        <m:nor/>
                        <m:sty m:val="p"/>
                      </m:rPr>
                      <w:rPr>
                        <w:rFonts w:ascii="Times New Roman" w:hAnsi="Times New Roman" w:eastAsia="等线"/>
                        <w:color w:val="000000"/>
                      </w:rPr>
                      <m:t>2</m:t>
                    </m:r>
                    <m:ctrlPr>
                      <w:rPr>
                        <w:rFonts w:ascii="Cambria Math" w:hAnsi="Cambria Math" w:eastAsia="等线"/>
                        <w:color w:val="000000"/>
                      </w:rPr>
                    </m:ctrlPr>
                  </m:sup>
                </m:sSubSup>
                <m:r>
                  <m:rPr>
                    <m:nor/>
                    <m:sty m:val="p"/>
                  </m:rPr>
                  <w:rPr>
                    <w:rFonts w:ascii="Times New Roman" w:hAnsi="Times New Roman" w:eastAsia="等线"/>
                    <w:color w:val="000000"/>
                  </w:rPr>
                  <m:t>&gt;0,</m:t>
                </m:r>
                <m:ctrlPr>
                  <w:rPr>
                    <w:rFonts w:ascii="Cambria Math" w:hAnsi="Cambria Math" w:eastAsia="等线"/>
                    <w:color w:val="000000"/>
                  </w:rPr>
                </m:ctrlPr>
              </m:e>
            </m:mr>
            <m:mr>
              <m:e>
                <m:sSub>
                  <m:sSubPr>
                    <m:ctrlPr>
                      <w:rPr>
                        <w:rFonts w:ascii="Cambria Math" w:hAnsi="Cambria Math" w:eastAsia="等线"/>
                        <w:color w:val="000000"/>
                      </w:rPr>
                    </m:ctrlPr>
                  </m:sSubPr>
                  <m:e>
                    <m:r>
                      <m:rPr>
                        <m:nor/>
                      </m:rPr>
                      <w:rPr>
                        <w:rFonts w:ascii="Times New Roman" w:hAnsi="Times New Roman" w:eastAsia="等线"/>
                        <w:i/>
                        <w:color w:val="000000"/>
                      </w:rPr>
                      <m:t>C</m:t>
                    </m:r>
                    <m:ctrlPr>
                      <w:rPr>
                        <w:rFonts w:ascii="Cambria Math" w:hAnsi="Cambria Math" w:eastAsia="等线"/>
                        <w:color w:val="000000"/>
                      </w:rPr>
                    </m:ctrlPr>
                  </m:e>
                  <m:sub>
                    <m:r>
                      <m:rPr>
                        <m:nor/>
                        <m:sty m:val="p"/>
                      </m:rPr>
                      <w:rPr>
                        <w:rFonts w:ascii="Times New Roman" w:hAnsi="Times New Roman" w:eastAsia="等线"/>
                        <w:color w:val="000000"/>
                      </w:rPr>
                      <m:t>44</m:t>
                    </m:r>
                    <m:ctrlPr>
                      <w:rPr>
                        <w:rFonts w:ascii="Cambria Math" w:hAnsi="Cambria Math" w:eastAsia="等线"/>
                        <w:color w:val="000000"/>
                      </w:rPr>
                    </m:ctrlPr>
                  </m:sub>
                </m:sSub>
                <m:r>
                  <m:rPr>
                    <m:nor/>
                    <m:sty m:val="p"/>
                  </m:rPr>
                  <w:rPr>
                    <w:rFonts w:ascii="Times New Roman" w:hAnsi="Times New Roman" w:eastAsia="等线"/>
                    <w:color w:val="000000"/>
                  </w:rPr>
                  <m:t xml:space="preserve">&gt;0, </m:t>
                </m:r>
                <m:sSub>
                  <m:sSubPr>
                    <m:ctrlPr>
                      <w:rPr>
                        <w:rFonts w:ascii="Cambria Math" w:hAnsi="Cambria Math" w:eastAsia="等线"/>
                        <w:color w:val="000000"/>
                      </w:rPr>
                    </m:ctrlPr>
                  </m:sSubPr>
                  <m:e>
                    <m:r>
                      <m:rPr>
                        <m:nor/>
                      </m:rPr>
                      <w:rPr>
                        <w:rFonts w:ascii="Times New Roman" w:hAnsi="Times New Roman" w:eastAsia="等线"/>
                        <w:i/>
                        <w:color w:val="000000"/>
                      </w:rPr>
                      <m:t>C</m:t>
                    </m:r>
                    <m:ctrlPr>
                      <w:rPr>
                        <w:rFonts w:ascii="Cambria Math" w:hAnsi="Cambria Math" w:eastAsia="等线"/>
                        <w:color w:val="000000"/>
                      </w:rPr>
                    </m:ctrlPr>
                  </m:e>
                  <m:sub>
                    <m:r>
                      <m:rPr>
                        <m:nor/>
                        <m:sty m:val="p"/>
                      </m:rPr>
                      <w:rPr>
                        <w:rFonts w:ascii="Times New Roman" w:hAnsi="Times New Roman" w:eastAsia="等线"/>
                        <w:color w:val="000000"/>
                      </w:rPr>
                      <m:t>55</m:t>
                    </m:r>
                    <m:ctrlPr>
                      <w:rPr>
                        <w:rFonts w:ascii="Cambria Math" w:hAnsi="Cambria Math" w:eastAsia="等线"/>
                        <w:color w:val="000000"/>
                      </w:rPr>
                    </m:ctrlPr>
                  </m:sub>
                </m:sSub>
                <m:r>
                  <m:rPr>
                    <m:nor/>
                    <m:sty m:val="p"/>
                  </m:rPr>
                  <w:rPr>
                    <w:rFonts w:ascii="Times New Roman" w:hAnsi="Times New Roman" w:eastAsia="等线"/>
                    <w:color w:val="000000"/>
                  </w:rPr>
                  <m:t>&gt;0,</m:t>
                </m:r>
                <m:sSub>
                  <m:sSubPr>
                    <m:ctrlPr>
                      <w:rPr>
                        <w:rFonts w:ascii="Cambria Math" w:hAnsi="Cambria Math" w:eastAsia="等线"/>
                        <w:color w:val="000000"/>
                      </w:rPr>
                    </m:ctrlPr>
                  </m:sSubPr>
                  <m:e>
                    <m:r>
                      <m:rPr>
                        <m:nor/>
                      </m:rPr>
                      <w:rPr>
                        <w:rFonts w:ascii="Times New Roman" w:hAnsi="Times New Roman" w:eastAsia="等线"/>
                        <w:i/>
                        <w:color w:val="000000"/>
                      </w:rPr>
                      <m:t xml:space="preserve"> C</m:t>
                    </m:r>
                    <m:ctrlPr>
                      <w:rPr>
                        <w:rFonts w:ascii="Cambria Math" w:hAnsi="Cambria Math" w:eastAsia="等线"/>
                        <w:color w:val="000000"/>
                      </w:rPr>
                    </m:ctrlPr>
                  </m:e>
                  <m:sub>
                    <m:r>
                      <m:rPr>
                        <m:nor/>
                        <m:sty m:val="p"/>
                      </m:rPr>
                      <w:rPr>
                        <w:rFonts w:ascii="Times New Roman" w:hAnsi="Times New Roman" w:eastAsia="等线"/>
                        <w:color w:val="000000"/>
                      </w:rPr>
                      <m:t>66</m:t>
                    </m:r>
                    <m:ctrlPr>
                      <w:rPr>
                        <w:rFonts w:ascii="Cambria Math" w:hAnsi="Cambria Math" w:eastAsia="等线"/>
                        <w:color w:val="000000"/>
                      </w:rPr>
                    </m:ctrlPr>
                  </m:sub>
                </m:sSub>
                <m:r>
                  <m:rPr>
                    <m:nor/>
                    <m:sty m:val="p"/>
                  </m:rPr>
                  <w:rPr>
                    <w:rFonts w:ascii="Times New Roman" w:hAnsi="Times New Roman" w:eastAsia="等线"/>
                    <w:color w:val="000000"/>
                  </w:rPr>
                  <m:t>&gt;0.</m:t>
                </m:r>
                <m:ctrlPr>
                  <w:rPr>
                    <w:rFonts w:ascii="Cambria Math" w:hAnsi="Cambria Math" w:eastAsia="等线"/>
                    <w:color w:val="000000"/>
                  </w:rPr>
                </m:ctrlPr>
              </m:e>
            </m:mr>
          </m:m>
        </m:oMath>
      </m:oMathPara>
    </w:p>
    <w:p w14:paraId="23FA2CCC">
      <w:pPr>
        <w:pStyle w:val="10"/>
        <w:tabs>
          <w:tab w:val="left" w:pos="2705"/>
        </w:tabs>
        <w:spacing w:after="156" w:line="360" w:lineRule="auto"/>
        <w:jc w:val="both"/>
        <w:rPr>
          <w:rFonts w:ascii="Times New Roman" w:hAnsi="Times New Roman" w:eastAsia="等线"/>
          <w:color w:val="000000"/>
        </w:rPr>
      </w:pPr>
      <w:r>
        <w:rPr>
          <w:rFonts w:ascii="Times New Roman" w:hAnsi="Times New Roman" w:eastAsia="等线"/>
          <w:color w:val="000000"/>
        </w:rPr>
        <w:t>We defined six functions:</w:t>
      </w:r>
      <w:r>
        <w:rPr>
          <w:rFonts w:hint="eastAsia" w:ascii="Times New Roman" w:hAnsi="Times New Roman" w:eastAsia="等线"/>
          <w:color w:val="000000"/>
        </w:rPr>
        <w:t xml:space="preserve"> </w:t>
      </w:r>
      <m:oMath>
        <m:sSub>
          <m:sSubPr>
            <m:ctrlPr>
              <w:rPr>
                <w:rFonts w:ascii="Cambria Math" w:hAnsi="Cambria Math" w:eastAsia="等线"/>
                <w:color w:val="000000"/>
              </w:rPr>
            </m:ctrlPr>
          </m:sSubPr>
          <m:e>
            <m:r>
              <m:rPr>
                <m:nor/>
                <m:sty m:val="p"/>
              </m:rPr>
              <w:rPr>
                <w:rFonts w:ascii="Times New Roman" w:hAnsi="Times New Roman" w:eastAsia="等线"/>
                <w:iCs/>
                <w:color w:val="000000"/>
              </w:rPr>
              <m:t>Y1</m:t>
            </m:r>
            <m:r>
              <m:rPr>
                <m:nor/>
              </m:rPr>
              <w:rPr>
                <w:rFonts w:ascii="Times New Roman" w:hAnsi="Times New Roman" w:eastAsia="等线"/>
                <w:i/>
                <w:color w:val="000000"/>
              </w:rPr>
              <m:t>=C</m:t>
            </m:r>
            <m:ctrlPr>
              <w:rPr>
                <w:rFonts w:ascii="Cambria Math" w:hAnsi="Cambria Math" w:eastAsia="等线"/>
                <w:color w:val="000000"/>
              </w:rPr>
            </m:ctrlPr>
          </m:e>
          <m:sub>
            <m:r>
              <m:rPr>
                <m:nor/>
                <m:sty m:val="p"/>
              </m:rPr>
              <w:rPr>
                <w:rFonts w:ascii="Times New Roman" w:hAnsi="Times New Roman" w:eastAsia="等线"/>
                <w:color w:val="000000"/>
              </w:rPr>
              <m:t>11</m:t>
            </m:r>
            <m:ctrlPr>
              <w:rPr>
                <w:rFonts w:ascii="Cambria Math" w:hAnsi="Cambria Math" w:eastAsia="等线"/>
                <w:color w:val="000000"/>
              </w:rPr>
            </m:ctrlPr>
          </m:sub>
        </m:sSub>
      </m:oMath>
      <w:r>
        <w:rPr>
          <w:rFonts w:ascii="Times New Roman" w:hAnsi="Times New Roman" w:eastAsia="等线"/>
          <w:color w:val="000000"/>
        </w:rPr>
        <w:t xml:space="preserve">, </w:t>
      </w:r>
      <m:oMath>
        <m:sSub>
          <m:sSubPr>
            <m:ctrlPr>
              <w:rPr>
                <w:rFonts w:ascii="Cambria Math" w:hAnsi="Cambria Math" w:eastAsia="等线"/>
                <w:color w:val="000000"/>
              </w:rPr>
            </m:ctrlPr>
          </m:sSubPr>
          <m:e>
            <m:r>
              <m:rPr>
                <m:nor/>
                <m:sty m:val="p"/>
              </m:rPr>
              <w:rPr>
                <w:rFonts w:ascii="Times New Roman" w:hAnsi="Times New Roman" w:eastAsia="等线"/>
                <w:iCs/>
                <w:color w:val="000000"/>
              </w:rPr>
              <m:t>Y2</m:t>
            </m:r>
            <m:r>
              <m:rPr>
                <m:nor/>
              </m:rPr>
              <w:rPr>
                <w:rFonts w:ascii="Times New Roman" w:hAnsi="Times New Roman" w:eastAsia="等线"/>
                <w:i/>
                <w:color w:val="000000"/>
              </w:rPr>
              <m:t>= C</m:t>
            </m:r>
            <m:ctrlPr>
              <w:rPr>
                <w:rFonts w:ascii="Cambria Math" w:hAnsi="Cambria Math" w:eastAsia="等线"/>
                <w:color w:val="000000"/>
              </w:rPr>
            </m:ctrlPr>
          </m:e>
          <m:sub>
            <m:r>
              <m:rPr>
                <m:nor/>
                <m:sty m:val="p"/>
              </m:rPr>
              <w:rPr>
                <w:rFonts w:ascii="Times New Roman" w:hAnsi="Times New Roman" w:eastAsia="等线"/>
                <w:color w:val="000000"/>
              </w:rPr>
              <m:t>11</m:t>
            </m:r>
            <m:ctrlPr>
              <w:rPr>
                <w:rFonts w:ascii="Cambria Math" w:hAnsi="Cambria Math" w:eastAsia="等线"/>
                <w:color w:val="000000"/>
              </w:rPr>
            </m:ctrlPr>
          </m:sub>
        </m:sSub>
        <m:sSub>
          <m:sSubPr>
            <m:ctrlPr>
              <w:rPr>
                <w:rFonts w:ascii="Cambria Math" w:hAnsi="Cambria Math" w:eastAsia="等线"/>
                <w:color w:val="000000"/>
              </w:rPr>
            </m:ctrlPr>
          </m:sSubPr>
          <m:e>
            <m:r>
              <m:rPr>
                <m:nor/>
              </m:rPr>
              <w:rPr>
                <w:rFonts w:ascii="Times New Roman" w:hAnsi="Times New Roman" w:eastAsia="等线"/>
                <w:i/>
                <w:color w:val="000000"/>
              </w:rPr>
              <m:t>C</m:t>
            </m:r>
            <m:ctrlPr>
              <w:rPr>
                <w:rFonts w:ascii="Cambria Math" w:hAnsi="Cambria Math" w:eastAsia="等线"/>
                <w:color w:val="000000"/>
              </w:rPr>
            </m:ctrlPr>
          </m:e>
          <m:sub>
            <m:r>
              <m:rPr>
                <m:nor/>
                <m:sty m:val="p"/>
              </m:rPr>
              <w:rPr>
                <w:rFonts w:ascii="Times New Roman" w:hAnsi="Times New Roman" w:eastAsia="等线"/>
                <w:color w:val="000000"/>
              </w:rPr>
              <m:t>22</m:t>
            </m:r>
            <m:ctrlPr>
              <w:rPr>
                <w:rFonts w:ascii="Cambria Math" w:hAnsi="Cambria Math" w:eastAsia="等线"/>
                <w:color w:val="000000"/>
              </w:rPr>
            </m:ctrlPr>
          </m:sub>
        </m:sSub>
        <m:r>
          <m:rPr>
            <m:nor/>
            <m:sty m:val="p"/>
          </m:rPr>
          <w:rPr>
            <w:rFonts w:ascii="Times New Roman" w:hAnsi="Times New Roman" w:eastAsia="等线"/>
            <w:color w:val="000000"/>
          </w:rPr>
          <m:t>-</m:t>
        </m:r>
        <m:sSubSup>
          <m:sSubSupPr>
            <m:ctrlPr>
              <w:rPr>
                <w:rFonts w:ascii="Cambria Math" w:hAnsi="Cambria Math" w:eastAsia="等线"/>
                <w:color w:val="000000"/>
              </w:rPr>
            </m:ctrlPr>
          </m:sSubSupPr>
          <m:e>
            <m:r>
              <m:rPr>
                <m:nor/>
              </m:rPr>
              <w:rPr>
                <w:rFonts w:ascii="Times New Roman" w:hAnsi="Times New Roman" w:eastAsia="等线"/>
                <w:i/>
                <w:color w:val="000000"/>
              </w:rPr>
              <m:t>C</m:t>
            </m:r>
            <m:ctrlPr>
              <w:rPr>
                <w:rFonts w:ascii="Cambria Math" w:hAnsi="Cambria Math" w:eastAsia="等线"/>
                <w:color w:val="000000"/>
              </w:rPr>
            </m:ctrlPr>
          </m:e>
          <m:sub>
            <m:r>
              <m:rPr>
                <m:nor/>
                <m:sty m:val="p"/>
              </m:rPr>
              <w:rPr>
                <w:rFonts w:ascii="Times New Roman" w:hAnsi="Times New Roman" w:eastAsia="等线"/>
                <w:color w:val="000000"/>
              </w:rPr>
              <m:t>12</m:t>
            </m:r>
            <m:ctrlPr>
              <w:rPr>
                <w:rFonts w:ascii="Cambria Math" w:hAnsi="Cambria Math" w:eastAsia="等线"/>
                <w:color w:val="000000"/>
              </w:rPr>
            </m:ctrlPr>
          </m:sub>
          <m:sup>
            <m:r>
              <m:rPr>
                <m:nor/>
                <m:sty m:val="p"/>
              </m:rPr>
              <w:rPr>
                <w:rFonts w:ascii="Times New Roman" w:hAnsi="Times New Roman" w:eastAsia="等线"/>
                <w:color w:val="000000"/>
              </w:rPr>
              <m:t>2</m:t>
            </m:r>
            <m:ctrlPr>
              <w:rPr>
                <w:rFonts w:ascii="Cambria Math" w:hAnsi="Cambria Math" w:eastAsia="等线"/>
                <w:color w:val="000000"/>
              </w:rPr>
            </m:ctrlPr>
          </m:sup>
        </m:sSubSup>
      </m:oMath>
      <w:r>
        <w:rPr>
          <w:rFonts w:ascii="Times New Roman" w:hAnsi="Times New Roman" w:eastAsia="等线"/>
          <w:color w:val="000000"/>
        </w:rPr>
        <w:t>,</w:t>
      </w:r>
      <w:r>
        <w:rPr>
          <w:rFonts w:hint="eastAsia" w:ascii="Times New Roman" w:hAnsi="Times New Roman" w:eastAsia="等线"/>
          <w:color w:val="000000"/>
        </w:rPr>
        <w:t xml:space="preserve"> </w:t>
      </w:r>
      <m:oMath>
        <m:sSub>
          <m:sSubPr>
            <m:ctrlPr>
              <w:rPr>
                <w:rFonts w:ascii="Cambria Math" w:hAnsi="Cambria Math" w:eastAsia="等线"/>
                <w:color w:val="000000"/>
              </w:rPr>
            </m:ctrlPr>
          </m:sSubPr>
          <m:e>
            <m:r>
              <m:rPr>
                <m:nor/>
                <m:sty m:val="p"/>
              </m:rPr>
              <w:rPr>
                <w:rFonts w:ascii="Times New Roman" w:hAnsi="Times New Roman" w:eastAsia="等线"/>
                <w:iCs/>
                <w:color w:val="000000"/>
              </w:rPr>
              <m:t>Y3</m:t>
            </m:r>
            <m:r>
              <m:rPr>
                <m:nor/>
              </m:rPr>
              <w:rPr>
                <w:rFonts w:ascii="Times New Roman" w:hAnsi="Times New Roman" w:eastAsia="等线"/>
                <w:i/>
                <w:color w:val="000000"/>
              </w:rPr>
              <m:t>=C</m:t>
            </m:r>
            <m:ctrlPr>
              <w:rPr>
                <w:rFonts w:ascii="Cambria Math" w:hAnsi="Cambria Math" w:eastAsia="等线"/>
                <w:color w:val="000000"/>
              </w:rPr>
            </m:ctrlPr>
          </m:e>
          <m:sub>
            <m:r>
              <m:rPr>
                <m:nor/>
                <m:sty m:val="p"/>
              </m:rPr>
              <w:rPr>
                <w:rFonts w:ascii="Times New Roman" w:hAnsi="Times New Roman" w:eastAsia="等线"/>
                <w:color w:val="000000"/>
              </w:rPr>
              <m:t>11</m:t>
            </m:r>
            <m:ctrlPr>
              <w:rPr>
                <w:rFonts w:ascii="Cambria Math" w:hAnsi="Cambria Math" w:eastAsia="等线"/>
                <w:color w:val="000000"/>
              </w:rPr>
            </m:ctrlPr>
          </m:sub>
        </m:sSub>
        <m:sSub>
          <m:sSubPr>
            <m:ctrlPr>
              <w:rPr>
                <w:rFonts w:ascii="Cambria Math" w:hAnsi="Cambria Math" w:eastAsia="等线"/>
                <w:color w:val="000000"/>
              </w:rPr>
            </m:ctrlPr>
          </m:sSubPr>
          <m:e>
            <m:r>
              <m:rPr>
                <m:nor/>
              </m:rPr>
              <w:rPr>
                <w:rFonts w:ascii="Times New Roman" w:hAnsi="Times New Roman" w:eastAsia="等线"/>
                <w:i/>
                <w:color w:val="000000"/>
              </w:rPr>
              <m:t>C</m:t>
            </m:r>
            <m:ctrlPr>
              <w:rPr>
                <w:rFonts w:ascii="Cambria Math" w:hAnsi="Cambria Math" w:eastAsia="等线"/>
                <w:color w:val="000000"/>
              </w:rPr>
            </m:ctrlPr>
          </m:e>
          <m:sub>
            <m:r>
              <m:rPr>
                <m:nor/>
                <m:sty m:val="p"/>
              </m:rPr>
              <w:rPr>
                <w:rFonts w:ascii="Times New Roman" w:hAnsi="Times New Roman" w:eastAsia="等线"/>
                <w:color w:val="000000"/>
              </w:rPr>
              <m:t>22</m:t>
            </m:r>
            <m:ctrlPr>
              <w:rPr>
                <w:rFonts w:ascii="Cambria Math" w:hAnsi="Cambria Math" w:eastAsia="等线"/>
                <w:color w:val="000000"/>
              </w:rPr>
            </m:ctrlPr>
          </m:sub>
        </m:sSub>
        <m:sSub>
          <m:sSubPr>
            <m:ctrlPr>
              <w:rPr>
                <w:rFonts w:ascii="Cambria Math" w:hAnsi="Cambria Math" w:eastAsia="等线"/>
                <w:color w:val="000000"/>
              </w:rPr>
            </m:ctrlPr>
          </m:sSubPr>
          <m:e>
            <m:r>
              <m:rPr>
                <m:nor/>
              </m:rPr>
              <w:rPr>
                <w:rFonts w:ascii="Times New Roman" w:hAnsi="Times New Roman" w:eastAsia="等线"/>
                <w:i/>
                <w:color w:val="000000"/>
              </w:rPr>
              <m:t>C</m:t>
            </m:r>
            <m:ctrlPr>
              <w:rPr>
                <w:rFonts w:ascii="Cambria Math" w:hAnsi="Cambria Math" w:eastAsia="等线"/>
                <w:color w:val="000000"/>
              </w:rPr>
            </m:ctrlPr>
          </m:e>
          <m:sub>
            <m:r>
              <m:rPr>
                <m:nor/>
                <m:sty m:val="p"/>
              </m:rPr>
              <w:rPr>
                <w:rFonts w:ascii="Times New Roman" w:hAnsi="Times New Roman" w:eastAsia="等线"/>
                <w:color w:val="000000"/>
              </w:rPr>
              <m:t>33</m:t>
            </m:r>
            <m:ctrlPr>
              <w:rPr>
                <w:rFonts w:ascii="Cambria Math" w:hAnsi="Cambria Math" w:eastAsia="等线"/>
                <w:color w:val="000000"/>
              </w:rPr>
            </m:ctrlPr>
          </m:sub>
        </m:sSub>
        <m:r>
          <m:rPr>
            <m:nor/>
            <m:sty m:val="p"/>
          </m:rPr>
          <w:rPr>
            <w:rFonts w:ascii="Times New Roman" w:hAnsi="Times New Roman" w:eastAsia="等线"/>
            <w:color w:val="000000"/>
          </w:rPr>
          <m:t>+2</m:t>
        </m:r>
        <m:sSub>
          <m:sSubPr>
            <m:ctrlPr>
              <w:rPr>
                <w:rFonts w:ascii="Cambria Math" w:hAnsi="Cambria Math" w:eastAsia="等线"/>
                <w:color w:val="000000"/>
              </w:rPr>
            </m:ctrlPr>
          </m:sSubPr>
          <m:e>
            <m:r>
              <m:rPr>
                <m:nor/>
              </m:rPr>
              <w:rPr>
                <w:rFonts w:ascii="Times New Roman" w:hAnsi="Times New Roman" w:eastAsia="等线"/>
                <w:i/>
                <w:color w:val="000000"/>
              </w:rPr>
              <m:t>C</m:t>
            </m:r>
            <m:ctrlPr>
              <w:rPr>
                <w:rFonts w:ascii="Cambria Math" w:hAnsi="Cambria Math" w:eastAsia="等线"/>
                <w:color w:val="000000"/>
              </w:rPr>
            </m:ctrlPr>
          </m:e>
          <m:sub>
            <m:r>
              <m:rPr>
                <m:nor/>
                <m:sty m:val="p"/>
              </m:rPr>
              <w:rPr>
                <w:rFonts w:ascii="Times New Roman" w:hAnsi="Times New Roman" w:eastAsia="等线"/>
                <w:color w:val="000000"/>
              </w:rPr>
              <m:t>12</m:t>
            </m:r>
            <m:ctrlPr>
              <w:rPr>
                <w:rFonts w:ascii="Cambria Math" w:hAnsi="Cambria Math" w:eastAsia="等线"/>
                <w:color w:val="000000"/>
              </w:rPr>
            </m:ctrlPr>
          </m:sub>
        </m:sSub>
        <m:sSub>
          <m:sSubPr>
            <m:ctrlPr>
              <w:rPr>
                <w:rFonts w:ascii="Cambria Math" w:hAnsi="Cambria Math" w:eastAsia="等线"/>
                <w:color w:val="000000"/>
              </w:rPr>
            </m:ctrlPr>
          </m:sSubPr>
          <m:e>
            <m:r>
              <m:rPr>
                <m:nor/>
              </m:rPr>
              <w:rPr>
                <w:rFonts w:ascii="Times New Roman" w:hAnsi="Times New Roman" w:eastAsia="等线"/>
                <w:i/>
                <w:color w:val="000000"/>
              </w:rPr>
              <m:t>C</m:t>
            </m:r>
            <m:ctrlPr>
              <w:rPr>
                <w:rFonts w:ascii="Cambria Math" w:hAnsi="Cambria Math" w:eastAsia="等线"/>
                <w:color w:val="000000"/>
              </w:rPr>
            </m:ctrlPr>
          </m:e>
          <m:sub>
            <m:r>
              <m:rPr>
                <m:nor/>
                <m:sty m:val="p"/>
              </m:rPr>
              <w:rPr>
                <w:rFonts w:ascii="Times New Roman" w:hAnsi="Times New Roman" w:eastAsia="等线"/>
                <w:color w:val="000000"/>
              </w:rPr>
              <m:t>13</m:t>
            </m:r>
            <m:ctrlPr>
              <w:rPr>
                <w:rFonts w:ascii="Cambria Math" w:hAnsi="Cambria Math" w:eastAsia="等线"/>
                <w:color w:val="000000"/>
              </w:rPr>
            </m:ctrlPr>
          </m:sub>
        </m:sSub>
        <m:sSub>
          <m:sSubPr>
            <m:ctrlPr>
              <w:rPr>
                <w:rFonts w:ascii="Cambria Math" w:hAnsi="Cambria Math" w:eastAsia="等线"/>
                <w:color w:val="000000"/>
              </w:rPr>
            </m:ctrlPr>
          </m:sSubPr>
          <m:e>
            <m:r>
              <m:rPr>
                <m:nor/>
              </m:rPr>
              <w:rPr>
                <w:rFonts w:ascii="Times New Roman" w:hAnsi="Times New Roman" w:eastAsia="等线"/>
                <w:i/>
                <w:color w:val="000000"/>
              </w:rPr>
              <m:t>C</m:t>
            </m:r>
            <m:ctrlPr>
              <w:rPr>
                <w:rFonts w:ascii="Cambria Math" w:hAnsi="Cambria Math" w:eastAsia="等线"/>
                <w:color w:val="000000"/>
              </w:rPr>
            </m:ctrlPr>
          </m:e>
          <m:sub>
            <m:r>
              <m:rPr>
                <m:nor/>
                <m:sty m:val="p"/>
              </m:rPr>
              <w:rPr>
                <w:rFonts w:ascii="Times New Roman" w:hAnsi="Times New Roman" w:eastAsia="等线"/>
                <w:color w:val="000000"/>
              </w:rPr>
              <m:t>23</m:t>
            </m:r>
            <m:ctrlPr>
              <w:rPr>
                <w:rFonts w:ascii="Cambria Math" w:hAnsi="Cambria Math" w:eastAsia="等线"/>
                <w:color w:val="000000"/>
              </w:rPr>
            </m:ctrlPr>
          </m:sub>
        </m:sSub>
        <m:r>
          <m:rPr>
            <m:nor/>
            <m:sty m:val="p"/>
          </m:rPr>
          <w:rPr>
            <w:rFonts w:ascii="Times New Roman" w:hAnsi="Times New Roman" w:eastAsia="等线"/>
            <w:color w:val="000000"/>
          </w:rPr>
          <m:t>-</m:t>
        </m:r>
        <m:sSub>
          <m:sSubPr>
            <m:ctrlPr>
              <w:rPr>
                <w:rFonts w:ascii="Cambria Math" w:hAnsi="Cambria Math" w:eastAsia="等线"/>
                <w:color w:val="000000"/>
              </w:rPr>
            </m:ctrlPr>
          </m:sSubPr>
          <m:e>
            <m:r>
              <m:rPr>
                <m:nor/>
              </m:rPr>
              <w:rPr>
                <w:rFonts w:ascii="Times New Roman" w:hAnsi="Times New Roman" w:eastAsia="等线"/>
                <w:i/>
                <w:color w:val="000000"/>
              </w:rPr>
              <m:t>C</m:t>
            </m:r>
            <m:ctrlPr>
              <w:rPr>
                <w:rFonts w:ascii="Cambria Math" w:hAnsi="Cambria Math" w:eastAsia="等线"/>
                <w:color w:val="000000"/>
              </w:rPr>
            </m:ctrlPr>
          </m:e>
          <m:sub>
            <m:r>
              <m:rPr>
                <m:nor/>
                <m:sty m:val="p"/>
              </m:rPr>
              <w:rPr>
                <w:rFonts w:ascii="Times New Roman" w:hAnsi="Times New Roman" w:eastAsia="等线"/>
                <w:color w:val="000000"/>
              </w:rPr>
              <m:t>11</m:t>
            </m:r>
            <m:ctrlPr>
              <w:rPr>
                <w:rFonts w:ascii="Cambria Math" w:hAnsi="Cambria Math" w:eastAsia="等线"/>
                <w:color w:val="000000"/>
              </w:rPr>
            </m:ctrlPr>
          </m:sub>
        </m:sSub>
        <m:sSubSup>
          <m:sSubSupPr>
            <m:ctrlPr>
              <w:rPr>
                <w:rFonts w:ascii="Cambria Math" w:hAnsi="Cambria Math" w:eastAsia="等线"/>
                <w:color w:val="000000"/>
              </w:rPr>
            </m:ctrlPr>
          </m:sSubSupPr>
          <m:e>
            <m:r>
              <m:rPr>
                <m:nor/>
              </m:rPr>
              <w:rPr>
                <w:rFonts w:ascii="Times New Roman" w:hAnsi="Times New Roman" w:eastAsia="等线"/>
                <w:i/>
                <w:color w:val="000000"/>
              </w:rPr>
              <m:t>C</m:t>
            </m:r>
            <m:ctrlPr>
              <w:rPr>
                <w:rFonts w:ascii="Cambria Math" w:hAnsi="Cambria Math" w:eastAsia="等线"/>
                <w:color w:val="000000"/>
              </w:rPr>
            </m:ctrlPr>
          </m:e>
          <m:sub>
            <m:r>
              <m:rPr>
                <m:nor/>
                <m:sty m:val="p"/>
              </m:rPr>
              <w:rPr>
                <w:rFonts w:ascii="Times New Roman" w:hAnsi="Times New Roman" w:eastAsia="等线"/>
                <w:color w:val="000000"/>
              </w:rPr>
              <m:t>23</m:t>
            </m:r>
            <m:ctrlPr>
              <w:rPr>
                <w:rFonts w:ascii="Cambria Math" w:hAnsi="Cambria Math" w:eastAsia="等线"/>
                <w:color w:val="000000"/>
              </w:rPr>
            </m:ctrlPr>
          </m:sub>
          <m:sup>
            <m:r>
              <m:rPr>
                <m:nor/>
                <m:sty m:val="p"/>
              </m:rPr>
              <w:rPr>
                <w:rFonts w:ascii="Times New Roman" w:hAnsi="Times New Roman" w:eastAsia="等线"/>
                <w:color w:val="000000"/>
              </w:rPr>
              <m:t>2</m:t>
            </m:r>
            <m:ctrlPr>
              <w:rPr>
                <w:rFonts w:ascii="Cambria Math" w:hAnsi="Cambria Math" w:eastAsia="等线"/>
                <w:color w:val="000000"/>
              </w:rPr>
            </m:ctrlPr>
          </m:sup>
        </m:sSubSup>
        <m:r>
          <m:rPr>
            <m:nor/>
            <m:sty m:val="p"/>
          </m:rPr>
          <w:rPr>
            <w:rFonts w:ascii="Times New Roman" w:hAnsi="Times New Roman" w:eastAsia="等线"/>
            <w:color w:val="000000"/>
          </w:rPr>
          <m:t>-</m:t>
        </m:r>
        <m:sSub>
          <m:sSubPr>
            <m:ctrlPr>
              <w:rPr>
                <w:rFonts w:ascii="Cambria Math" w:hAnsi="Cambria Math" w:eastAsia="等线"/>
                <w:color w:val="000000"/>
              </w:rPr>
            </m:ctrlPr>
          </m:sSubPr>
          <m:e>
            <m:r>
              <m:rPr>
                <m:nor/>
              </m:rPr>
              <w:rPr>
                <w:rFonts w:ascii="Times New Roman" w:hAnsi="Times New Roman" w:eastAsia="等线"/>
                <w:i/>
                <w:color w:val="000000"/>
              </w:rPr>
              <m:t>C</m:t>
            </m:r>
            <m:ctrlPr>
              <w:rPr>
                <w:rFonts w:ascii="Cambria Math" w:hAnsi="Cambria Math" w:eastAsia="等线"/>
                <w:color w:val="000000"/>
              </w:rPr>
            </m:ctrlPr>
          </m:e>
          <m:sub>
            <m:r>
              <m:rPr>
                <m:nor/>
                <m:sty m:val="p"/>
              </m:rPr>
              <w:rPr>
                <w:rFonts w:ascii="Times New Roman" w:hAnsi="Times New Roman" w:eastAsia="等线"/>
                <w:color w:val="000000"/>
              </w:rPr>
              <m:t>22</m:t>
            </m:r>
            <m:ctrlPr>
              <w:rPr>
                <w:rFonts w:ascii="Cambria Math" w:hAnsi="Cambria Math" w:eastAsia="等线"/>
                <w:color w:val="000000"/>
              </w:rPr>
            </m:ctrlPr>
          </m:sub>
        </m:sSub>
        <m:sSubSup>
          <m:sSubSupPr>
            <m:ctrlPr>
              <w:rPr>
                <w:rFonts w:ascii="Cambria Math" w:hAnsi="Cambria Math" w:eastAsia="等线"/>
                <w:color w:val="000000"/>
              </w:rPr>
            </m:ctrlPr>
          </m:sSubSupPr>
          <m:e>
            <m:r>
              <m:rPr>
                <m:nor/>
              </m:rPr>
              <w:rPr>
                <w:rFonts w:ascii="Times New Roman" w:hAnsi="Times New Roman" w:eastAsia="等线"/>
                <w:i/>
                <w:color w:val="000000"/>
              </w:rPr>
              <m:t>C</m:t>
            </m:r>
            <m:ctrlPr>
              <w:rPr>
                <w:rFonts w:ascii="Cambria Math" w:hAnsi="Cambria Math" w:eastAsia="等线"/>
                <w:color w:val="000000"/>
              </w:rPr>
            </m:ctrlPr>
          </m:e>
          <m:sub>
            <m:r>
              <m:rPr>
                <m:nor/>
                <m:sty m:val="p"/>
              </m:rPr>
              <w:rPr>
                <w:rFonts w:ascii="Times New Roman" w:hAnsi="Times New Roman" w:eastAsia="等线"/>
                <w:color w:val="000000"/>
              </w:rPr>
              <m:t>13</m:t>
            </m:r>
            <m:ctrlPr>
              <w:rPr>
                <w:rFonts w:ascii="Cambria Math" w:hAnsi="Cambria Math" w:eastAsia="等线"/>
                <w:color w:val="000000"/>
              </w:rPr>
            </m:ctrlPr>
          </m:sub>
          <m:sup>
            <m:r>
              <m:rPr>
                <m:nor/>
                <m:sty m:val="p"/>
              </m:rPr>
              <w:rPr>
                <w:rFonts w:ascii="Times New Roman" w:hAnsi="Times New Roman" w:eastAsia="等线"/>
                <w:color w:val="000000"/>
              </w:rPr>
              <m:t>2</m:t>
            </m:r>
            <m:ctrlPr>
              <w:rPr>
                <w:rFonts w:ascii="Cambria Math" w:hAnsi="Cambria Math" w:eastAsia="等线"/>
                <w:color w:val="000000"/>
              </w:rPr>
            </m:ctrlPr>
          </m:sup>
        </m:sSubSup>
        <m:r>
          <m:rPr>
            <m:nor/>
            <m:sty m:val="p"/>
          </m:rPr>
          <w:rPr>
            <w:rFonts w:ascii="Times New Roman" w:hAnsi="Times New Roman" w:eastAsia="等线"/>
            <w:color w:val="000000"/>
          </w:rPr>
          <m:t>-</m:t>
        </m:r>
        <m:sSub>
          <m:sSubPr>
            <m:ctrlPr>
              <w:rPr>
                <w:rFonts w:ascii="Cambria Math" w:hAnsi="Cambria Math" w:eastAsia="等线"/>
                <w:color w:val="000000"/>
              </w:rPr>
            </m:ctrlPr>
          </m:sSubPr>
          <m:e>
            <m:r>
              <m:rPr>
                <m:nor/>
              </m:rPr>
              <w:rPr>
                <w:rFonts w:ascii="Times New Roman" w:hAnsi="Times New Roman" w:eastAsia="等线"/>
                <w:i/>
                <w:color w:val="000000"/>
              </w:rPr>
              <m:t>C</m:t>
            </m:r>
            <m:ctrlPr>
              <w:rPr>
                <w:rFonts w:ascii="Cambria Math" w:hAnsi="Cambria Math" w:eastAsia="等线"/>
                <w:color w:val="000000"/>
              </w:rPr>
            </m:ctrlPr>
          </m:e>
          <m:sub>
            <m:r>
              <m:rPr>
                <m:nor/>
                <m:sty m:val="p"/>
              </m:rPr>
              <w:rPr>
                <w:rFonts w:ascii="Times New Roman" w:hAnsi="Times New Roman" w:eastAsia="等线"/>
                <w:color w:val="000000"/>
              </w:rPr>
              <m:t>33</m:t>
            </m:r>
            <m:ctrlPr>
              <w:rPr>
                <w:rFonts w:ascii="Cambria Math" w:hAnsi="Cambria Math" w:eastAsia="等线"/>
                <w:color w:val="000000"/>
              </w:rPr>
            </m:ctrlPr>
          </m:sub>
        </m:sSub>
        <m:sSubSup>
          <m:sSubSupPr>
            <m:ctrlPr>
              <w:rPr>
                <w:rFonts w:ascii="Cambria Math" w:hAnsi="Cambria Math" w:eastAsia="等线"/>
                <w:color w:val="000000"/>
              </w:rPr>
            </m:ctrlPr>
          </m:sSubSupPr>
          <m:e>
            <m:r>
              <m:rPr>
                <m:nor/>
              </m:rPr>
              <w:rPr>
                <w:rFonts w:ascii="Times New Roman" w:hAnsi="Times New Roman" w:eastAsia="等线"/>
                <w:i/>
                <w:color w:val="000000"/>
              </w:rPr>
              <m:t>C</m:t>
            </m:r>
            <m:ctrlPr>
              <w:rPr>
                <w:rFonts w:ascii="Cambria Math" w:hAnsi="Cambria Math" w:eastAsia="等线"/>
                <w:color w:val="000000"/>
              </w:rPr>
            </m:ctrlPr>
          </m:e>
          <m:sub>
            <m:r>
              <m:rPr>
                <m:nor/>
                <m:sty m:val="p"/>
              </m:rPr>
              <w:rPr>
                <w:rFonts w:ascii="Times New Roman" w:hAnsi="Times New Roman" w:eastAsia="等线"/>
                <w:color w:val="000000"/>
              </w:rPr>
              <m:t>12</m:t>
            </m:r>
            <m:ctrlPr>
              <w:rPr>
                <w:rFonts w:ascii="Cambria Math" w:hAnsi="Cambria Math" w:eastAsia="等线"/>
                <w:color w:val="000000"/>
              </w:rPr>
            </m:ctrlPr>
          </m:sub>
          <m:sup>
            <m:r>
              <m:rPr>
                <m:nor/>
                <m:sty m:val="p"/>
              </m:rPr>
              <w:rPr>
                <w:rFonts w:ascii="Times New Roman" w:hAnsi="Times New Roman" w:eastAsia="等线"/>
                <w:color w:val="000000"/>
              </w:rPr>
              <m:t>2</m:t>
            </m:r>
            <m:ctrlPr>
              <w:rPr>
                <w:rFonts w:ascii="Cambria Math" w:hAnsi="Cambria Math" w:eastAsia="等线"/>
                <w:color w:val="000000"/>
              </w:rPr>
            </m:ctrlPr>
          </m:sup>
        </m:sSubSup>
      </m:oMath>
      <w:r>
        <w:rPr>
          <w:rFonts w:hint="eastAsia" w:ascii="Times New Roman" w:hAnsi="Times New Roman" w:eastAsia="等线"/>
          <w:color w:val="000000"/>
        </w:rPr>
        <w:t xml:space="preserve">, </w:t>
      </w:r>
      <m:oMath>
        <m:r>
          <m:rPr>
            <m:sty m:val="p"/>
          </m:rPr>
          <w:rPr>
            <w:rFonts w:ascii="Cambria Math" w:hAnsi="Cambria Math" w:eastAsia="等线"/>
            <w:color w:val="000000"/>
          </w:rPr>
          <m:t>Y4</m:t>
        </m:r>
        <m:r>
          <m:rPr/>
          <w:rPr>
            <w:rFonts w:ascii="Cambria Math" w:hAnsi="Cambria Math" w:eastAsia="等线"/>
            <w:color w:val="000000"/>
          </w:rPr>
          <m:t>=</m:t>
        </m:r>
        <m:sSub>
          <m:sSubPr>
            <m:ctrlPr>
              <w:rPr>
                <w:rFonts w:ascii="Cambria Math" w:hAnsi="Cambria Math" w:eastAsia="等线"/>
                <w:color w:val="000000"/>
              </w:rPr>
            </m:ctrlPr>
          </m:sSubPr>
          <m:e>
            <m:r>
              <m:rPr>
                <m:nor/>
              </m:rPr>
              <w:rPr>
                <w:rFonts w:ascii="Times New Roman" w:hAnsi="Times New Roman" w:eastAsia="等线"/>
                <w:i/>
                <w:color w:val="000000"/>
              </w:rPr>
              <m:t>C</m:t>
            </m:r>
            <m:ctrlPr>
              <w:rPr>
                <w:rFonts w:ascii="Cambria Math" w:hAnsi="Cambria Math" w:eastAsia="等线"/>
                <w:color w:val="000000"/>
              </w:rPr>
            </m:ctrlPr>
          </m:e>
          <m:sub>
            <m:r>
              <m:rPr>
                <m:nor/>
                <m:sty m:val="p"/>
              </m:rPr>
              <w:rPr>
                <w:rFonts w:ascii="Times New Roman" w:hAnsi="Times New Roman" w:eastAsia="等线"/>
                <w:color w:val="000000"/>
              </w:rPr>
              <m:t>44</m:t>
            </m:r>
            <m:ctrlPr>
              <w:rPr>
                <w:rFonts w:ascii="Cambria Math" w:hAnsi="Cambria Math" w:eastAsia="等线"/>
                <w:color w:val="000000"/>
              </w:rPr>
            </m:ctrlPr>
          </m:sub>
        </m:sSub>
      </m:oMath>
      <w:r>
        <w:rPr>
          <w:rFonts w:ascii="Times New Roman" w:hAnsi="Times New Roman" w:eastAsia="等线"/>
          <w:color w:val="000000"/>
        </w:rPr>
        <w:t>,</w:t>
      </w:r>
      <w:r>
        <w:rPr>
          <w:rFonts w:hint="eastAsia" w:ascii="Times New Roman" w:hAnsi="Times New Roman" w:eastAsia="等线"/>
          <w:color w:val="000000"/>
        </w:rPr>
        <w:t xml:space="preserve"> </w:t>
      </w:r>
      <m:oMath>
        <m:r>
          <m:rPr>
            <m:sty m:val="p"/>
          </m:rPr>
          <w:rPr>
            <w:rFonts w:ascii="Cambria Math" w:hAnsi="Cambria Math" w:eastAsia="等线"/>
            <w:color w:val="000000"/>
          </w:rPr>
          <m:t>Y5</m:t>
        </m:r>
        <m:r>
          <m:rPr/>
          <w:rPr>
            <w:rFonts w:ascii="Cambria Math" w:hAnsi="Cambria Math" w:eastAsia="等线"/>
            <w:color w:val="000000"/>
          </w:rPr>
          <m:t>=</m:t>
        </m:r>
        <m:sSub>
          <m:sSubPr>
            <m:ctrlPr>
              <w:rPr>
                <w:rFonts w:ascii="Cambria Math" w:hAnsi="Cambria Math" w:eastAsia="等线"/>
                <w:color w:val="000000"/>
              </w:rPr>
            </m:ctrlPr>
          </m:sSubPr>
          <m:e>
            <m:r>
              <m:rPr>
                <m:nor/>
              </m:rPr>
              <w:rPr>
                <w:rFonts w:ascii="Times New Roman" w:hAnsi="Times New Roman" w:eastAsia="等线"/>
                <w:i/>
                <w:color w:val="000000"/>
              </w:rPr>
              <m:t>C</m:t>
            </m:r>
            <m:ctrlPr>
              <w:rPr>
                <w:rFonts w:ascii="Cambria Math" w:hAnsi="Cambria Math" w:eastAsia="等线"/>
                <w:color w:val="000000"/>
              </w:rPr>
            </m:ctrlPr>
          </m:e>
          <m:sub>
            <m:r>
              <m:rPr>
                <m:nor/>
                <m:sty m:val="p"/>
              </m:rPr>
              <w:rPr>
                <w:rFonts w:ascii="Times New Roman" w:hAnsi="Times New Roman" w:eastAsia="等线"/>
                <w:color w:val="000000"/>
              </w:rPr>
              <m:t>55</m:t>
            </m:r>
            <m:ctrlPr>
              <w:rPr>
                <w:rFonts w:ascii="Cambria Math" w:hAnsi="Cambria Math" w:eastAsia="等线"/>
                <w:color w:val="000000"/>
              </w:rPr>
            </m:ctrlPr>
          </m:sub>
        </m:sSub>
      </m:oMath>
      <w:r>
        <w:rPr>
          <w:rFonts w:ascii="Times New Roman" w:hAnsi="Times New Roman" w:eastAsia="等线"/>
          <w:color w:val="000000"/>
        </w:rPr>
        <w:t>,</w:t>
      </w:r>
      <w:r>
        <w:rPr>
          <w:rFonts w:hint="eastAsia" w:ascii="Times New Roman" w:hAnsi="Times New Roman" w:eastAsia="等线"/>
          <w:color w:val="000000"/>
        </w:rPr>
        <w:t xml:space="preserve"> </w:t>
      </w:r>
      <m:oMath>
        <m:sSub>
          <m:sSubPr>
            <m:ctrlPr>
              <w:rPr>
                <w:rFonts w:ascii="Cambria Math" w:hAnsi="Cambria Math" w:eastAsia="等线"/>
                <w:color w:val="000000"/>
              </w:rPr>
            </m:ctrlPr>
          </m:sSubPr>
          <m:e>
            <m:r>
              <m:rPr>
                <m:nor/>
                <m:sty m:val="p"/>
              </m:rPr>
              <w:rPr>
                <w:rFonts w:ascii="Times New Roman" w:hAnsi="Times New Roman" w:eastAsia="等线"/>
                <w:iCs/>
                <w:color w:val="000000"/>
              </w:rPr>
              <m:t>Y6</m:t>
            </m:r>
            <m:r>
              <m:rPr>
                <m:nor/>
              </m:rPr>
              <w:rPr>
                <w:rFonts w:ascii="Times New Roman" w:hAnsi="Times New Roman" w:eastAsia="等线"/>
                <w:i/>
                <w:color w:val="000000"/>
              </w:rPr>
              <m:t>=C</m:t>
            </m:r>
            <m:ctrlPr>
              <w:rPr>
                <w:rFonts w:ascii="Cambria Math" w:hAnsi="Cambria Math" w:eastAsia="等线"/>
                <w:color w:val="000000"/>
              </w:rPr>
            </m:ctrlPr>
          </m:e>
          <m:sub>
            <m:r>
              <m:rPr>
                <m:nor/>
                <m:sty m:val="p"/>
              </m:rPr>
              <w:rPr>
                <w:rFonts w:ascii="Times New Roman" w:hAnsi="Times New Roman" w:eastAsia="等线"/>
                <w:color w:val="000000"/>
              </w:rPr>
              <m:t>66</m:t>
            </m:r>
            <m:ctrlPr>
              <w:rPr>
                <w:rFonts w:ascii="Cambria Math" w:hAnsi="Cambria Math" w:eastAsia="等线"/>
                <w:color w:val="000000"/>
              </w:rPr>
            </m:ctrlPr>
          </m:sub>
        </m:sSub>
      </m:oMath>
      <w:r>
        <w:rPr>
          <w:rFonts w:ascii="Times New Roman" w:hAnsi="Times New Roman" w:eastAsia="等线"/>
          <w:color w:val="000000"/>
        </w:rPr>
        <w:t>. Supplementary Fig</w:t>
      </w:r>
      <w:r>
        <w:rPr>
          <w:rFonts w:hint="eastAsia" w:ascii="Times New Roman" w:hAnsi="Times New Roman" w:eastAsia="等线"/>
          <w:color w:val="000000"/>
        </w:rPr>
        <w:t>ure 7</w:t>
      </w:r>
      <w:r>
        <w:rPr>
          <w:rFonts w:ascii="Times New Roman" w:hAnsi="Times New Roman" w:eastAsia="等线"/>
          <w:color w:val="000000"/>
        </w:rPr>
        <w:t xml:space="preserve"> presents the evolution of Y1 to Y6 on uniaxial compressive strain along </w:t>
      </w:r>
      <w:r>
        <w:rPr>
          <w:rFonts w:hint="eastAsia" w:ascii="Times New Roman" w:hAnsi="Times New Roman" w:eastAsia="等线"/>
          <w:color w:val="000000"/>
        </w:rPr>
        <w:t>[010]</w:t>
      </w:r>
      <w:r>
        <w:rPr>
          <w:rFonts w:ascii="Times New Roman" w:hAnsi="Times New Roman" w:eastAsia="等线"/>
          <w:color w:val="000000"/>
        </w:rPr>
        <w:t xml:space="preserve">, </w:t>
      </w:r>
      <w:r>
        <w:rPr>
          <w:rFonts w:hint="eastAsia" w:ascii="Times New Roman" w:hAnsi="Times New Roman" w:eastAsia="等线"/>
          <w:color w:val="000000"/>
        </w:rPr>
        <w:t>[100]</w:t>
      </w:r>
      <w:r>
        <w:rPr>
          <w:rFonts w:ascii="Times New Roman" w:hAnsi="Times New Roman" w:eastAsia="等线"/>
          <w:color w:val="000000"/>
        </w:rPr>
        <w:t xml:space="preserve"> and </w:t>
      </w:r>
      <w:r>
        <w:rPr>
          <w:rFonts w:hint="eastAsia" w:ascii="Times New Roman" w:hAnsi="Times New Roman" w:eastAsia="等线"/>
          <w:color w:val="000000"/>
        </w:rPr>
        <w:t>[001]</w:t>
      </w:r>
      <w:r>
        <w:rPr>
          <w:rFonts w:ascii="Times New Roman" w:hAnsi="Times New Roman" w:eastAsia="等线"/>
          <w:color w:val="000000"/>
        </w:rPr>
        <w:t xml:space="preserve"> directions. The Y2 and Y3 Born criteria are not satisfied for GeSe under uniaxial compressive strain of 4% along </w:t>
      </w:r>
      <w:r>
        <w:rPr>
          <w:rFonts w:hint="eastAsia" w:ascii="Times New Roman" w:hAnsi="Times New Roman" w:eastAsia="等线"/>
          <w:color w:val="000000"/>
        </w:rPr>
        <w:t>[100]</w:t>
      </w:r>
      <w:r>
        <w:rPr>
          <w:rFonts w:ascii="Times New Roman" w:hAnsi="Times New Roman" w:eastAsia="等线"/>
          <w:color w:val="000000"/>
        </w:rPr>
        <w:t xml:space="preserve"> direction. However, the six functions (Y1 to Y6) are all positive for GeSe under uniaxial compressive strain along </w:t>
      </w:r>
      <w:r>
        <w:rPr>
          <w:rFonts w:hint="eastAsia" w:ascii="Times New Roman" w:hAnsi="Times New Roman" w:eastAsia="等线"/>
          <w:color w:val="000000"/>
        </w:rPr>
        <w:t>[010]</w:t>
      </w:r>
      <w:r>
        <w:rPr>
          <w:rFonts w:ascii="Times New Roman" w:hAnsi="Times New Roman" w:eastAsia="等线"/>
          <w:color w:val="000000"/>
        </w:rPr>
        <w:t xml:space="preserve"> direction from 0% to 10%, indicating elastic stability. The Y3 becomes negative when compressive strain along </w:t>
      </w:r>
      <w:r>
        <w:rPr>
          <w:rFonts w:hint="eastAsia" w:ascii="Times New Roman" w:hAnsi="Times New Roman" w:eastAsia="等线"/>
          <w:color w:val="000000"/>
        </w:rPr>
        <w:t>[001]</w:t>
      </w:r>
      <w:r>
        <w:rPr>
          <w:rFonts w:ascii="Times New Roman" w:hAnsi="Times New Roman" w:eastAsia="等线"/>
          <w:color w:val="000000"/>
        </w:rPr>
        <w:t xml:space="preserve"> direction over 7%, suggesting failure of mechanical stability.</w:t>
      </w:r>
    </w:p>
    <w:p w14:paraId="24520FA7">
      <w:pPr>
        <w:pStyle w:val="10"/>
        <w:tabs>
          <w:tab w:val="left" w:pos="2705"/>
        </w:tabs>
        <w:spacing w:after="156" w:line="360" w:lineRule="auto"/>
        <w:rPr>
          <w:rFonts w:ascii="Times New Roman" w:hAnsi="Times New Roman" w:eastAsia="等线"/>
          <w:color w:val="000000"/>
        </w:rPr>
      </w:pPr>
      <w:r>
        <w:rPr>
          <w:rFonts w:ascii="Times New Roman" w:hAnsi="Times New Roman" w:eastAsia="等线"/>
          <w:color w:val="000000"/>
        </w:rPr>
        <w:drawing>
          <wp:inline distT="0" distB="0" distL="0" distR="0">
            <wp:extent cx="5731510" cy="2922270"/>
            <wp:effectExtent l="0" t="0" r="2540" b="0"/>
            <wp:docPr id="7892355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235529" name="图片 1"/>
                    <pic:cNvPicPr>
                      <a:picLocks noChangeAspect="1"/>
                    </pic:cNvPicPr>
                  </pic:nvPicPr>
                  <pic:blipFill>
                    <a:blip r:embed="rId11"/>
                    <a:stretch>
                      <a:fillRect/>
                    </a:stretch>
                  </pic:blipFill>
                  <pic:spPr>
                    <a:xfrm>
                      <a:off x="0" y="0"/>
                      <a:ext cx="5731510" cy="2922270"/>
                    </a:xfrm>
                    <a:prstGeom prst="rect">
                      <a:avLst/>
                    </a:prstGeom>
                  </pic:spPr>
                </pic:pic>
              </a:graphicData>
            </a:graphic>
          </wp:inline>
        </w:drawing>
      </w:r>
    </w:p>
    <w:p w14:paraId="5EB359A7">
      <w:pPr>
        <w:pStyle w:val="10"/>
        <w:tabs>
          <w:tab w:val="left" w:pos="2705"/>
        </w:tabs>
        <w:spacing w:after="156" w:line="360" w:lineRule="auto"/>
        <w:jc w:val="both"/>
        <w:rPr>
          <w:rFonts w:ascii="Times New Roman" w:hAnsi="Times New Roman" w:eastAsia="等线"/>
          <w:color w:val="000000"/>
        </w:rPr>
      </w:pPr>
      <w:bookmarkStart w:id="23" w:name="OLE_LINK42"/>
      <w:bookmarkStart w:id="24" w:name="OLE_LINK32"/>
      <w:r>
        <w:rPr>
          <w:rFonts w:ascii="Times New Roman" w:hAnsi="Times New Roman" w:eastAsia="等线"/>
          <w:b/>
          <w:bCs/>
          <w:color w:val="000000"/>
        </w:rPr>
        <w:t xml:space="preserve">Supplementary Figure </w:t>
      </w:r>
      <w:r>
        <w:rPr>
          <w:rFonts w:hint="eastAsia" w:ascii="Times New Roman" w:hAnsi="Times New Roman" w:eastAsia="等线"/>
          <w:b/>
          <w:bCs/>
          <w:color w:val="000000"/>
        </w:rPr>
        <w:t>6</w:t>
      </w:r>
      <w:r>
        <w:rPr>
          <w:rFonts w:ascii="Times New Roman" w:hAnsi="Times New Roman" w:eastAsia="等线"/>
          <w:b/>
          <w:bCs/>
          <w:color w:val="000000"/>
        </w:rPr>
        <w:t>.</w:t>
      </w:r>
      <w:r>
        <w:rPr>
          <w:rFonts w:ascii="Times New Roman" w:hAnsi="Times New Roman" w:eastAsia="等线"/>
          <w:color w:val="000000"/>
        </w:rPr>
        <w:t xml:space="preserve"> </w:t>
      </w:r>
      <w:bookmarkEnd w:id="23"/>
      <w:r>
        <w:rPr>
          <w:rFonts w:ascii="Times New Roman" w:hAnsi="Times New Roman" w:eastAsia="等线"/>
          <w:b/>
          <w:bCs/>
          <w:color w:val="000000"/>
        </w:rPr>
        <w:t>Lattice variation of GeSe under uniaxial compressive strain</w:t>
      </w:r>
      <w:bookmarkEnd w:id="24"/>
      <w:r>
        <w:rPr>
          <w:rFonts w:ascii="Times New Roman" w:hAnsi="Times New Roman" w:eastAsia="等线"/>
          <w:b/>
          <w:bCs/>
          <w:color w:val="000000"/>
        </w:rPr>
        <w:t>.</w:t>
      </w:r>
      <w:r>
        <w:rPr>
          <w:rFonts w:ascii="Times New Roman" w:hAnsi="Times New Roman" w:eastAsia="等线"/>
          <w:color w:val="000000"/>
        </w:rPr>
        <w:t xml:space="preserve"> </w:t>
      </w:r>
      <w:r>
        <w:rPr>
          <w:rFonts w:ascii="Times New Roman" w:hAnsi="Times New Roman" w:eastAsia="等线"/>
          <w:b/>
          <w:bCs/>
          <w:color w:val="000000"/>
        </w:rPr>
        <w:t>a</w:t>
      </w:r>
      <w:r>
        <w:rPr>
          <w:rFonts w:ascii="Times New Roman" w:hAnsi="Times New Roman" w:eastAsia="等线"/>
          <w:color w:val="000000"/>
        </w:rPr>
        <w:t>-</w:t>
      </w:r>
      <w:r>
        <w:rPr>
          <w:rFonts w:ascii="Times New Roman" w:hAnsi="Times New Roman" w:eastAsia="等线"/>
          <w:b/>
          <w:bCs/>
          <w:color w:val="000000"/>
        </w:rPr>
        <w:t>c</w:t>
      </w:r>
      <w:r>
        <w:rPr>
          <w:rFonts w:ascii="Times New Roman" w:hAnsi="Times New Roman" w:eastAsia="等线"/>
          <w:color w:val="000000"/>
        </w:rPr>
        <w:t xml:space="preserve"> Atomic structures of GeSe along </w:t>
      </w:r>
      <w:r>
        <w:rPr>
          <w:rFonts w:hint="eastAsia" w:ascii="Times New Roman" w:hAnsi="Times New Roman" w:eastAsia="等线"/>
          <w:color w:val="000000"/>
        </w:rPr>
        <w:t>[100]</w:t>
      </w:r>
      <w:r>
        <w:rPr>
          <w:rFonts w:ascii="Times New Roman" w:hAnsi="Times New Roman" w:eastAsia="等线"/>
          <w:color w:val="000000"/>
        </w:rPr>
        <w:t xml:space="preserve">, </w:t>
      </w:r>
      <w:r>
        <w:rPr>
          <w:rFonts w:hint="eastAsia" w:ascii="Times New Roman" w:hAnsi="Times New Roman" w:eastAsia="等线"/>
          <w:color w:val="000000"/>
        </w:rPr>
        <w:t>[010]</w:t>
      </w:r>
      <w:r>
        <w:rPr>
          <w:rFonts w:ascii="Times New Roman" w:hAnsi="Times New Roman" w:eastAsia="等线"/>
          <w:color w:val="000000"/>
        </w:rPr>
        <w:t xml:space="preserve"> and </w:t>
      </w:r>
      <w:r>
        <w:rPr>
          <w:rFonts w:hint="eastAsia" w:ascii="Times New Roman" w:hAnsi="Times New Roman" w:eastAsia="等线"/>
          <w:color w:val="000000"/>
        </w:rPr>
        <w:t>[001]</w:t>
      </w:r>
      <w:r>
        <w:rPr>
          <w:rFonts w:ascii="Times New Roman" w:hAnsi="Times New Roman" w:eastAsia="等线"/>
          <w:color w:val="000000"/>
        </w:rPr>
        <w:t xml:space="preserve"> crystallographic directions (</w:t>
      </w:r>
      <w:r>
        <w:rPr>
          <w:rFonts w:hint="eastAsia" w:ascii="Times New Roman" w:hAnsi="Times New Roman" w:eastAsia="等线"/>
          <w:color w:val="000000"/>
        </w:rPr>
        <w:t>zigzag</w:t>
      </w:r>
      <w:r>
        <w:rPr>
          <w:rFonts w:ascii="Times New Roman" w:hAnsi="Times New Roman" w:eastAsia="等线"/>
          <w:color w:val="000000"/>
        </w:rPr>
        <w:t xml:space="preserve">, </w:t>
      </w:r>
      <w:r>
        <w:rPr>
          <w:rFonts w:hint="eastAsia" w:ascii="Times New Roman" w:hAnsi="Times New Roman" w:eastAsia="等线"/>
          <w:color w:val="000000"/>
        </w:rPr>
        <w:t>armchair</w:t>
      </w:r>
      <w:r>
        <w:rPr>
          <w:rFonts w:ascii="Times New Roman" w:hAnsi="Times New Roman" w:eastAsia="等线"/>
          <w:color w:val="000000"/>
        </w:rPr>
        <w:t xml:space="preserve"> and </w:t>
      </w:r>
      <w:r>
        <w:rPr>
          <w:rFonts w:hint="eastAsia" w:ascii="Times New Roman" w:hAnsi="Times New Roman" w:eastAsia="等线"/>
          <w:color w:val="000000"/>
        </w:rPr>
        <w:t>out-of-plane</w:t>
      </w:r>
      <w:r>
        <w:rPr>
          <w:rFonts w:ascii="Times New Roman" w:hAnsi="Times New Roman" w:eastAsia="等线"/>
          <w:color w:val="000000"/>
        </w:rPr>
        <w:t xml:space="preserve">). Purple and green spheres represent germanium and selenium atoms, respectively. </w:t>
      </w:r>
      <w:r>
        <w:rPr>
          <w:rFonts w:ascii="Times New Roman" w:hAnsi="Times New Roman" w:eastAsia="等线"/>
          <w:b/>
          <w:bCs/>
          <w:color w:val="000000"/>
        </w:rPr>
        <w:t>d</w:t>
      </w:r>
      <w:r>
        <w:rPr>
          <w:rFonts w:ascii="Times New Roman" w:hAnsi="Times New Roman" w:eastAsia="等线"/>
          <w:color w:val="000000"/>
        </w:rPr>
        <w:t>-</w:t>
      </w:r>
      <w:r>
        <w:rPr>
          <w:rFonts w:ascii="Times New Roman" w:hAnsi="Times New Roman" w:eastAsia="等线"/>
          <w:b/>
          <w:bCs/>
          <w:color w:val="000000"/>
        </w:rPr>
        <w:t>f</w:t>
      </w:r>
      <w:r>
        <w:rPr>
          <w:rFonts w:ascii="Times New Roman" w:hAnsi="Times New Roman" w:eastAsia="等线"/>
          <w:color w:val="000000"/>
        </w:rPr>
        <w:t xml:space="preserve"> Lattice parameter variations of GeSe under uniaxial compressive strain up to -10% along </w:t>
      </w:r>
      <w:r>
        <w:rPr>
          <w:rFonts w:hint="eastAsia" w:ascii="Times New Roman" w:hAnsi="Times New Roman" w:eastAsia="等线"/>
          <w:color w:val="000000"/>
        </w:rPr>
        <w:t>[100]</w:t>
      </w:r>
      <w:r>
        <w:rPr>
          <w:rFonts w:ascii="Times New Roman" w:hAnsi="Times New Roman" w:eastAsia="等线"/>
          <w:color w:val="000000"/>
        </w:rPr>
        <w:t xml:space="preserve">, </w:t>
      </w:r>
      <w:r>
        <w:rPr>
          <w:rFonts w:hint="eastAsia" w:ascii="Times New Roman" w:hAnsi="Times New Roman" w:eastAsia="等线"/>
          <w:color w:val="000000"/>
        </w:rPr>
        <w:t>[010]</w:t>
      </w:r>
      <w:r>
        <w:rPr>
          <w:rFonts w:ascii="Times New Roman" w:hAnsi="Times New Roman" w:eastAsia="等线"/>
          <w:color w:val="000000"/>
        </w:rPr>
        <w:t xml:space="preserve"> and </w:t>
      </w:r>
      <w:r>
        <w:rPr>
          <w:rFonts w:hint="eastAsia" w:ascii="Times New Roman" w:hAnsi="Times New Roman" w:eastAsia="等线"/>
          <w:color w:val="000000"/>
        </w:rPr>
        <w:t>[001]</w:t>
      </w:r>
      <w:r>
        <w:rPr>
          <w:rFonts w:ascii="Times New Roman" w:hAnsi="Times New Roman" w:eastAsia="等线"/>
          <w:color w:val="000000"/>
        </w:rPr>
        <w:t xml:space="preserve"> directions, respectively.</w:t>
      </w:r>
    </w:p>
    <w:p w14:paraId="2F27F4F4">
      <w:pPr>
        <w:pStyle w:val="10"/>
        <w:tabs>
          <w:tab w:val="left" w:pos="2705"/>
        </w:tabs>
        <w:spacing w:after="156" w:line="360" w:lineRule="auto"/>
        <w:rPr>
          <w:rFonts w:ascii="Times New Roman" w:hAnsi="Times New Roman" w:eastAsia="等线"/>
          <w:color w:val="000000"/>
        </w:rPr>
      </w:pPr>
    </w:p>
    <w:p w14:paraId="60DBD2AD">
      <w:pPr>
        <w:pStyle w:val="10"/>
        <w:tabs>
          <w:tab w:val="left" w:pos="2705"/>
        </w:tabs>
        <w:spacing w:after="156" w:line="360" w:lineRule="auto"/>
        <w:rPr>
          <w:rFonts w:ascii="Times New Roman" w:hAnsi="Times New Roman" w:eastAsia="等线"/>
          <w:color w:val="000000"/>
        </w:rPr>
      </w:pPr>
      <w:r>
        <w:rPr>
          <w:rFonts w:ascii="Times New Roman" w:hAnsi="Times New Roman" w:eastAsia="等线"/>
          <w:color w:val="000000"/>
        </w:rPr>
        <w:drawing>
          <wp:inline distT="0" distB="0" distL="0" distR="0">
            <wp:extent cx="5731510" cy="4144010"/>
            <wp:effectExtent l="0" t="0" r="2540" b="8890"/>
            <wp:docPr id="7805673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567335" name="图片 1"/>
                    <pic:cNvPicPr>
                      <a:picLocks noChangeAspect="1"/>
                    </pic:cNvPicPr>
                  </pic:nvPicPr>
                  <pic:blipFill>
                    <a:blip r:embed="rId12"/>
                    <a:stretch>
                      <a:fillRect/>
                    </a:stretch>
                  </pic:blipFill>
                  <pic:spPr>
                    <a:xfrm>
                      <a:off x="0" y="0"/>
                      <a:ext cx="5731510" cy="4144010"/>
                    </a:xfrm>
                    <a:prstGeom prst="rect">
                      <a:avLst/>
                    </a:prstGeom>
                  </pic:spPr>
                </pic:pic>
              </a:graphicData>
            </a:graphic>
          </wp:inline>
        </w:drawing>
      </w:r>
    </w:p>
    <w:p w14:paraId="6C2E2464">
      <w:pPr>
        <w:pStyle w:val="10"/>
        <w:tabs>
          <w:tab w:val="left" w:pos="2705"/>
        </w:tabs>
        <w:spacing w:after="156" w:line="360" w:lineRule="auto"/>
        <w:jc w:val="both"/>
        <w:rPr>
          <w:rFonts w:ascii="Times New Roman" w:hAnsi="Times New Roman" w:eastAsia="等线"/>
          <w:color w:val="000000"/>
        </w:rPr>
      </w:pPr>
      <w:bookmarkStart w:id="25" w:name="OLE_LINK43"/>
      <w:r>
        <w:rPr>
          <w:rFonts w:ascii="Times New Roman" w:hAnsi="Times New Roman" w:eastAsia="等线"/>
          <w:b/>
          <w:bCs/>
          <w:color w:val="000000"/>
        </w:rPr>
        <w:t xml:space="preserve">Supplementary Figure </w:t>
      </w:r>
      <w:r>
        <w:rPr>
          <w:rFonts w:hint="eastAsia" w:ascii="Times New Roman" w:hAnsi="Times New Roman" w:eastAsia="等线"/>
          <w:b/>
          <w:bCs/>
          <w:color w:val="000000"/>
        </w:rPr>
        <w:t>7</w:t>
      </w:r>
      <w:r>
        <w:rPr>
          <w:rFonts w:ascii="Times New Roman" w:hAnsi="Times New Roman" w:eastAsia="等线"/>
          <w:b/>
          <w:bCs/>
          <w:color w:val="000000"/>
        </w:rPr>
        <w:t>.</w:t>
      </w:r>
      <w:bookmarkEnd w:id="25"/>
      <w:r>
        <w:rPr>
          <w:rFonts w:ascii="Times New Roman" w:hAnsi="Times New Roman" w:eastAsia="等线"/>
          <w:b/>
          <w:bCs/>
          <w:color w:val="000000"/>
        </w:rPr>
        <w:t xml:space="preserve"> </w:t>
      </w:r>
      <w:bookmarkStart w:id="26" w:name="OLE_LINK33"/>
      <w:r>
        <w:rPr>
          <w:rFonts w:ascii="Times New Roman" w:hAnsi="Times New Roman" w:eastAsia="等线"/>
          <w:b/>
          <w:bCs/>
          <w:color w:val="000000"/>
        </w:rPr>
        <w:t>Mechanical stability</w:t>
      </w:r>
      <w:bookmarkEnd w:id="26"/>
      <w:r>
        <w:rPr>
          <w:rFonts w:ascii="Times New Roman" w:hAnsi="Times New Roman" w:eastAsia="等线"/>
          <w:b/>
          <w:bCs/>
          <w:color w:val="000000"/>
        </w:rPr>
        <w:t xml:space="preserve"> of α-GeSe under uniaxial compressive strain. a</w:t>
      </w:r>
      <w:r>
        <w:rPr>
          <w:rFonts w:ascii="Times New Roman" w:hAnsi="Times New Roman" w:eastAsia="等线"/>
          <w:color w:val="000000"/>
        </w:rPr>
        <w:t>-</w:t>
      </w:r>
      <w:r>
        <w:rPr>
          <w:rFonts w:ascii="Times New Roman" w:hAnsi="Times New Roman" w:eastAsia="等线"/>
          <w:b/>
          <w:bCs/>
          <w:color w:val="000000"/>
        </w:rPr>
        <w:t>c</w:t>
      </w:r>
      <w:r>
        <w:rPr>
          <w:rFonts w:ascii="Times New Roman" w:hAnsi="Times New Roman" w:eastAsia="等线"/>
          <w:color w:val="000000"/>
        </w:rPr>
        <w:t xml:space="preserve">, Schematics of uniaxial compressive strain direction on α-GeSe. </w:t>
      </w:r>
      <w:r>
        <w:rPr>
          <w:rFonts w:ascii="Times New Roman" w:hAnsi="Times New Roman" w:eastAsia="等线"/>
          <w:b/>
          <w:bCs/>
          <w:color w:val="000000"/>
        </w:rPr>
        <w:t>d</w:t>
      </w:r>
      <w:r>
        <w:rPr>
          <w:rFonts w:ascii="Times New Roman" w:hAnsi="Times New Roman" w:eastAsia="等线"/>
          <w:color w:val="000000"/>
        </w:rPr>
        <w:t>-</w:t>
      </w:r>
      <w:r>
        <w:rPr>
          <w:rFonts w:ascii="Times New Roman" w:hAnsi="Times New Roman" w:eastAsia="等线"/>
          <w:b/>
          <w:bCs/>
          <w:color w:val="000000"/>
        </w:rPr>
        <w:t>i</w:t>
      </w:r>
      <w:r>
        <w:rPr>
          <w:rFonts w:ascii="Times New Roman" w:hAnsi="Times New Roman" w:eastAsia="等线"/>
          <w:color w:val="000000"/>
        </w:rPr>
        <w:t>, The evolution of Y1 to Y6 on uniaxial compressive strain along [</w:t>
      </w:r>
      <w:r>
        <w:rPr>
          <w:rFonts w:hint="eastAsia" w:ascii="Times New Roman" w:hAnsi="Times New Roman" w:eastAsia="等线"/>
          <w:color w:val="000000"/>
        </w:rPr>
        <w:t>10</w:t>
      </w:r>
      <w:r>
        <w:rPr>
          <w:rFonts w:ascii="Times New Roman" w:hAnsi="Times New Roman" w:eastAsia="等线"/>
          <w:color w:val="000000"/>
        </w:rPr>
        <w:t>0], [</w:t>
      </w:r>
      <w:r>
        <w:rPr>
          <w:rFonts w:hint="eastAsia" w:ascii="Times New Roman" w:hAnsi="Times New Roman" w:eastAsia="等线"/>
          <w:color w:val="000000"/>
        </w:rPr>
        <w:t>01</w:t>
      </w:r>
      <w:r>
        <w:rPr>
          <w:rFonts w:ascii="Times New Roman" w:hAnsi="Times New Roman" w:eastAsia="等线"/>
          <w:color w:val="000000"/>
        </w:rPr>
        <w:t xml:space="preserve">0] and [001] directions from 0% to 10%. </w:t>
      </w:r>
    </w:p>
    <w:p w14:paraId="4136FF99">
      <w:pPr>
        <w:pStyle w:val="10"/>
        <w:tabs>
          <w:tab w:val="left" w:pos="2705"/>
        </w:tabs>
        <w:spacing w:after="156" w:line="360" w:lineRule="auto"/>
        <w:rPr>
          <w:rFonts w:ascii="Times New Roman" w:hAnsi="Times New Roman" w:eastAsia="等线"/>
          <w:color w:val="000000"/>
        </w:rPr>
      </w:pPr>
    </w:p>
    <w:p w14:paraId="6FCE4483">
      <w:pPr>
        <w:pStyle w:val="10"/>
        <w:tabs>
          <w:tab w:val="left" w:pos="2705"/>
        </w:tabs>
        <w:spacing w:beforeAutospacing="0" w:after="156" w:afterAutospacing="0" w:line="360" w:lineRule="auto"/>
        <w:jc w:val="both"/>
        <w:rPr>
          <w:rFonts w:ascii="Times New Roman" w:hAnsi="Times New Roman" w:eastAsia="等线"/>
          <w:color w:val="000000"/>
          <w:kern w:val="2"/>
        </w:rPr>
      </w:pPr>
    </w:p>
    <w:p w14:paraId="01A15309">
      <w:pPr>
        <w:widowControl/>
        <w:spacing w:after="156" w:afterLines="50" w:line="360" w:lineRule="auto"/>
        <w:rPr>
          <w:rFonts w:ascii="Times New Roman" w:hAnsi="Times New Roman" w:cs="Times New Roman"/>
          <w:sz w:val="24"/>
          <w:szCs w:val="24"/>
        </w:rPr>
      </w:pPr>
    </w:p>
    <w:p w14:paraId="3A5F37A7">
      <w:pPr>
        <w:widowControl/>
        <w:spacing w:after="156" w:afterLines="50" w:line="360" w:lineRule="auto"/>
        <w:rPr>
          <w:rFonts w:ascii="Times New Roman" w:hAnsi="Times New Roman" w:cs="Times New Roman"/>
          <w:sz w:val="24"/>
          <w:szCs w:val="24"/>
        </w:rPr>
      </w:pPr>
    </w:p>
    <w:p w14:paraId="04F9BC05">
      <w:pPr>
        <w:widowControl/>
        <w:spacing w:after="156" w:afterLines="50" w:line="360" w:lineRule="auto"/>
        <w:rPr>
          <w:rFonts w:ascii="Times New Roman" w:hAnsi="Times New Roman" w:cs="Times New Roman"/>
          <w:sz w:val="24"/>
          <w:szCs w:val="24"/>
        </w:rPr>
      </w:pPr>
    </w:p>
    <w:p w14:paraId="73110CB1">
      <w:pPr>
        <w:widowControl/>
        <w:spacing w:after="156" w:afterLines="50" w:line="360" w:lineRule="auto"/>
        <w:rPr>
          <w:rFonts w:ascii="Times New Roman" w:hAnsi="Times New Roman" w:cs="Times New Roman"/>
          <w:sz w:val="24"/>
          <w:szCs w:val="24"/>
        </w:rPr>
      </w:pPr>
    </w:p>
    <w:p w14:paraId="4DC4EBC2">
      <w:pPr>
        <w:widowControl/>
        <w:jc w:val="left"/>
        <w:rPr>
          <w:rFonts w:ascii="Times New Roman" w:hAnsi="Times New Roman" w:cs="Times New Roman"/>
          <w:sz w:val="24"/>
          <w:szCs w:val="24"/>
        </w:rPr>
      </w:pPr>
      <w:bookmarkStart w:id="27" w:name="_Hlk168432046"/>
      <w:r>
        <w:br w:type="page"/>
      </w:r>
    </w:p>
    <w:p w14:paraId="3DAB0391">
      <w:pPr>
        <w:pStyle w:val="29"/>
        <w:numPr>
          <w:ilvl w:val="0"/>
          <w:numId w:val="3"/>
        </w:numPr>
      </w:pPr>
      <w:bookmarkStart w:id="28" w:name="_Hlk217299550"/>
      <w:r>
        <w:rPr>
          <w:rFonts w:hint="eastAsia"/>
        </w:rPr>
        <w:t xml:space="preserve">Chair-boat </w:t>
      </w:r>
      <w:r>
        <w:t>transition</w:t>
      </w:r>
      <w:r>
        <w:rPr>
          <w:rFonts w:hint="eastAsia"/>
        </w:rPr>
        <w:t xml:space="preserve"> </w:t>
      </w:r>
      <w:r>
        <w:t xml:space="preserve">mechanism of GeSe under </w:t>
      </w:r>
      <w:r>
        <w:rPr>
          <w:rFonts w:hint="eastAsia"/>
        </w:rPr>
        <w:t>compression</w:t>
      </w:r>
      <w:r>
        <w:t xml:space="preserve"> strain</w:t>
      </w:r>
    </w:p>
    <w:p w14:paraId="64C2DED6">
      <w:pPr>
        <w:pStyle w:val="29"/>
        <w:ind w:left="0" w:firstLine="0"/>
        <w:jc w:val="both"/>
        <w:rPr>
          <w:b w:val="0"/>
          <w:bCs w:val="0"/>
        </w:rPr>
      </w:pPr>
      <w:r>
        <w:rPr>
          <w:rFonts w:hint="eastAsia"/>
          <w:b w:val="0"/>
          <w:bCs w:val="0"/>
        </w:rPr>
        <w:t xml:space="preserve">To elucidate the structural evolution and kinetic mechanism of the chair-to-boat conformation transition in monolayer </w:t>
      </w:r>
      <w:r>
        <w:rPr>
          <w:b w:val="0"/>
          <w:bCs w:val="0"/>
        </w:rPr>
        <w:t>α</w:t>
      </w:r>
      <w:r>
        <w:rPr>
          <w:rFonts w:hint="eastAsia"/>
          <w:b w:val="0"/>
          <w:bCs w:val="0"/>
        </w:rPr>
        <w:t>-GeSe under 30% shear strain, we performed climbing-image nudged elastic band (CI-NEB) calculations. The minimum energy path (MEP) for the initial chair-to-boat transition is presented in Supplementary Fig. 8a. The energy profile reveals a single prominent kinetic barrier of approximately 10.5 meV/atom, separating the initial chair state (index 1) from the final boat-like state (index 52). This relatively low barrier indicates that the transition is kinetically accessible. Interestingly, the barrier for subsequent or collective transitions is significantly lower. As shown in Supplementary Fig. 8b, following the primary transition, the energy barrier for the followed conformation changes drops to approximately 3.0 meV/atom and 2.2 meV/atom. This disparity confirms that the initial chair-to-boat flip serves as the kinetic bottleneck for the phase transformation. Once this initial nucleation-like event occurs, the structural reorganization propagates with much greater ease.</w:t>
      </w:r>
    </w:p>
    <w:p w14:paraId="005023D5">
      <w:pPr>
        <w:pStyle w:val="29"/>
        <w:ind w:left="0" w:firstLine="0"/>
        <w:jc w:val="both"/>
        <w:rPr>
          <w:b w:val="0"/>
          <w:bCs w:val="0"/>
        </w:rPr>
      </w:pPr>
      <w:r>
        <w:rPr>
          <w:rFonts w:hint="eastAsia"/>
          <w:b w:val="0"/>
          <w:bCs w:val="0"/>
        </w:rPr>
        <w:t xml:space="preserve">The atomistic mechanism underlying this transition is characterized by a concerted "hinging" or "flopping" motion of the Ge-Se bonds. Analysis of the geometric parameters along the reaction coordinate (Supplementary Fig. 9) reveals several critical characteristics. The first characteristic is the transition state. The energy peak corresponds to a "half-chair" or "planar-like" configuration (index 29 in Supplementary Fig. 8a). At this state, the buckling height of the GeSe lattice is at its minimum, creating a high-symmetry but energetically unfavorable geometry that imposes the maximum energy penalty. The second characteristic is the bond length variation. During the transition, the in-plane (IP) and out-of-plane (OP) Ge-Se bond lengths undergo distinct fluctuations. As the system approaches the transition state (TS), the bond lengths vary within a range of 2.57 Å to 2.61 Å, reflecting the structural softening required to cross the barrier (Supplementary Fig. 9). The third characteristic is the dihedral angle flipping. The most definitive signature of the transition is the evolution of the Ge1-Se1-Se2-Ge2 </w:t>
      </w:r>
      <w:bookmarkStart w:id="29" w:name="OLE_LINK215"/>
      <w:r>
        <w:rPr>
          <w:rFonts w:hint="eastAsia"/>
          <w:b w:val="0"/>
          <w:bCs w:val="0"/>
        </w:rPr>
        <w:t>dihedral angle</w:t>
      </w:r>
      <w:bookmarkEnd w:id="29"/>
      <w:r>
        <w:rPr>
          <w:b w:val="0"/>
          <w:bCs w:val="0"/>
        </w:rPr>
        <w:t>. As shown in Supplementary Fig</w:t>
      </w:r>
      <w:r>
        <w:rPr>
          <w:rFonts w:hint="eastAsia"/>
          <w:b w:val="0"/>
          <w:bCs w:val="0"/>
        </w:rPr>
        <w:t>.</w:t>
      </w:r>
      <w:r>
        <w:rPr>
          <w:b w:val="0"/>
          <w:bCs w:val="0"/>
        </w:rPr>
        <w:t xml:space="preserve"> </w:t>
      </w:r>
      <w:r>
        <w:rPr>
          <w:rFonts w:hint="eastAsia"/>
          <w:b w:val="0"/>
          <w:bCs w:val="0"/>
        </w:rPr>
        <w:t>9</w:t>
      </w:r>
      <w:r>
        <w:rPr>
          <w:b w:val="0"/>
          <w:bCs w:val="0"/>
        </w:rPr>
        <w:t xml:space="preserve">b, </w:t>
      </w:r>
      <w:r>
        <w:rPr>
          <w:rFonts w:hint="eastAsia"/>
          <w:b w:val="0"/>
          <w:bCs w:val="0"/>
        </w:rPr>
        <w:t>the dihedral angle</w:t>
      </w:r>
      <w:r>
        <w:rPr>
          <w:b w:val="0"/>
          <w:bCs w:val="0"/>
        </w:rPr>
        <w:t xml:space="preserve"> increases monotonically from approximately 120° in the chair phase to nearly 180° at the transition state, eventually settling at a new equilib</w:t>
      </w:r>
      <w:r>
        <w:rPr>
          <w:rFonts w:hint="eastAsia"/>
          <w:b w:val="0"/>
          <w:bCs w:val="0"/>
        </w:rPr>
        <w:t>rium value (~230°) in the boat phase.</w:t>
      </w:r>
    </w:p>
    <w:p w14:paraId="459ACDC9">
      <w:pPr>
        <w:pStyle w:val="29"/>
        <w:ind w:left="0" w:firstLine="0"/>
        <w:jc w:val="both"/>
        <w:rPr>
          <w:b w:val="0"/>
          <w:bCs w:val="0"/>
        </w:rPr>
      </w:pPr>
      <w:r>
        <w:rPr>
          <w:rFonts w:hint="eastAsia"/>
          <w:b w:val="0"/>
          <w:bCs w:val="0"/>
        </w:rPr>
        <w:t>The 30% shear strain effectively "pre-distorts" the chair lattice, shifting its geometry closer to the transition state compared to the unstrained state. This reduces the atomic displacement vectors necessary for the transition, thereby lowering the kinetic barrier from its zero-strain value. The drop in the energy barrier to ~3 meV/atom for subsequent steps suggests that the first transformed unit cell induces a local strain field that further destabilizes the neighboring chair units. In practical ambient conditions, where the thermal energy k</w:t>
      </w:r>
      <w:r>
        <w:rPr>
          <w:rFonts w:hint="eastAsia"/>
          <w:b w:val="0"/>
          <w:bCs w:val="0"/>
          <w:vertAlign w:val="subscript"/>
        </w:rPr>
        <w:t>B</w:t>
      </w:r>
      <w:r>
        <w:rPr>
          <w:rFonts w:hint="eastAsia"/>
          <w:b w:val="0"/>
          <w:bCs w:val="0"/>
        </w:rPr>
        <w:t>T</w:t>
      </w:r>
      <w:r>
        <w:rPr>
          <w:b w:val="0"/>
          <w:bCs w:val="0"/>
        </w:rPr>
        <w:t>≈</w:t>
      </w:r>
      <w:r>
        <w:rPr>
          <w:rFonts w:hint="eastAsia"/>
          <w:b w:val="0"/>
          <w:bCs w:val="0"/>
        </w:rPr>
        <w:t>26 meV at 300 K, these barriers are negligible. This implies that at 30% shear strain, the chair-to-boat transition in GeSe can be triggered spontaneously by thermal fluctuations, leading to ultrafast kinetics and a rapid structural deformation in monolayer.</w:t>
      </w:r>
    </w:p>
    <w:p w14:paraId="73078C66">
      <w:pPr>
        <w:pStyle w:val="29"/>
        <w:ind w:left="0" w:firstLine="0"/>
        <w:jc w:val="both"/>
        <w:rPr>
          <w:b w:val="0"/>
          <w:bCs w:val="0"/>
        </w:rPr>
      </w:pPr>
    </w:p>
    <w:p w14:paraId="698C37A5">
      <w:pPr>
        <w:widowControl/>
        <w:jc w:val="left"/>
        <w:rPr>
          <w:rFonts w:ascii="Times New Roman" w:hAnsi="Times New Roman" w:cs="Times New Roman"/>
          <w:sz w:val="24"/>
          <w:szCs w:val="24"/>
        </w:rPr>
      </w:pPr>
      <w:r>
        <w:rPr>
          <w:b/>
          <w:bCs/>
        </w:rPr>
        <w:br w:type="page"/>
      </w:r>
    </w:p>
    <w:bookmarkEnd w:id="28"/>
    <w:p w14:paraId="132B9DD5">
      <w:pPr>
        <w:widowControl/>
        <w:jc w:val="center"/>
        <w:rPr>
          <w:rFonts w:ascii="Times New Roman" w:hAnsi="Times New Roman" w:eastAsia="等线" w:cs="Times New Roman"/>
          <w:sz w:val="24"/>
          <w:szCs w:val="24"/>
        </w:rPr>
      </w:pPr>
      <w:r>
        <w:rPr>
          <w:rFonts w:ascii="Times New Roman" w:hAnsi="Times New Roman" w:eastAsia="等线" w:cs="Times New Roman"/>
          <w:sz w:val="24"/>
          <w:szCs w:val="24"/>
        </w:rPr>
        <w:drawing>
          <wp:inline distT="0" distB="0" distL="0" distR="0">
            <wp:extent cx="5460365" cy="4957445"/>
            <wp:effectExtent l="0" t="0" r="6985" b="0"/>
            <wp:docPr id="701877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87721" name="图片 1"/>
                    <pic:cNvPicPr>
                      <a:picLocks noChangeAspect="1"/>
                    </pic:cNvPicPr>
                  </pic:nvPicPr>
                  <pic:blipFill>
                    <a:blip r:embed="rId13"/>
                    <a:stretch>
                      <a:fillRect/>
                    </a:stretch>
                  </pic:blipFill>
                  <pic:spPr>
                    <a:xfrm>
                      <a:off x="0" y="0"/>
                      <a:ext cx="5498240" cy="4991683"/>
                    </a:xfrm>
                    <a:prstGeom prst="rect">
                      <a:avLst/>
                    </a:prstGeom>
                  </pic:spPr>
                </pic:pic>
              </a:graphicData>
            </a:graphic>
          </wp:inline>
        </w:drawing>
      </w:r>
    </w:p>
    <w:p w14:paraId="0B52A59C">
      <w:pPr>
        <w:widowControl/>
        <w:spacing w:line="360" w:lineRule="auto"/>
        <w:rPr>
          <w:rFonts w:ascii="Times New Roman" w:hAnsi="Times New Roman" w:eastAsia="等线" w:cs="Times New Roman"/>
          <w:sz w:val="24"/>
          <w:szCs w:val="24"/>
        </w:rPr>
      </w:pPr>
      <w:bookmarkStart w:id="30" w:name="OLE_LINK44"/>
      <w:r>
        <w:rPr>
          <w:rFonts w:ascii="Times New Roman" w:hAnsi="Times New Roman" w:eastAsia="等线" w:cs="Times New Roman"/>
          <w:b/>
          <w:bCs/>
          <w:sz w:val="24"/>
          <w:szCs w:val="24"/>
        </w:rPr>
        <w:t xml:space="preserve">Supplementary Figure </w:t>
      </w:r>
      <w:r>
        <w:rPr>
          <w:rFonts w:hint="eastAsia" w:ascii="Times New Roman" w:hAnsi="Times New Roman" w:eastAsia="等线" w:cs="Times New Roman"/>
          <w:b/>
          <w:bCs/>
          <w:sz w:val="24"/>
          <w:szCs w:val="24"/>
        </w:rPr>
        <w:t>8</w:t>
      </w:r>
      <w:r>
        <w:rPr>
          <w:rFonts w:ascii="Times New Roman" w:hAnsi="Times New Roman" w:eastAsia="等线" w:cs="Times New Roman"/>
          <w:b/>
          <w:bCs/>
          <w:sz w:val="24"/>
          <w:szCs w:val="24"/>
        </w:rPr>
        <w:t>.</w:t>
      </w:r>
      <w:bookmarkEnd w:id="30"/>
      <w:r>
        <w:rPr>
          <w:rFonts w:ascii="Times New Roman" w:hAnsi="Times New Roman" w:eastAsia="等线" w:cs="Times New Roman"/>
          <w:sz w:val="24"/>
          <w:szCs w:val="24"/>
        </w:rPr>
        <w:t xml:space="preserve"> </w:t>
      </w:r>
      <w:r>
        <w:rPr>
          <w:rFonts w:ascii="Times New Roman" w:hAnsi="Times New Roman" w:eastAsia="等线" w:cs="Times New Roman"/>
          <w:b/>
          <w:bCs/>
          <w:sz w:val="24"/>
          <w:szCs w:val="24"/>
        </w:rPr>
        <w:t>Energy barriers of a serial chair to boat conformation transitions for monolayer GeSe</w:t>
      </w:r>
      <w:bookmarkStart w:id="31" w:name="OLE_LINK1"/>
      <w:r>
        <w:rPr>
          <w:rFonts w:ascii="Times New Roman" w:hAnsi="Times New Roman" w:eastAsia="等线" w:cs="Times New Roman"/>
          <w:b/>
          <w:bCs/>
          <w:sz w:val="24"/>
          <w:szCs w:val="24"/>
        </w:rPr>
        <w:t xml:space="preserve"> under </w:t>
      </w:r>
      <w:bookmarkStart w:id="32" w:name="OLE_LINK23"/>
      <w:r>
        <w:rPr>
          <w:rFonts w:ascii="Times New Roman" w:hAnsi="Times New Roman" w:eastAsia="等线" w:cs="Times New Roman"/>
          <w:b/>
          <w:bCs/>
          <w:sz w:val="24"/>
          <w:szCs w:val="24"/>
        </w:rPr>
        <w:t>shear strain</w:t>
      </w:r>
      <w:r>
        <w:rPr>
          <w:rFonts w:hint="eastAsia" w:ascii="Times New Roman" w:hAnsi="Times New Roman" w:eastAsia="等线" w:cs="Times New Roman"/>
          <w:b/>
          <w:bCs/>
          <w:sz w:val="24"/>
          <w:szCs w:val="24"/>
        </w:rPr>
        <w:t xml:space="preserve"> </w:t>
      </w:r>
      <m:oMath>
        <m:sSub>
          <m:sSubPr>
            <m:ctrlPr>
              <w:rPr>
                <w:rFonts w:ascii="Cambria Math" w:hAnsi="Cambria Math" w:eastAsia="等线" w:cs="Times New Roman"/>
                <w:b/>
                <w:bCs/>
                <w:i/>
                <w:sz w:val="24"/>
                <w:szCs w:val="24"/>
              </w:rPr>
            </m:ctrlPr>
          </m:sSubPr>
          <m:e>
            <m:r>
              <m:rPr>
                <m:sty m:val="bi"/>
              </m:rPr>
              <w:rPr>
                <w:rFonts w:ascii="Cambria Math" w:hAnsi="Cambria Math" w:eastAsia="等线" w:cs="Times New Roman"/>
                <w:sz w:val="24"/>
                <w:szCs w:val="24"/>
              </w:rPr>
              <m:t>ε</m:t>
            </m:r>
            <m:ctrlPr>
              <w:rPr>
                <w:rFonts w:ascii="Cambria Math" w:hAnsi="Cambria Math" w:eastAsia="等线" w:cs="Times New Roman"/>
                <w:b/>
                <w:bCs/>
                <w:i/>
                <w:sz w:val="24"/>
                <w:szCs w:val="24"/>
              </w:rPr>
            </m:ctrlPr>
          </m:e>
          <m:sub>
            <m:r>
              <m:rPr>
                <m:sty m:val="bi"/>
              </m:rPr>
              <w:rPr>
                <w:rFonts w:ascii="Cambria Math" w:hAnsi="Cambria Math" w:eastAsia="等线" w:cs="Times New Roman"/>
                <w:sz w:val="24"/>
                <w:szCs w:val="24"/>
              </w:rPr>
              <m:t>yz</m:t>
            </m:r>
            <m:ctrlPr>
              <w:rPr>
                <w:rFonts w:ascii="Cambria Math" w:hAnsi="Cambria Math" w:eastAsia="等线" w:cs="Times New Roman"/>
                <w:b/>
                <w:bCs/>
                <w:i/>
                <w:sz w:val="24"/>
                <w:szCs w:val="24"/>
              </w:rPr>
            </m:ctrlPr>
          </m:sub>
        </m:sSub>
      </m:oMath>
      <w:r>
        <w:rPr>
          <w:rFonts w:ascii="Times New Roman" w:hAnsi="Times New Roman" w:eastAsia="等线" w:cs="Times New Roman"/>
          <w:b/>
          <w:bCs/>
          <w:sz w:val="24"/>
          <w:szCs w:val="24"/>
        </w:rPr>
        <w:t xml:space="preserve"> of 30% </w:t>
      </w:r>
      <w:r>
        <w:rPr>
          <w:rFonts w:hint="eastAsia" w:ascii="Times New Roman" w:hAnsi="Times New Roman" w:eastAsia="等线" w:cs="Times New Roman"/>
          <w:b/>
          <w:bCs/>
          <w:sz w:val="24"/>
          <w:szCs w:val="24"/>
        </w:rPr>
        <w:t>(which induces the (010) plane shift along the [001] direction)</w:t>
      </w:r>
      <w:bookmarkEnd w:id="31"/>
      <w:r>
        <w:rPr>
          <w:rFonts w:ascii="Times New Roman" w:hAnsi="Times New Roman" w:eastAsia="等线" w:cs="Times New Roman"/>
          <w:b/>
          <w:bCs/>
          <w:sz w:val="24"/>
          <w:szCs w:val="24"/>
        </w:rPr>
        <w:t>.</w:t>
      </w:r>
      <w:bookmarkEnd w:id="32"/>
      <w:r>
        <w:rPr>
          <w:rFonts w:ascii="Times New Roman" w:hAnsi="Times New Roman" w:eastAsia="等线" w:cs="Times New Roman"/>
          <w:sz w:val="24"/>
          <w:szCs w:val="24"/>
        </w:rPr>
        <w:t xml:space="preserve"> </w:t>
      </w:r>
      <w:r>
        <w:rPr>
          <w:rFonts w:ascii="Times New Roman" w:hAnsi="Times New Roman" w:eastAsia="等线" w:cs="Times New Roman"/>
          <w:b/>
          <w:bCs/>
          <w:sz w:val="24"/>
          <w:szCs w:val="24"/>
        </w:rPr>
        <w:t>a</w:t>
      </w:r>
      <w:r>
        <w:rPr>
          <w:rFonts w:ascii="Times New Roman" w:hAnsi="Times New Roman" w:eastAsia="等线" w:cs="Times New Roman"/>
          <w:sz w:val="24"/>
          <w:szCs w:val="24"/>
        </w:rPr>
        <w:t xml:space="preserve">, Energy barrier of the first two </w:t>
      </w:r>
      <w:bookmarkStart w:id="33" w:name="OLE_LINK54"/>
      <w:r>
        <w:rPr>
          <w:rFonts w:ascii="Times New Roman" w:hAnsi="Times New Roman" w:eastAsia="等线" w:cs="Times New Roman"/>
          <w:sz w:val="24"/>
          <w:szCs w:val="24"/>
        </w:rPr>
        <w:t>chair to boat conformation transition</w:t>
      </w:r>
      <w:bookmarkEnd w:id="33"/>
      <w:r>
        <w:rPr>
          <w:rFonts w:ascii="Times New Roman" w:hAnsi="Times New Roman" w:eastAsia="等线" w:cs="Times New Roman"/>
          <w:sz w:val="24"/>
          <w:szCs w:val="24"/>
        </w:rPr>
        <w:t xml:space="preserve">. The insets show the atomic configurations of ground state, transition states and final state. </w:t>
      </w:r>
      <w:r>
        <w:rPr>
          <w:rFonts w:hint="eastAsia" w:ascii="Times New Roman" w:hAnsi="Times New Roman" w:eastAsia="等线" w:cs="Times New Roman"/>
          <w:sz w:val="24"/>
          <w:szCs w:val="24"/>
        </w:rPr>
        <w:t xml:space="preserve">Note that this data is given in Fig. 3 in main text, here we only replot it to show the details for the </w:t>
      </w:r>
      <w:r>
        <w:rPr>
          <w:rFonts w:ascii="Times New Roman" w:hAnsi="Times New Roman" w:eastAsia="等线" w:cs="Times New Roman"/>
          <w:sz w:val="24"/>
          <w:szCs w:val="24"/>
        </w:rPr>
        <w:t>chair to boat</w:t>
      </w:r>
      <w:r>
        <w:rPr>
          <w:rFonts w:hint="eastAsia" w:ascii="Times New Roman" w:hAnsi="Times New Roman" w:eastAsia="等线" w:cs="Times New Roman"/>
          <w:sz w:val="24"/>
          <w:szCs w:val="24"/>
        </w:rPr>
        <w:t xml:space="preserve"> </w:t>
      </w:r>
      <w:r>
        <w:rPr>
          <w:rFonts w:ascii="Times New Roman" w:hAnsi="Times New Roman" w:eastAsia="等线" w:cs="Times New Roman"/>
          <w:sz w:val="24"/>
          <w:szCs w:val="24"/>
        </w:rPr>
        <w:t>conformation transition</w:t>
      </w:r>
      <w:r>
        <w:rPr>
          <w:rFonts w:hint="eastAsia" w:ascii="Times New Roman" w:hAnsi="Times New Roman" w:eastAsia="等线" w:cs="Times New Roman"/>
          <w:sz w:val="24"/>
          <w:szCs w:val="24"/>
        </w:rPr>
        <w:t xml:space="preserve"> </w:t>
      </w:r>
      <w:r>
        <w:rPr>
          <w:rFonts w:ascii="Times New Roman" w:hAnsi="Times New Roman" w:eastAsia="等线" w:cs="Times New Roman"/>
          <w:b/>
          <w:bCs/>
          <w:sz w:val="24"/>
          <w:szCs w:val="24"/>
        </w:rPr>
        <w:t>b</w:t>
      </w:r>
      <w:r>
        <w:rPr>
          <w:rFonts w:ascii="Times New Roman" w:hAnsi="Times New Roman" w:eastAsia="等线" w:cs="Times New Roman"/>
          <w:sz w:val="24"/>
          <w:szCs w:val="24"/>
        </w:rPr>
        <w:t>, Energy barriers of the four initial ‘chair’ to ‘boat’ conformation transitions.</w:t>
      </w:r>
    </w:p>
    <w:p w14:paraId="56CB9E1A">
      <w:pPr>
        <w:widowControl/>
        <w:rPr>
          <w:rFonts w:ascii="Times New Roman" w:hAnsi="Times New Roman" w:eastAsia="等线" w:cs="Times New Roman"/>
          <w:sz w:val="24"/>
          <w:szCs w:val="24"/>
        </w:rPr>
      </w:pPr>
    </w:p>
    <w:p w14:paraId="5C7D34DE">
      <w:pPr>
        <w:widowControl/>
        <w:jc w:val="center"/>
        <w:rPr>
          <w:rFonts w:ascii="Times New Roman" w:hAnsi="Times New Roman" w:eastAsia="等线" w:cs="Times New Roman"/>
          <w:sz w:val="24"/>
          <w:szCs w:val="24"/>
        </w:rPr>
      </w:pPr>
      <w:r>
        <w:rPr>
          <w:rFonts w:ascii="Times New Roman" w:hAnsi="Times New Roman" w:eastAsia="等线" w:cs="Times New Roman"/>
          <w:sz w:val="24"/>
          <w:szCs w:val="24"/>
        </w:rPr>
        <w:drawing>
          <wp:inline distT="0" distB="0" distL="0" distR="0">
            <wp:extent cx="5088255" cy="6061075"/>
            <wp:effectExtent l="0" t="0" r="0" b="0"/>
            <wp:docPr id="10679847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984706" name="图片 1"/>
                    <pic:cNvPicPr>
                      <a:picLocks noChangeAspect="1"/>
                    </pic:cNvPicPr>
                  </pic:nvPicPr>
                  <pic:blipFill>
                    <a:blip r:embed="rId14"/>
                    <a:stretch>
                      <a:fillRect/>
                    </a:stretch>
                  </pic:blipFill>
                  <pic:spPr>
                    <a:xfrm>
                      <a:off x="0" y="0"/>
                      <a:ext cx="5118392" cy="6097253"/>
                    </a:xfrm>
                    <a:prstGeom prst="rect">
                      <a:avLst/>
                    </a:prstGeom>
                  </pic:spPr>
                </pic:pic>
              </a:graphicData>
            </a:graphic>
          </wp:inline>
        </w:drawing>
      </w:r>
    </w:p>
    <w:p w14:paraId="041834EC">
      <w:pPr>
        <w:widowControl/>
        <w:spacing w:line="360" w:lineRule="auto"/>
        <w:rPr>
          <w:rFonts w:ascii="Times New Roman" w:hAnsi="Times New Roman" w:eastAsia="等线" w:cs="Times New Roman"/>
          <w:sz w:val="24"/>
          <w:szCs w:val="24"/>
        </w:rPr>
      </w:pPr>
      <w:bookmarkStart w:id="34" w:name="OLE_LINK45"/>
      <w:r>
        <w:rPr>
          <w:rFonts w:ascii="Times New Roman" w:hAnsi="Times New Roman" w:eastAsia="等线" w:cs="Times New Roman"/>
          <w:b/>
          <w:bCs/>
          <w:sz w:val="24"/>
          <w:szCs w:val="24"/>
        </w:rPr>
        <w:t xml:space="preserve">Supplementary Figure </w:t>
      </w:r>
      <w:r>
        <w:rPr>
          <w:rFonts w:hint="eastAsia" w:ascii="Times New Roman" w:hAnsi="Times New Roman" w:eastAsia="等线" w:cs="Times New Roman"/>
          <w:b/>
          <w:bCs/>
          <w:sz w:val="24"/>
          <w:szCs w:val="24"/>
        </w:rPr>
        <w:t>9</w:t>
      </w:r>
      <w:r>
        <w:rPr>
          <w:rFonts w:ascii="Times New Roman" w:hAnsi="Times New Roman" w:eastAsia="等线" w:cs="Times New Roman"/>
          <w:b/>
          <w:bCs/>
          <w:sz w:val="24"/>
          <w:szCs w:val="24"/>
        </w:rPr>
        <w:t>.</w:t>
      </w:r>
      <w:bookmarkEnd w:id="34"/>
      <w:r>
        <w:rPr>
          <w:rFonts w:ascii="Times New Roman" w:hAnsi="Times New Roman" w:eastAsia="等线" w:cs="Times New Roman"/>
          <w:sz w:val="24"/>
          <w:szCs w:val="24"/>
        </w:rPr>
        <w:t xml:space="preserve"> </w:t>
      </w:r>
      <w:r>
        <w:rPr>
          <w:rFonts w:ascii="Times New Roman" w:hAnsi="Times New Roman" w:eastAsia="等线" w:cs="Times New Roman"/>
          <w:b/>
          <w:bCs/>
          <w:sz w:val="24"/>
          <w:szCs w:val="24"/>
        </w:rPr>
        <w:t xml:space="preserve">Structural evolution of the first two ‘chair’ to ‘boat’ conformation transition for monolayer GeSe under shear strain </w:t>
      </w:r>
      <m:oMath>
        <m:sSub>
          <m:sSubPr>
            <m:ctrlPr>
              <w:rPr>
                <w:rFonts w:ascii="Cambria Math" w:hAnsi="Cambria Math" w:eastAsia="等线" w:cs="Times New Roman"/>
                <w:b/>
                <w:bCs/>
                <w:i/>
                <w:sz w:val="24"/>
                <w:szCs w:val="24"/>
              </w:rPr>
            </m:ctrlPr>
          </m:sSubPr>
          <m:e>
            <m:r>
              <m:rPr>
                <m:sty m:val="bi"/>
              </m:rPr>
              <w:rPr>
                <w:rFonts w:ascii="Cambria Math" w:hAnsi="Cambria Math" w:eastAsia="等线" w:cs="Times New Roman"/>
                <w:sz w:val="24"/>
                <w:szCs w:val="24"/>
              </w:rPr>
              <m:t>ε</m:t>
            </m:r>
            <m:ctrlPr>
              <w:rPr>
                <w:rFonts w:ascii="Cambria Math" w:hAnsi="Cambria Math" w:eastAsia="等线" w:cs="Times New Roman"/>
                <w:b/>
                <w:bCs/>
                <w:i/>
                <w:sz w:val="24"/>
                <w:szCs w:val="24"/>
              </w:rPr>
            </m:ctrlPr>
          </m:e>
          <m:sub>
            <m:r>
              <m:rPr>
                <m:sty m:val="bi"/>
              </m:rPr>
              <w:rPr>
                <w:rFonts w:ascii="Cambria Math" w:hAnsi="Cambria Math" w:eastAsia="等线" w:cs="Times New Roman"/>
                <w:sz w:val="24"/>
                <w:szCs w:val="24"/>
              </w:rPr>
              <m:t>yz</m:t>
            </m:r>
            <m:ctrlPr>
              <w:rPr>
                <w:rFonts w:ascii="Cambria Math" w:hAnsi="Cambria Math" w:eastAsia="等线" w:cs="Times New Roman"/>
                <w:b/>
                <w:bCs/>
                <w:i/>
                <w:sz w:val="24"/>
                <w:szCs w:val="24"/>
              </w:rPr>
            </m:ctrlPr>
          </m:sub>
        </m:sSub>
      </m:oMath>
      <w:r>
        <w:rPr>
          <w:rFonts w:ascii="Times New Roman" w:hAnsi="Times New Roman" w:eastAsia="等线" w:cs="Times New Roman"/>
          <w:b/>
          <w:bCs/>
          <w:sz w:val="24"/>
          <w:szCs w:val="24"/>
        </w:rPr>
        <w:t xml:space="preserve"> of 30% (which induces the (010) plane shift along the [001] direction)</w:t>
      </w:r>
      <w:r>
        <w:rPr>
          <w:rFonts w:hint="eastAsia" w:ascii="Times New Roman" w:hAnsi="Times New Roman" w:eastAsia="等线" w:cs="Times New Roman"/>
          <w:b/>
          <w:bCs/>
          <w:sz w:val="24"/>
          <w:szCs w:val="24"/>
        </w:rPr>
        <w:t>.</w:t>
      </w:r>
      <w:r>
        <w:rPr>
          <w:rFonts w:ascii="Times New Roman" w:hAnsi="Times New Roman" w:eastAsia="等线" w:cs="Times New Roman"/>
          <w:b/>
          <w:bCs/>
          <w:sz w:val="24"/>
          <w:szCs w:val="24"/>
        </w:rPr>
        <w:t xml:space="preserve"> a</w:t>
      </w:r>
      <w:r>
        <w:rPr>
          <w:rFonts w:ascii="Times New Roman" w:hAnsi="Times New Roman" w:eastAsia="等线" w:cs="Times New Roman"/>
          <w:sz w:val="24"/>
          <w:szCs w:val="24"/>
        </w:rPr>
        <w:t xml:space="preserve">. The definition of in-plane (IP), out-of-plane (OP) Ge-Se bond and dihedral angle (Ge-Se-Se-Ge) in chair and boat conformation. </w:t>
      </w:r>
      <w:r>
        <w:rPr>
          <w:rFonts w:ascii="Times New Roman" w:hAnsi="Times New Roman" w:eastAsia="等线" w:cs="Times New Roman"/>
          <w:b/>
          <w:bCs/>
          <w:sz w:val="24"/>
          <w:szCs w:val="24"/>
        </w:rPr>
        <w:t>b</w:t>
      </w:r>
      <w:r>
        <w:rPr>
          <w:rFonts w:ascii="Times New Roman" w:hAnsi="Times New Roman" w:eastAsia="等线" w:cs="Times New Roman"/>
          <w:sz w:val="24"/>
          <w:szCs w:val="24"/>
        </w:rPr>
        <w:t>. Quantitative analysis of bond length (top panel) and dihedral angle (bottom panel) variations across sequential steps from</w:t>
      </w:r>
      <w:r>
        <w:rPr>
          <w:rFonts w:hint="eastAsia" w:ascii="Times New Roman" w:hAnsi="Times New Roman" w:eastAsia="等线" w:cs="Times New Roman"/>
          <w:sz w:val="24"/>
          <w:szCs w:val="24"/>
        </w:rPr>
        <w:t xml:space="preserve"> </w:t>
      </w:r>
      <w:r>
        <w:rPr>
          <w:rFonts w:ascii="Times New Roman" w:hAnsi="Times New Roman" w:eastAsia="等线" w:cs="Times New Roman"/>
          <w:sz w:val="24"/>
          <w:szCs w:val="24"/>
        </w:rPr>
        <w:t>chair to boat conformation transition. Data points are color-coded by dihedral angle (color bar, right), with blue representing the ‘chair’ conformation and red indicating the boat conformation. Vertical dashed lines highlight critical transition state of ‘half-chair-half-boat’ conformation.</w:t>
      </w:r>
    </w:p>
    <w:p w14:paraId="15544049">
      <w:pPr>
        <w:widowControl/>
        <w:numPr>
          <w:ilvl w:val="0"/>
          <w:numId w:val="3"/>
        </w:numPr>
        <w:spacing w:line="360" w:lineRule="auto"/>
        <w:rPr>
          <w:rFonts w:ascii="Times New Roman" w:hAnsi="Times New Roman" w:eastAsia="等线" w:cs="Times New Roman"/>
          <w:b/>
          <w:bCs/>
          <w:sz w:val="24"/>
          <w:szCs w:val="24"/>
        </w:rPr>
      </w:pPr>
      <w:r>
        <w:rPr>
          <w:rFonts w:ascii="Times New Roman" w:hAnsi="Times New Roman" w:eastAsia="等线" w:cs="Times New Roman"/>
          <w:b/>
          <w:bCs/>
          <w:sz w:val="24"/>
          <w:szCs w:val="24"/>
        </w:rPr>
        <w:t>Machine learning force field (MLFF) training and validation</w:t>
      </w:r>
    </w:p>
    <w:p w14:paraId="4B6570EA">
      <w:pPr>
        <w:widowControl/>
        <w:spacing w:line="360" w:lineRule="auto"/>
        <w:rPr>
          <w:rFonts w:ascii="Times New Roman" w:hAnsi="Times New Roman" w:eastAsia="等线" w:cs="Times New Roman"/>
          <w:sz w:val="24"/>
          <w:szCs w:val="24"/>
        </w:rPr>
      </w:pPr>
      <w:r>
        <w:rPr>
          <w:rFonts w:ascii="Times New Roman" w:hAnsi="Times New Roman" w:eastAsia="等线" w:cs="Times New Roman"/>
          <w:sz w:val="24"/>
          <w:szCs w:val="24"/>
        </w:rPr>
        <w:t xml:space="preserve">The developed Machine Learning Force Field (MLFF) was rigorously validated against first-principles calculations to ensure its predictive accuracy for the GeSe system. Specifically, the structural accuracy of the MLFF was validated by comparing </w:t>
      </w:r>
      <w:r>
        <w:rPr>
          <w:rFonts w:hint="eastAsia" w:ascii="Times New Roman" w:hAnsi="Times New Roman" w:eastAsia="等线" w:cs="Times New Roman"/>
          <w:sz w:val="24"/>
          <w:szCs w:val="24"/>
        </w:rPr>
        <w:t xml:space="preserve">its </w:t>
      </w:r>
      <w:r>
        <w:rPr>
          <w:rFonts w:ascii="Times New Roman" w:hAnsi="Times New Roman" w:eastAsia="等线" w:cs="Times New Roman"/>
          <w:sz w:val="24"/>
          <w:szCs w:val="24"/>
        </w:rPr>
        <w:t xml:space="preserve">predicted lattice parameters and unit cell volumes with DFT reference values for both α-GeSe and β-GeSe (Supplementary Table </w:t>
      </w:r>
      <w:r>
        <w:rPr>
          <w:rFonts w:hint="eastAsia" w:ascii="Times New Roman" w:hAnsi="Times New Roman" w:eastAsia="等线" w:cs="Times New Roman"/>
          <w:sz w:val="24"/>
          <w:szCs w:val="24"/>
        </w:rPr>
        <w:t>2</w:t>
      </w:r>
      <w:r>
        <w:rPr>
          <w:rFonts w:ascii="Times New Roman" w:hAnsi="Times New Roman" w:eastAsia="等线" w:cs="Times New Roman"/>
          <w:sz w:val="24"/>
          <w:szCs w:val="24"/>
        </w:rPr>
        <w:t xml:space="preserve">). The MLFF exhibits excellent fidelity in reproducing the DFT potential energy surface. For the two polymorphs, deviations in unit cell volume are minimal, with differences of only 0.25% for the α-phase and 0.57% for the β-phase (Supplementary Table </w:t>
      </w:r>
      <w:r>
        <w:rPr>
          <w:rFonts w:hint="eastAsia" w:ascii="Times New Roman" w:hAnsi="Times New Roman" w:eastAsia="等线" w:cs="Times New Roman"/>
          <w:sz w:val="24"/>
          <w:szCs w:val="24"/>
        </w:rPr>
        <w:t>3</w:t>
      </w:r>
      <w:r>
        <w:rPr>
          <w:rFonts w:ascii="Times New Roman" w:hAnsi="Times New Roman" w:eastAsia="等线" w:cs="Times New Roman"/>
          <w:sz w:val="24"/>
          <w:szCs w:val="24"/>
        </w:rPr>
        <w:t>). Moreover, the MLFF achieves high precision across all individual lattice dimensions (</w:t>
      </w:r>
      <w:r>
        <w:rPr>
          <w:rFonts w:ascii="Times New Roman" w:hAnsi="Times New Roman" w:eastAsia="等线" w:cs="Times New Roman"/>
          <w:i/>
          <w:iCs/>
          <w:sz w:val="24"/>
          <w:szCs w:val="24"/>
        </w:rPr>
        <w:t>a</w:t>
      </w:r>
      <w:r>
        <w:rPr>
          <w:rFonts w:ascii="Times New Roman" w:hAnsi="Times New Roman" w:eastAsia="等线" w:cs="Times New Roman"/>
          <w:sz w:val="24"/>
          <w:szCs w:val="24"/>
        </w:rPr>
        <w:t xml:space="preserve">, </w:t>
      </w:r>
      <w:r>
        <w:rPr>
          <w:rFonts w:ascii="Times New Roman" w:hAnsi="Times New Roman" w:eastAsia="等线" w:cs="Times New Roman"/>
          <w:i/>
          <w:iCs/>
          <w:sz w:val="24"/>
          <w:szCs w:val="24"/>
        </w:rPr>
        <w:t>b</w:t>
      </w:r>
      <w:r>
        <w:rPr>
          <w:rFonts w:ascii="Times New Roman" w:hAnsi="Times New Roman" w:eastAsia="等线" w:cs="Times New Roman"/>
          <w:sz w:val="24"/>
          <w:szCs w:val="24"/>
        </w:rPr>
        <w:t xml:space="preserve">, and </w:t>
      </w:r>
      <w:r>
        <w:rPr>
          <w:rFonts w:ascii="Times New Roman" w:hAnsi="Times New Roman" w:eastAsia="等线" w:cs="Times New Roman"/>
          <w:i/>
          <w:iCs/>
          <w:sz w:val="24"/>
          <w:szCs w:val="24"/>
        </w:rPr>
        <w:t>c</w:t>
      </w:r>
      <w:r>
        <w:rPr>
          <w:rFonts w:ascii="Times New Roman" w:hAnsi="Times New Roman" w:eastAsia="等线" w:cs="Times New Roman"/>
          <w:sz w:val="24"/>
          <w:szCs w:val="24"/>
        </w:rPr>
        <w:t>), with percentage deviations consistently below 1%. This close structural and volumetric agreement confirms that the MLFF serves as a highly accurate surrogate model, enabling accelerated first-principles-level investigations of GeSe systems.</w:t>
      </w:r>
    </w:p>
    <w:p w14:paraId="0DA9A830">
      <w:pPr>
        <w:widowControl/>
        <w:spacing w:line="360" w:lineRule="auto"/>
        <w:rPr>
          <w:rFonts w:ascii="Times New Roman" w:hAnsi="Times New Roman" w:eastAsia="等线" w:cs="Times New Roman"/>
          <w:sz w:val="24"/>
          <w:szCs w:val="24"/>
        </w:rPr>
      </w:pPr>
      <w:r>
        <w:rPr>
          <w:rFonts w:ascii="Times New Roman" w:hAnsi="Times New Roman" w:eastAsia="等线" w:cs="Times New Roman"/>
          <w:sz w:val="24"/>
          <w:szCs w:val="24"/>
        </w:rPr>
        <w:t>Beyond structural fidelity, the MLFF demonstrates a robust capability in capturing the dynamical properties of GeSe. The phonon dispersion relation</w:t>
      </w:r>
      <w:r>
        <w:rPr>
          <w:rFonts w:hint="eastAsia" w:ascii="Times New Roman" w:hAnsi="Times New Roman" w:eastAsia="等线" w:cs="Times New Roman"/>
          <w:sz w:val="24"/>
          <w:szCs w:val="24"/>
        </w:rPr>
        <w:t>s</w:t>
      </w:r>
      <w:r>
        <w:rPr>
          <w:rFonts w:ascii="Times New Roman" w:hAnsi="Times New Roman" w:eastAsia="等线" w:cs="Times New Roman"/>
          <w:sz w:val="24"/>
          <w:szCs w:val="24"/>
        </w:rPr>
        <w:t xml:space="preserve"> were calculated using the finite displacement method as implemented in the Phonopy package</w:t>
      </w:r>
      <w:r>
        <w:rPr>
          <w:rFonts w:ascii="Times New Roman" w:hAnsi="Times New Roman" w:eastAsia="等线" w:cs="Times New Roman"/>
          <w:sz w:val="24"/>
          <w:szCs w:val="24"/>
        </w:rPr>
        <w:fldChar w:fldCharType="begin"/>
      </w:r>
      <w:r>
        <w:rPr>
          <w:rFonts w:ascii="Times New Roman" w:hAnsi="Times New Roman" w:eastAsia="等线" w:cs="Times New Roman"/>
          <w:sz w:val="24"/>
          <w:szCs w:val="24"/>
        </w:rPr>
        <w:instrText xml:space="preserve"> ADDIN EN.CITE &lt;EndNote&gt;&lt;Cite&gt;&lt;Author&gt;Togo&lt;/Author&gt;&lt;Year&gt;2015&lt;/Year&gt;&lt;RecNum&gt;3059&lt;/RecNum&gt;&lt;DisplayText&gt;&lt;style face="superscript"&gt;3&lt;/style&gt;&lt;/DisplayText&gt;&lt;record&gt;&lt;rec-number&gt;3059&lt;/rec-number&gt;&lt;foreign-keys&gt;&lt;key app="EN" db-id="zs2fp5r2f2x2e2esxe75ap2k2dx05tep55zx" timestamp="1768283050"&gt;3059&lt;/key&gt;&lt;/foreign-keys&gt;&lt;ref-type name="Journal Article"&gt;17&lt;/ref-type&gt;&lt;contributors&gt;&lt;authors&gt;&lt;author&gt;Togo, Atsushi&lt;/author&gt;&lt;author&gt;Tanaka, Isao&lt;/author&gt;&lt;/authors&gt;&lt;/contributors&gt;&lt;titles&gt;&lt;title&gt;First principles phonon calculations in materials science&lt;/title&gt;&lt;secondary-title&gt;Scripta Materialia&lt;/secondary-title&gt;&lt;/titles&gt;&lt;periodical&gt;&lt;full-title&gt;Scripta Materialia&lt;/full-title&gt;&lt;/periodical&gt;&lt;pages&gt;1-5&lt;/pages&gt;&lt;volume&gt;108&lt;/volume&gt;&lt;keywords&gt;&lt;keyword&gt;First principles phonon calculation&lt;/keyword&gt;&lt;keyword&gt;Thermal ellipsoid&lt;/keyword&gt;&lt;keyword&gt;Thermal expansion&lt;/keyword&gt;&lt;/keywords&gt;&lt;dates&gt;&lt;year&gt;2015&lt;/year&gt;&lt;pub-dates&gt;&lt;date&gt;2015/11/01/&lt;/date&gt;&lt;/pub-dates&gt;&lt;/dates&gt;&lt;isbn&gt;1359-6462&lt;/isbn&gt;&lt;urls&gt;&lt;related-urls&gt;&lt;url&gt;https://www.sciencedirect.com/science/article/pii/S1359646215003127&lt;/url&gt;&lt;/related-urls&gt;&lt;/urls&gt;&lt;electronic-resource-num&gt;https://doi.org/10.1016/j.scriptamat.2015.07.021&lt;/electronic-resource-num&gt;&lt;/record&gt;&lt;/Cite&gt;&lt;/EndNote&gt;</w:instrText>
      </w:r>
      <w:r>
        <w:rPr>
          <w:rFonts w:ascii="Times New Roman" w:hAnsi="Times New Roman" w:eastAsia="等线" w:cs="Times New Roman"/>
          <w:sz w:val="24"/>
          <w:szCs w:val="24"/>
        </w:rPr>
        <w:fldChar w:fldCharType="separate"/>
      </w:r>
      <w:r>
        <w:rPr>
          <w:rFonts w:ascii="Times New Roman" w:hAnsi="Times New Roman" w:eastAsia="等线" w:cs="Times New Roman"/>
          <w:sz w:val="24"/>
          <w:szCs w:val="24"/>
          <w:vertAlign w:val="superscript"/>
        </w:rPr>
        <w:t>3</w:t>
      </w:r>
      <w:r>
        <w:rPr>
          <w:rFonts w:ascii="Times New Roman" w:hAnsi="Times New Roman" w:eastAsia="等线" w:cs="Times New Roman"/>
          <w:sz w:val="24"/>
          <w:szCs w:val="24"/>
        </w:rPr>
        <w:fldChar w:fldCharType="end"/>
      </w:r>
      <w:r>
        <w:rPr>
          <w:rFonts w:ascii="Times New Roman" w:hAnsi="Times New Roman" w:eastAsia="等线" w:cs="Times New Roman"/>
          <w:sz w:val="24"/>
          <w:szCs w:val="24"/>
        </w:rPr>
        <w:t>. For the α-GeSe and β-GeSe phases, supercells of dimensions 4 × 4 × 2 and 5 × 3 × 2 were employed, respectively. The phonon dispersion relations calculated from the MLFF exhibit a high degree of consistency with DFT reference results for both polymorphs (Supplementary Fig</w:t>
      </w:r>
      <w:r>
        <w:rPr>
          <w:rFonts w:hint="eastAsia" w:ascii="Times New Roman" w:hAnsi="Times New Roman" w:eastAsia="等线" w:cs="Times New Roman"/>
          <w:sz w:val="24"/>
          <w:szCs w:val="24"/>
        </w:rPr>
        <w:t>.</w:t>
      </w:r>
      <w:r>
        <w:rPr>
          <w:rFonts w:ascii="Times New Roman" w:hAnsi="Times New Roman" w:eastAsia="等线" w:cs="Times New Roman"/>
          <w:sz w:val="24"/>
          <w:szCs w:val="24"/>
        </w:rPr>
        <w:t xml:space="preserve"> </w:t>
      </w:r>
      <w:r>
        <w:rPr>
          <w:rFonts w:hint="eastAsia" w:ascii="Times New Roman" w:hAnsi="Times New Roman" w:eastAsia="等线" w:cs="Times New Roman"/>
          <w:sz w:val="24"/>
          <w:szCs w:val="24"/>
        </w:rPr>
        <w:t>10</w:t>
      </w:r>
      <w:r>
        <w:rPr>
          <w:rFonts w:ascii="Times New Roman" w:hAnsi="Times New Roman" w:eastAsia="等线" w:cs="Times New Roman"/>
          <w:sz w:val="24"/>
          <w:szCs w:val="24"/>
        </w:rPr>
        <w:t xml:space="preserve">), successfully reproducing key vibrational features essential for understanding phase stability and thermal transport. The ability of the MLFF to simultaneously deliver accurate structural parameters and phonon spectra confirms its reliability as a computationally efficient surrogate for expensive </w:t>
      </w:r>
      <w:r>
        <w:rPr>
          <w:rFonts w:ascii="Times New Roman" w:hAnsi="Times New Roman" w:eastAsia="等线" w:cs="Times New Roman"/>
          <w:i/>
          <w:iCs/>
          <w:sz w:val="24"/>
          <w:szCs w:val="24"/>
        </w:rPr>
        <w:t>ab initio</w:t>
      </w:r>
      <w:r>
        <w:rPr>
          <w:rFonts w:ascii="Times New Roman" w:hAnsi="Times New Roman" w:eastAsia="等线" w:cs="Times New Roman"/>
          <w:sz w:val="24"/>
          <w:szCs w:val="24"/>
        </w:rPr>
        <w:t xml:space="preserve"> methods in exploring the complex phase behavior of GeSe.</w:t>
      </w:r>
    </w:p>
    <w:p w14:paraId="2F581051">
      <w:pPr>
        <w:widowControl/>
        <w:jc w:val="left"/>
        <w:rPr>
          <w:rFonts w:ascii="Times New Roman" w:hAnsi="Times New Roman" w:eastAsia="等线" w:cs="Times New Roman"/>
          <w:sz w:val="24"/>
          <w:szCs w:val="24"/>
        </w:rPr>
      </w:pPr>
      <w:r>
        <w:rPr>
          <w:rFonts w:ascii="Times New Roman" w:hAnsi="Times New Roman" w:eastAsia="等线" w:cs="Times New Roman"/>
          <w:sz w:val="24"/>
          <w:szCs w:val="24"/>
        </w:rPr>
        <w:br w:type="page"/>
      </w:r>
    </w:p>
    <w:p w14:paraId="392DF6CB">
      <w:pPr>
        <w:widowControl/>
        <w:spacing w:line="360" w:lineRule="auto"/>
        <w:rPr>
          <w:rFonts w:ascii="Times New Roman" w:hAnsi="Times New Roman" w:eastAsia="等线" w:cs="Times New Roman"/>
          <w:b/>
          <w:bCs/>
          <w:sz w:val="24"/>
          <w:szCs w:val="24"/>
        </w:rPr>
      </w:pPr>
      <w:r>
        <w:rPr>
          <w:rFonts w:ascii="Times New Roman" w:hAnsi="Times New Roman" w:eastAsia="等线" w:cs="Times New Roman"/>
          <w:b/>
          <w:bCs/>
          <w:sz w:val="24"/>
          <w:szCs w:val="24"/>
        </w:rPr>
        <w:t xml:space="preserve">Supplementary Table </w:t>
      </w:r>
      <w:r>
        <w:rPr>
          <w:rFonts w:hint="eastAsia" w:ascii="Times New Roman" w:hAnsi="Times New Roman" w:eastAsia="等线" w:cs="Times New Roman"/>
          <w:b/>
          <w:bCs/>
          <w:sz w:val="24"/>
          <w:szCs w:val="24"/>
        </w:rPr>
        <w:t>2</w:t>
      </w:r>
      <w:r>
        <w:rPr>
          <w:rFonts w:ascii="Times New Roman" w:hAnsi="Times New Roman" w:eastAsia="等线" w:cs="Times New Roman"/>
          <w:b/>
          <w:bCs/>
          <w:sz w:val="24"/>
          <w:szCs w:val="24"/>
        </w:rPr>
        <w:t>. Comparison of lattice parameters for GeSe obtained from experiment</w:t>
      </w:r>
      <w:r>
        <w:rPr>
          <w:rFonts w:hint="eastAsia" w:ascii="Times New Roman" w:hAnsi="Times New Roman" w:eastAsia="等线" w:cs="Times New Roman"/>
          <w:b/>
          <w:bCs/>
          <w:sz w:val="24"/>
          <w:szCs w:val="24"/>
        </w:rPr>
        <w:t>s</w:t>
      </w:r>
      <w:r>
        <w:rPr>
          <w:rFonts w:ascii="Times New Roman" w:hAnsi="Times New Roman" w:eastAsia="等线" w:cs="Times New Roman"/>
          <w:b/>
          <w:bCs/>
          <w:sz w:val="24"/>
          <w:szCs w:val="24"/>
        </w:rPr>
        <w:t>, DFT calculations and MLFF</w:t>
      </w:r>
      <w:r>
        <w:rPr>
          <w:rFonts w:hint="eastAsia" w:ascii="Times New Roman" w:hAnsi="Times New Roman" w:eastAsia="等线" w:cs="Times New Roman"/>
          <w:b/>
          <w:bCs/>
          <w:sz w:val="24"/>
          <w:szCs w:val="24"/>
        </w:rPr>
        <w:t xml:space="preserve"> method</w:t>
      </w:r>
    </w:p>
    <w:tbl>
      <w:tblPr>
        <w:tblStyle w:val="14"/>
        <w:tblW w:w="851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679"/>
        <w:gridCol w:w="2291"/>
        <w:gridCol w:w="1358"/>
        <w:gridCol w:w="1624"/>
        <w:gridCol w:w="1567"/>
      </w:tblGrid>
      <w:tr w14:paraId="2D6506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blHeader/>
          <w:jc w:val="center"/>
        </w:trPr>
        <w:tc>
          <w:tcPr>
            <w:tcW w:w="1679" w:type="dxa"/>
            <w:tcBorders>
              <w:top w:val="single" w:color="auto" w:sz="4" w:space="0"/>
              <w:bottom w:val="single" w:color="auto" w:sz="4" w:space="0"/>
            </w:tcBorders>
            <w:vAlign w:val="center"/>
          </w:tcPr>
          <w:p w14:paraId="33618DEF">
            <w:pPr>
              <w:widowControl/>
              <w:spacing w:line="360" w:lineRule="auto"/>
              <w:jc w:val="center"/>
              <w:rPr>
                <w:rFonts w:ascii="Times New Roman" w:hAnsi="Times New Roman" w:eastAsia="等线" w:cs="Times New Roman"/>
                <w:b/>
                <w:sz w:val="24"/>
                <w:szCs w:val="24"/>
              </w:rPr>
            </w:pPr>
          </w:p>
        </w:tc>
        <w:tc>
          <w:tcPr>
            <w:tcW w:w="2291" w:type="dxa"/>
            <w:tcBorders>
              <w:top w:val="single" w:color="auto" w:sz="4" w:space="0"/>
              <w:bottom w:val="single" w:color="auto" w:sz="4" w:space="0"/>
            </w:tcBorders>
            <w:vAlign w:val="center"/>
          </w:tcPr>
          <w:p w14:paraId="408EC88A">
            <w:pPr>
              <w:widowControl/>
              <w:spacing w:line="360" w:lineRule="auto"/>
              <w:jc w:val="center"/>
              <w:rPr>
                <w:rFonts w:ascii="Times New Roman" w:hAnsi="Times New Roman" w:eastAsia="等线" w:cs="Times New Roman"/>
                <w:bCs/>
                <w:sz w:val="24"/>
                <w:szCs w:val="24"/>
              </w:rPr>
            </w:pPr>
            <w:r>
              <w:rPr>
                <w:rFonts w:ascii="Times New Roman" w:hAnsi="Times New Roman" w:eastAsia="等线" w:cs="Times New Roman"/>
                <w:bCs/>
                <w:sz w:val="24"/>
                <w:szCs w:val="24"/>
              </w:rPr>
              <w:t>Method</w:t>
            </w:r>
          </w:p>
        </w:tc>
        <w:tc>
          <w:tcPr>
            <w:tcW w:w="1358" w:type="dxa"/>
            <w:tcBorders>
              <w:top w:val="single" w:color="auto" w:sz="4" w:space="0"/>
              <w:bottom w:val="single" w:color="auto" w:sz="4" w:space="0"/>
            </w:tcBorders>
            <w:vAlign w:val="center"/>
          </w:tcPr>
          <w:p w14:paraId="40B0313F">
            <w:pPr>
              <w:widowControl/>
              <w:spacing w:line="360" w:lineRule="auto"/>
              <w:jc w:val="center"/>
              <w:rPr>
                <w:rFonts w:ascii="Times New Roman" w:hAnsi="Times New Roman" w:eastAsia="等线" w:cs="Times New Roman"/>
                <w:bCs/>
                <w:sz w:val="24"/>
                <w:szCs w:val="24"/>
              </w:rPr>
            </w:pPr>
            <w:r>
              <w:rPr>
                <w:rFonts w:ascii="Times New Roman" w:hAnsi="Times New Roman" w:eastAsia="等线" w:cs="Times New Roman"/>
                <w:bCs/>
                <w:sz w:val="24"/>
                <w:szCs w:val="24"/>
              </w:rPr>
              <w:t>a (Å)</w:t>
            </w:r>
          </w:p>
        </w:tc>
        <w:tc>
          <w:tcPr>
            <w:tcW w:w="1624" w:type="dxa"/>
            <w:tcBorders>
              <w:top w:val="single" w:color="auto" w:sz="4" w:space="0"/>
              <w:bottom w:val="single" w:color="auto" w:sz="4" w:space="0"/>
            </w:tcBorders>
            <w:vAlign w:val="center"/>
          </w:tcPr>
          <w:p w14:paraId="425E12EE">
            <w:pPr>
              <w:widowControl/>
              <w:spacing w:line="360" w:lineRule="auto"/>
              <w:jc w:val="center"/>
              <w:rPr>
                <w:rFonts w:ascii="Times New Roman" w:hAnsi="Times New Roman" w:eastAsia="等线" w:cs="Times New Roman"/>
                <w:bCs/>
                <w:sz w:val="24"/>
                <w:szCs w:val="24"/>
              </w:rPr>
            </w:pPr>
            <w:r>
              <w:rPr>
                <w:rFonts w:ascii="Times New Roman" w:hAnsi="Times New Roman" w:eastAsia="等线" w:cs="Times New Roman"/>
                <w:bCs/>
                <w:sz w:val="24"/>
                <w:szCs w:val="24"/>
              </w:rPr>
              <w:t>b (Å)</w:t>
            </w:r>
          </w:p>
        </w:tc>
        <w:tc>
          <w:tcPr>
            <w:tcW w:w="1567" w:type="dxa"/>
            <w:tcBorders>
              <w:top w:val="single" w:color="auto" w:sz="4" w:space="0"/>
              <w:bottom w:val="single" w:color="auto" w:sz="4" w:space="0"/>
            </w:tcBorders>
            <w:vAlign w:val="center"/>
          </w:tcPr>
          <w:p w14:paraId="2E091485">
            <w:pPr>
              <w:widowControl/>
              <w:spacing w:line="360" w:lineRule="auto"/>
              <w:jc w:val="center"/>
              <w:rPr>
                <w:rFonts w:ascii="Times New Roman" w:hAnsi="Times New Roman" w:eastAsia="等线" w:cs="Times New Roman"/>
                <w:bCs/>
                <w:sz w:val="24"/>
                <w:szCs w:val="24"/>
              </w:rPr>
            </w:pPr>
            <w:r>
              <w:rPr>
                <w:rFonts w:ascii="Times New Roman" w:hAnsi="Times New Roman" w:eastAsia="等线" w:cs="Times New Roman"/>
                <w:bCs/>
                <w:sz w:val="24"/>
                <w:szCs w:val="24"/>
              </w:rPr>
              <w:t>c (Å)</w:t>
            </w:r>
          </w:p>
        </w:tc>
      </w:tr>
      <w:tr w14:paraId="3DAD2D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679" w:type="dxa"/>
            <w:vMerge w:val="restart"/>
            <w:tcBorders>
              <w:top w:val="single" w:color="auto" w:sz="4" w:space="0"/>
            </w:tcBorders>
            <w:vAlign w:val="center"/>
          </w:tcPr>
          <w:p w14:paraId="17C6F542">
            <w:pPr>
              <w:widowControl/>
              <w:spacing w:line="360" w:lineRule="auto"/>
              <w:jc w:val="center"/>
              <w:rPr>
                <w:rFonts w:ascii="Times New Roman" w:hAnsi="Times New Roman" w:eastAsia="等线" w:cs="Times New Roman"/>
                <w:sz w:val="24"/>
                <w:szCs w:val="24"/>
              </w:rPr>
            </w:pPr>
            <w:r>
              <w:rPr>
                <w:rFonts w:ascii="Times New Roman" w:hAnsi="Times New Roman" w:eastAsia="等线" w:cs="Times New Roman"/>
                <w:sz w:val="24"/>
                <w:szCs w:val="24"/>
              </w:rPr>
              <w:t>α-GeSe</w:t>
            </w:r>
          </w:p>
        </w:tc>
        <w:tc>
          <w:tcPr>
            <w:tcW w:w="2291" w:type="dxa"/>
            <w:tcBorders>
              <w:top w:val="single" w:color="auto" w:sz="4" w:space="0"/>
            </w:tcBorders>
            <w:vAlign w:val="center"/>
          </w:tcPr>
          <w:p w14:paraId="46BBABEF">
            <w:pPr>
              <w:widowControl/>
              <w:spacing w:line="360" w:lineRule="auto"/>
              <w:jc w:val="center"/>
              <w:rPr>
                <w:rFonts w:ascii="Times New Roman" w:hAnsi="Times New Roman" w:eastAsia="等线" w:cs="Times New Roman"/>
                <w:sz w:val="24"/>
                <w:szCs w:val="24"/>
              </w:rPr>
            </w:pPr>
            <w:r>
              <w:rPr>
                <w:rFonts w:hint="eastAsia" w:ascii="Times New Roman" w:hAnsi="Times New Roman" w:eastAsia="等线" w:cs="Times New Roman"/>
                <w:sz w:val="24"/>
                <w:szCs w:val="24"/>
              </w:rPr>
              <w:t>experiment</w:t>
            </w:r>
          </w:p>
        </w:tc>
        <w:tc>
          <w:tcPr>
            <w:tcW w:w="1358" w:type="dxa"/>
            <w:tcBorders>
              <w:top w:val="single" w:color="auto" w:sz="4" w:space="0"/>
            </w:tcBorders>
            <w:vAlign w:val="center"/>
          </w:tcPr>
          <w:p w14:paraId="28BFCA31">
            <w:pPr>
              <w:widowControl/>
              <w:spacing w:line="360" w:lineRule="auto"/>
              <w:jc w:val="center"/>
              <w:rPr>
                <w:rFonts w:ascii="Times New Roman" w:hAnsi="Times New Roman" w:eastAsia="等线" w:cs="Times New Roman"/>
                <w:sz w:val="24"/>
                <w:szCs w:val="24"/>
              </w:rPr>
            </w:pPr>
            <w:r>
              <w:rPr>
                <w:rFonts w:ascii="Times New Roman" w:hAnsi="Times New Roman" w:eastAsia="等线" w:cs="Times New Roman"/>
                <w:sz w:val="24"/>
                <w:szCs w:val="24"/>
              </w:rPr>
              <w:t>3.833</w:t>
            </w:r>
          </w:p>
        </w:tc>
        <w:tc>
          <w:tcPr>
            <w:tcW w:w="1624" w:type="dxa"/>
            <w:tcBorders>
              <w:top w:val="single" w:color="auto" w:sz="4" w:space="0"/>
            </w:tcBorders>
            <w:vAlign w:val="center"/>
          </w:tcPr>
          <w:p w14:paraId="60BC6F86">
            <w:pPr>
              <w:widowControl/>
              <w:spacing w:line="360" w:lineRule="auto"/>
              <w:jc w:val="center"/>
              <w:rPr>
                <w:rFonts w:ascii="Times New Roman" w:hAnsi="Times New Roman" w:eastAsia="等线" w:cs="Times New Roman"/>
                <w:sz w:val="24"/>
                <w:szCs w:val="24"/>
              </w:rPr>
            </w:pPr>
            <w:r>
              <w:rPr>
                <w:rFonts w:ascii="Times New Roman" w:hAnsi="Times New Roman" w:eastAsia="等线" w:cs="Times New Roman"/>
                <w:sz w:val="24"/>
                <w:szCs w:val="24"/>
              </w:rPr>
              <w:t>4.394</w:t>
            </w:r>
          </w:p>
        </w:tc>
        <w:tc>
          <w:tcPr>
            <w:tcW w:w="1567" w:type="dxa"/>
            <w:tcBorders>
              <w:top w:val="single" w:color="auto" w:sz="4" w:space="0"/>
            </w:tcBorders>
            <w:vAlign w:val="center"/>
          </w:tcPr>
          <w:p w14:paraId="380F4A96">
            <w:pPr>
              <w:widowControl/>
              <w:spacing w:line="360" w:lineRule="auto"/>
              <w:jc w:val="center"/>
              <w:rPr>
                <w:rFonts w:ascii="Times New Roman" w:hAnsi="Times New Roman" w:eastAsia="等线" w:cs="Times New Roman"/>
                <w:sz w:val="24"/>
                <w:szCs w:val="24"/>
              </w:rPr>
            </w:pPr>
            <w:r>
              <w:rPr>
                <w:rFonts w:ascii="Times New Roman" w:hAnsi="Times New Roman" w:eastAsia="等线" w:cs="Times New Roman"/>
                <w:sz w:val="24"/>
                <w:szCs w:val="24"/>
              </w:rPr>
              <w:t>10.840</w:t>
            </w:r>
          </w:p>
        </w:tc>
      </w:tr>
      <w:tr w14:paraId="325154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679" w:type="dxa"/>
            <w:vMerge w:val="continue"/>
            <w:vAlign w:val="center"/>
          </w:tcPr>
          <w:p w14:paraId="37B13C12">
            <w:pPr>
              <w:widowControl/>
              <w:spacing w:line="360" w:lineRule="auto"/>
              <w:jc w:val="center"/>
              <w:rPr>
                <w:rFonts w:ascii="Times New Roman" w:hAnsi="Times New Roman" w:eastAsia="等线" w:cs="Times New Roman"/>
                <w:sz w:val="24"/>
                <w:szCs w:val="24"/>
              </w:rPr>
            </w:pPr>
          </w:p>
        </w:tc>
        <w:tc>
          <w:tcPr>
            <w:tcW w:w="2291" w:type="dxa"/>
            <w:vAlign w:val="center"/>
          </w:tcPr>
          <w:p w14:paraId="255A53BC">
            <w:pPr>
              <w:widowControl/>
              <w:spacing w:line="360" w:lineRule="auto"/>
              <w:jc w:val="center"/>
              <w:rPr>
                <w:rFonts w:ascii="Times New Roman" w:hAnsi="Times New Roman" w:eastAsia="等线" w:cs="Times New Roman"/>
                <w:sz w:val="24"/>
                <w:szCs w:val="24"/>
              </w:rPr>
            </w:pPr>
            <w:r>
              <w:rPr>
                <w:rFonts w:ascii="Times New Roman" w:hAnsi="Times New Roman" w:eastAsia="等线" w:cs="Times New Roman"/>
                <w:sz w:val="24"/>
                <w:szCs w:val="24"/>
              </w:rPr>
              <w:t>DFT</w:t>
            </w:r>
          </w:p>
        </w:tc>
        <w:tc>
          <w:tcPr>
            <w:tcW w:w="1358" w:type="dxa"/>
            <w:vAlign w:val="center"/>
          </w:tcPr>
          <w:p w14:paraId="154B1AEE">
            <w:pPr>
              <w:widowControl/>
              <w:spacing w:line="360" w:lineRule="auto"/>
              <w:jc w:val="center"/>
              <w:rPr>
                <w:rFonts w:ascii="Times New Roman" w:hAnsi="Times New Roman" w:eastAsia="等线" w:cs="Times New Roman"/>
                <w:sz w:val="24"/>
                <w:szCs w:val="24"/>
              </w:rPr>
            </w:pPr>
            <w:r>
              <w:rPr>
                <w:rFonts w:hint="eastAsia" w:ascii="Times New Roman" w:hAnsi="Times New Roman" w:eastAsia="等线" w:cs="Times New Roman"/>
                <w:sz w:val="24"/>
                <w:szCs w:val="24"/>
              </w:rPr>
              <w:t>3.891</w:t>
            </w:r>
          </w:p>
        </w:tc>
        <w:tc>
          <w:tcPr>
            <w:tcW w:w="1624" w:type="dxa"/>
            <w:vAlign w:val="center"/>
          </w:tcPr>
          <w:p w14:paraId="7D54E8CF">
            <w:pPr>
              <w:widowControl/>
              <w:spacing w:line="360" w:lineRule="auto"/>
              <w:jc w:val="center"/>
              <w:rPr>
                <w:rFonts w:ascii="Times New Roman" w:hAnsi="Times New Roman" w:eastAsia="等线" w:cs="Times New Roman"/>
                <w:sz w:val="24"/>
                <w:szCs w:val="24"/>
              </w:rPr>
            </w:pPr>
            <w:r>
              <w:rPr>
                <w:rFonts w:hint="eastAsia" w:ascii="Times New Roman" w:hAnsi="Times New Roman" w:eastAsia="等线" w:cs="Times New Roman"/>
                <w:sz w:val="24"/>
                <w:szCs w:val="24"/>
              </w:rPr>
              <w:t>4.493</w:t>
            </w:r>
          </w:p>
        </w:tc>
        <w:tc>
          <w:tcPr>
            <w:tcW w:w="1567" w:type="dxa"/>
            <w:vAlign w:val="center"/>
          </w:tcPr>
          <w:p w14:paraId="3D7450EC">
            <w:pPr>
              <w:widowControl/>
              <w:spacing w:line="360" w:lineRule="auto"/>
              <w:jc w:val="center"/>
              <w:rPr>
                <w:rFonts w:ascii="Times New Roman" w:hAnsi="Times New Roman" w:eastAsia="等线" w:cs="Times New Roman"/>
                <w:sz w:val="24"/>
                <w:szCs w:val="24"/>
              </w:rPr>
            </w:pPr>
            <w:r>
              <w:rPr>
                <w:rFonts w:hint="eastAsia" w:ascii="Times New Roman" w:hAnsi="Times New Roman" w:eastAsia="等线" w:cs="Times New Roman"/>
                <w:sz w:val="24"/>
                <w:szCs w:val="24"/>
              </w:rPr>
              <w:t>10.971</w:t>
            </w:r>
          </w:p>
        </w:tc>
      </w:tr>
      <w:tr w14:paraId="2A7A49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679" w:type="dxa"/>
            <w:vMerge w:val="continue"/>
            <w:vAlign w:val="center"/>
          </w:tcPr>
          <w:p w14:paraId="75168E58">
            <w:pPr>
              <w:widowControl/>
              <w:spacing w:line="360" w:lineRule="auto"/>
              <w:jc w:val="center"/>
              <w:rPr>
                <w:rFonts w:ascii="Times New Roman" w:hAnsi="Times New Roman" w:eastAsia="等线" w:cs="Times New Roman"/>
                <w:sz w:val="24"/>
                <w:szCs w:val="24"/>
              </w:rPr>
            </w:pPr>
          </w:p>
        </w:tc>
        <w:tc>
          <w:tcPr>
            <w:tcW w:w="2291" w:type="dxa"/>
            <w:vAlign w:val="center"/>
          </w:tcPr>
          <w:p w14:paraId="7D5FC3EB">
            <w:pPr>
              <w:widowControl/>
              <w:spacing w:line="360" w:lineRule="auto"/>
              <w:jc w:val="center"/>
              <w:rPr>
                <w:rFonts w:ascii="Times New Roman" w:hAnsi="Times New Roman" w:eastAsia="等线" w:cs="Times New Roman"/>
                <w:sz w:val="24"/>
                <w:szCs w:val="24"/>
              </w:rPr>
            </w:pPr>
            <w:r>
              <w:rPr>
                <w:rFonts w:ascii="Times New Roman" w:hAnsi="Times New Roman" w:eastAsia="等线" w:cs="Times New Roman"/>
                <w:sz w:val="24"/>
                <w:szCs w:val="24"/>
              </w:rPr>
              <w:t>MLFF</w:t>
            </w:r>
          </w:p>
        </w:tc>
        <w:tc>
          <w:tcPr>
            <w:tcW w:w="1358" w:type="dxa"/>
            <w:vAlign w:val="center"/>
          </w:tcPr>
          <w:p w14:paraId="5DEC1B9C">
            <w:pPr>
              <w:widowControl/>
              <w:spacing w:line="360" w:lineRule="auto"/>
              <w:jc w:val="center"/>
              <w:rPr>
                <w:rFonts w:ascii="Times New Roman" w:hAnsi="Times New Roman" w:eastAsia="等线" w:cs="Times New Roman"/>
                <w:sz w:val="24"/>
                <w:szCs w:val="24"/>
              </w:rPr>
            </w:pPr>
            <w:r>
              <w:rPr>
                <w:rFonts w:hint="eastAsia" w:ascii="Times New Roman" w:hAnsi="Times New Roman" w:eastAsia="等线" w:cs="Times New Roman"/>
                <w:sz w:val="24"/>
                <w:szCs w:val="24"/>
              </w:rPr>
              <w:t>3.869</w:t>
            </w:r>
          </w:p>
        </w:tc>
        <w:tc>
          <w:tcPr>
            <w:tcW w:w="1624" w:type="dxa"/>
            <w:vAlign w:val="center"/>
          </w:tcPr>
          <w:p w14:paraId="45EC18A5">
            <w:pPr>
              <w:widowControl/>
              <w:spacing w:line="360" w:lineRule="auto"/>
              <w:jc w:val="center"/>
              <w:rPr>
                <w:rFonts w:ascii="Times New Roman" w:hAnsi="Times New Roman" w:eastAsia="等线" w:cs="Times New Roman"/>
                <w:sz w:val="24"/>
                <w:szCs w:val="24"/>
              </w:rPr>
            </w:pPr>
            <w:r>
              <w:rPr>
                <w:rFonts w:hint="eastAsia" w:ascii="Times New Roman" w:hAnsi="Times New Roman" w:eastAsia="等线" w:cs="Times New Roman"/>
                <w:sz w:val="24"/>
                <w:szCs w:val="24"/>
              </w:rPr>
              <w:t>4.529</w:t>
            </w:r>
          </w:p>
        </w:tc>
        <w:tc>
          <w:tcPr>
            <w:tcW w:w="1567" w:type="dxa"/>
            <w:vAlign w:val="center"/>
          </w:tcPr>
          <w:p w14:paraId="0D7A5E24">
            <w:pPr>
              <w:widowControl/>
              <w:spacing w:line="360" w:lineRule="auto"/>
              <w:jc w:val="center"/>
              <w:rPr>
                <w:rFonts w:ascii="Times New Roman" w:hAnsi="Times New Roman" w:eastAsia="等线" w:cs="Times New Roman"/>
                <w:sz w:val="24"/>
                <w:szCs w:val="24"/>
              </w:rPr>
            </w:pPr>
            <w:r>
              <w:rPr>
                <w:rFonts w:hint="eastAsia" w:ascii="Times New Roman" w:hAnsi="Times New Roman" w:eastAsia="等线" w:cs="Times New Roman"/>
                <w:sz w:val="24"/>
                <w:szCs w:val="24"/>
              </w:rPr>
              <w:t>10.973</w:t>
            </w:r>
          </w:p>
        </w:tc>
      </w:tr>
      <w:tr w14:paraId="745B9A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679" w:type="dxa"/>
            <w:vMerge w:val="restart"/>
            <w:vAlign w:val="center"/>
          </w:tcPr>
          <w:p w14:paraId="30680C1E">
            <w:pPr>
              <w:widowControl/>
              <w:spacing w:line="360" w:lineRule="auto"/>
              <w:jc w:val="center"/>
              <w:rPr>
                <w:rFonts w:ascii="Times New Roman" w:hAnsi="Times New Roman" w:eastAsia="等线" w:cs="Times New Roman"/>
                <w:sz w:val="24"/>
                <w:szCs w:val="24"/>
              </w:rPr>
            </w:pPr>
            <w:r>
              <w:rPr>
                <w:rFonts w:ascii="Times New Roman" w:hAnsi="Times New Roman" w:eastAsia="等线" w:cs="Times New Roman"/>
                <w:sz w:val="24"/>
                <w:szCs w:val="24"/>
              </w:rPr>
              <w:t>β-GeSe</w:t>
            </w:r>
          </w:p>
        </w:tc>
        <w:tc>
          <w:tcPr>
            <w:tcW w:w="2291" w:type="dxa"/>
            <w:vAlign w:val="center"/>
          </w:tcPr>
          <w:p w14:paraId="22A5B830">
            <w:pPr>
              <w:widowControl/>
              <w:spacing w:line="360" w:lineRule="auto"/>
              <w:jc w:val="center"/>
              <w:rPr>
                <w:rFonts w:ascii="Times New Roman" w:hAnsi="Times New Roman" w:eastAsia="等线" w:cs="Times New Roman"/>
                <w:sz w:val="24"/>
                <w:szCs w:val="24"/>
              </w:rPr>
            </w:pPr>
            <w:r>
              <w:rPr>
                <w:rFonts w:hint="eastAsia" w:ascii="Times New Roman" w:hAnsi="Times New Roman" w:eastAsia="等线" w:cs="Times New Roman"/>
                <w:sz w:val="24"/>
                <w:szCs w:val="24"/>
              </w:rPr>
              <w:t>experiment</w:t>
            </w:r>
          </w:p>
        </w:tc>
        <w:tc>
          <w:tcPr>
            <w:tcW w:w="1358" w:type="dxa"/>
            <w:vAlign w:val="center"/>
          </w:tcPr>
          <w:p w14:paraId="4A97C262">
            <w:pPr>
              <w:widowControl/>
              <w:spacing w:line="360" w:lineRule="auto"/>
              <w:jc w:val="center"/>
              <w:rPr>
                <w:rFonts w:ascii="Times New Roman" w:hAnsi="Times New Roman" w:eastAsia="等线" w:cs="Times New Roman"/>
                <w:sz w:val="24"/>
                <w:szCs w:val="24"/>
              </w:rPr>
            </w:pPr>
            <w:r>
              <w:rPr>
                <w:rFonts w:ascii="Times New Roman" w:hAnsi="Times New Roman" w:eastAsia="等线" w:cs="Times New Roman"/>
                <w:sz w:val="24"/>
                <w:szCs w:val="24"/>
              </w:rPr>
              <w:t>3.826</w:t>
            </w:r>
          </w:p>
        </w:tc>
        <w:tc>
          <w:tcPr>
            <w:tcW w:w="1624" w:type="dxa"/>
            <w:vAlign w:val="center"/>
          </w:tcPr>
          <w:p w14:paraId="3B09053D">
            <w:pPr>
              <w:widowControl/>
              <w:spacing w:line="360" w:lineRule="auto"/>
              <w:jc w:val="center"/>
              <w:rPr>
                <w:rFonts w:ascii="Times New Roman" w:hAnsi="Times New Roman" w:eastAsia="等线" w:cs="Times New Roman"/>
                <w:sz w:val="24"/>
                <w:szCs w:val="24"/>
              </w:rPr>
            </w:pPr>
            <w:r>
              <w:rPr>
                <w:rFonts w:ascii="Times New Roman" w:hAnsi="Times New Roman" w:eastAsia="等线" w:cs="Times New Roman"/>
                <w:sz w:val="24"/>
                <w:szCs w:val="24"/>
              </w:rPr>
              <w:t>5.809</w:t>
            </w:r>
          </w:p>
        </w:tc>
        <w:tc>
          <w:tcPr>
            <w:tcW w:w="1567" w:type="dxa"/>
            <w:vAlign w:val="center"/>
          </w:tcPr>
          <w:p w14:paraId="641AD49E">
            <w:pPr>
              <w:widowControl/>
              <w:spacing w:line="360" w:lineRule="auto"/>
              <w:jc w:val="center"/>
              <w:rPr>
                <w:rFonts w:ascii="Times New Roman" w:hAnsi="Times New Roman" w:eastAsia="等线" w:cs="Times New Roman"/>
                <w:sz w:val="24"/>
                <w:szCs w:val="24"/>
              </w:rPr>
            </w:pPr>
            <w:r>
              <w:rPr>
                <w:rFonts w:ascii="Times New Roman" w:hAnsi="Times New Roman" w:eastAsia="等线" w:cs="Times New Roman"/>
                <w:sz w:val="24"/>
                <w:szCs w:val="24"/>
              </w:rPr>
              <w:t>8.090</w:t>
            </w:r>
          </w:p>
        </w:tc>
      </w:tr>
      <w:tr w14:paraId="56EDE1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679" w:type="dxa"/>
            <w:vMerge w:val="continue"/>
            <w:vAlign w:val="center"/>
          </w:tcPr>
          <w:p w14:paraId="795519AC">
            <w:pPr>
              <w:widowControl/>
              <w:spacing w:line="360" w:lineRule="auto"/>
              <w:jc w:val="center"/>
              <w:rPr>
                <w:rFonts w:ascii="Times New Roman" w:hAnsi="Times New Roman" w:eastAsia="等线" w:cs="Times New Roman"/>
                <w:sz w:val="24"/>
                <w:szCs w:val="24"/>
              </w:rPr>
            </w:pPr>
          </w:p>
        </w:tc>
        <w:tc>
          <w:tcPr>
            <w:tcW w:w="2291" w:type="dxa"/>
            <w:vAlign w:val="center"/>
          </w:tcPr>
          <w:p w14:paraId="50C6C5CF">
            <w:pPr>
              <w:widowControl/>
              <w:spacing w:line="360" w:lineRule="auto"/>
              <w:jc w:val="center"/>
              <w:rPr>
                <w:rFonts w:ascii="Times New Roman" w:hAnsi="Times New Roman" w:eastAsia="等线" w:cs="Times New Roman"/>
                <w:sz w:val="24"/>
                <w:szCs w:val="24"/>
              </w:rPr>
            </w:pPr>
            <w:r>
              <w:rPr>
                <w:rFonts w:ascii="Times New Roman" w:hAnsi="Times New Roman" w:eastAsia="等线" w:cs="Times New Roman"/>
                <w:sz w:val="24"/>
                <w:szCs w:val="24"/>
              </w:rPr>
              <w:t>DFT</w:t>
            </w:r>
          </w:p>
        </w:tc>
        <w:tc>
          <w:tcPr>
            <w:tcW w:w="1358" w:type="dxa"/>
            <w:vAlign w:val="center"/>
          </w:tcPr>
          <w:p w14:paraId="749F6672">
            <w:pPr>
              <w:widowControl/>
              <w:spacing w:line="360" w:lineRule="auto"/>
              <w:jc w:val="center"/>
              <w:rPr>
                <w:rFonts w:ascii="Times New Roman" w:hAnsi="Times New Roman" w:eastAsia="等线" w:cs="Times New Roman"/>
                <w:sz w:val="24"/>
                <w:szCs w:val="24"/>
              </w:rPr>
            </w:pPr>
            <w:r>
              <w:rPr>
                <w:rFonts w:hint="eastAsia" w:ascii="Times New Roman" w:hAnsi="Times New Roman" w:eastAsia="等线" w:cs="Times New Roman"/>
                <w:sz w:val="24"/>
                <w:szCs w:val="24"/>
              </w:rPr>
              <w:t>3.870</w:t>
            </w:r>
          </w:p>
        </w:tc>
        <w:tc>
          <w:tcPr>
            <w:tcW w:w="1624" w:type="dxa"/>
            <w:vAlign w:val="center"/>
          </w:tcPr>
          <w:p w14:paraId="222A11DC">
            <w:pPr>
              <w:widowControl/>
              <w:spacing w:line="360" w:lineRule="auto"/>
              <w:jc w:val="center"/>
              <w:rPr>
                <w:rFonts w:ascii="Times New Roman" w:hAnsi="Times New Roman" w:eastAsia="等线" w:cs="Times New Roman"/>
                <w:sz w:val="24"/>
                <w:szCs w:val="24"/>
              </w:rPr>
            </w:pPr>
            <w:r>
              <w:rPr>
                <w:rFonts w:hint="eastAsia" w:ascii="Times New Roman" w:hAnsi="Times New Roman" w:eastAsia="等线" w:cs="Times New Roman"/>
                <w:sz w:val="24"/>
                <w:szCs w:val="24"/>
              </w:rPr>
              <w:t>5.926</w:t>
            </w:r>
          </w:p>
        </w:tc>
        <w:tc>
          <w:tcPr>
            <w:tcW w:w="1567" w:type="dxa"/>
            <w:vAlign w:val="center"/>
          </w:tcPr>
          <w:p w14:paraId="42FBF4DF">
            <w:pPr>
              <w:widowControl/>
              <w:spacing w:line="360" w:lineRule="auto"/>
              <w:jc w:val="center"/>
              <w:rPr>
                <w:rFonts w:ascii="Times New Roman" w:hAnsi="Times New Roman" w:eastAsia="等线" w:cs="Times New Roman"/>
                <w:sz w:val="24"/>
                <w:szCs w:val="24"/>
              </w:rPr>
            </w:pPr>
            <w:r>
              <w:rPr>
                <w:rFonts w:hint="eastAsia" w:ascii="Times New Roman" w:hAnsi="Times New Roman" w:eastAsia="等线" w:cs="Times New Roman"/>
                <w:sz w:val="24"/>
                <w:szCs w:val="24"/>
              </w:rPr>
              <w:t>8.273</w:t>
            </w:r>
          </w:p>
        </w:tc>
      </w:tr>
      <w:tr w14:paraId="72EB80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679" w:type="dxa"/>
            <w:vMerge w:val="continue"/>
            <w:tcBorders>
              <w:bottom w:val="single" w:color="auto" w:sz="4" w:space="0"/>
            </w:tcBorders>
            <w:vAlign w:val="center"/>
          </w:tcPr>
          <w:p w14:paraId="7EF3F169">
            <w:pPr>
              <w:widowControl/>
              <w:spacing w:line="360" w:lineRule="auto"/>
              <w:jc w:val="center"/>
              <w:rPr>
                <w:rFonts w:ascii="Times New Roman" w:hAnsi="Times New Roman" w:eastAsia="等线" w:cs="Times New Roman"/>
                <w:sz w:val="24"/>
                <w:szCs w:val="24"/>
              </w:rPr>
            </w:pPr>
          </w:p>
        </w:tc>
        <w:tc>
          <w:tcPr>
            <w:tcW w:w="2291" w:type="dxa"/>
            <w:tcBorders>
              <w:bottom w:val="single" w:color="auto" w:sz="4" w:space="0"/>
            </w:tcBorders>
            <w:vAlign w:val="center"/>
          </w:tcPr>
          <w:p w14:paraId="6F8132A4">
            <w:pPr>
              <w:widowControl/>
              <w:spacing w:line="360" w:lineRule="auto"/>
              <w:jc w:val="center"/>
              <w:rPr>
                <w:rFonts w:ascii="Times New Roman" w:hAnsi="Times New Roman" w:eastAsia="等线" w:cs="Times New Roman"/>
                <w:sz w:val="24"/>
                <w:szCs w:val="24"/>
              </w:rPr>
            </w:pPr>
            <w:r>
              <w:rPr>
                <w:rFonts w:ascii="Times New Roman" w:hAnsi="Times New Roman" w:eastAsia="等线" w:cs="Times New Roman"/>
                <w:sz w:val="24"/>
                <w:szCs w:val="24"/>
              </w:rPr>
              <w:t>MLFF</w:t>
            </w:r>
          </w:p>
        </w:tc>
        <w:tc>
          <w:tcPr>
            <w:tcW w:w="1358" w:type="dxa"/>
            <w:tcBorders>
              <w:bottom w:val="single" w:color="auto" w:sz="4" w:space="0"/>
            </w:tcBorders>
            <w:vAlign w:val="center"/>
          </w:tcPr>
          <w:p w14:paraId="4A80B430">
            <w:pPr>
              <w:widowControl/>
              <w:spacing w:line="360" w:lineRule="auto"/>
              <w:jc w:val="center"/>
              <w:rPr>
                <w:rFonts w:ascii="Times New Roman" w:hAnsi="Times New Roman" w:eastAsia="等线" w:cs="Times New Roman"/>
                <w:sz w:val="24"/>
                <w:szCs w:val="24"/>
              </w:rPr>
            </w:pPr>
            <w:r>
              <w:rPr>
                <w:rFonts w:hint="eastAsia" w:ascii="Times New Roman" w:hAnsi="Times New Roman" w:eastAsia="等线" w:cs="Times New Roman"/>
                <w:sz w:val="24"/>
                <w:szCs w:val="24"/>
              </w:rPr>
              <w:t>3.876</w:t>
            </w:r>
          </w:p>
        </w:tc>
        <w:tc>
          <w:tcPr>
            <w:tcW w:w="1624" w:type="dxa"/>
            <w:tcBorders>
              <w:bottom w:val="single" w:color="auto" w:sz="4" w:space="0"/>
            </w:tcBorders>
            <w:vAlign w:val="center"/>
          </w:tcPr>
          <w:p w14:paraId="468D83F5">
            <w:pPr>
              <w:widowControl/>
              <w:spacing w:line="360" w:lineRule="auto"/>
              <w:jc w:val="center"/>
              <w:rPr>
                <w:rFonts w:ascii="Times New Roman" w:hAnsi="Times New Roman" w:eastAsia="等线" w:cs="Times New Roman"/>
                <w:sz w:val="24"/>
                <w:szCs w:val="24"/>
              </w:rPr>
            </w:pPr>
            <w:r>
              <w:rPr>
                <w:rFonts w:hint="eastAsia" w:ascii="Times New Roman" w:hAnsi="Times New Roman" w:eastAsia="等线" w:cs="Times New Roman"/>
                <w:sz w:val="24"/>
                <w:szCs w:val="24"/>
              </w:rPr>
              <w:t>5.949</w:t>
            </w:r>
          </w:p>
        </w:tc>
        <w:tc>
          <w:tcPr>
            <w:tcW w:w="1567" w:type="dxa"/>
            <w:tcBorders>
              <w:bottom w:val="single" w:color="auto" w:sz="4" w:space="0"/>
            </w:tcBorders>
            <w:vAlign w:val="center"/>
          </w:tcPr>
          <w:p w14:paraId="3E0C24C5">
            <w:pPr>
              <w:widowControl/>
              <w:spacing w:line="360" w:lineRule="auto"/>
              <w:jc w:val="center"/>
              <w:rPr>
                <w:rFonts w:ascii="Times New Roman" w:hAnsi="Times New Roman" w:eastAsia="等线" w:cs="Times New Roman"/>
                <w:sz w:val="24"/>
                <w:szCs w:val="24"/>
              </w:rPr>
            </w:pPr>
            <w:r>
              <w:rPr>
                <w:rFonts w:hint="eastAsia" w:ascii="Times New Roman" w:hAnsi="Times New Roman" w:eastAsia="等线" w:cs="Times New Roman"/>
                <w:sz w:val="24"/>
                <w:szCs w:val="24"/>
              </w:rPr>
              <w:t>8.275</w:t>
            </w:r>
          </w:p>
        </w:tc>
      </w:tr>
    </w:tbl>
    <w:p w14:paraId="7B59EA81">
      <w:pPr>
        <w:widowControl/>
        <w:spacing w:line="360" w:lineRule="auto"/>
        <w:rPr>
          <w:rFonts w:ascii="Times New Roman" w:hAnsi="Times New Roman" w:eastAsia="等线" w:cs="Times New Roman"/>
          <w:sz w:val="24"/>
          <w:szCs w:val="24"/>
        </w:rPr>
      </w:pPr>
    </w:p>
    <w:p w14:paraId="43863FEA">
      <w:pPr>
        <w:widowControl/>
        <w:spacing w:line="360" w:lineRule="auto"/>
        <w:rPr>
          <w:rFonts w:ascii="Times New Roman" w:hAnsi="Times New Roman" w:eastAsia="等线" w:cs="Times New Roman"/>
          <w:b/>
          <w:bCs/>
          <w:sz w:val="24"/>
          <w:szCs w:val="24"/>
        </w:rPr>
      </w:pPr>
      <w:r>
        <w:rPr>
          <w:rFonts w:ascii="Times New Roman" w:hAnsi="Times New Roman" w:eastAsia="等线" w:cs="Times New Roman"/>
          <w:b/>
          <w:bCs/>
          <w:sz w:val="24"/>
          <w:szCs w:val="24"/>
        </w:rPr>
        <w:t xml:space="preserve">Supplementary Table </w:t>
      </w:r>
      <w:r>
        <w:rPr>
          <w:rFonts w:hint="eastAsia" w:ascii="Times New Roman" w:hAnsi="Times New Roman" w:eastAsia="等线" w:cs="Times New Roman"/>
          <w:b/>
          <w:bCs/>
          <w:sz w:val="24"/>
          <w:szCs w:val="24"/>
        </w:rPr>
        <w:t>3.</w:t>
      </w:r>
      <w:r>
        <w:rPr>
          <w:rFonts w:ascii="Times New Roman" w:hAnsi="Times New Roman" w:eastAsia="等线" w:cs="Times New Roman"/>
          <w:b/>
          <w:bCs/>
          <w:sz w:val="24"/>
          <w:szCs w:val="24"/>
        </w:rPr>
        <w:t xml:space="preserve"> Unit cell volume comparison between DFT and MLFF calculations for GeSe polymorphs.</w:t>
      </w:r>
    </w:p>
    <w:tbl>
      <w:tblPr>
        <w:tblStyle w:val="14"/>
        <w:tblW w:w="851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522"/>
        <w:gridCol w:w="2478"/>
        <w:gridCol w:w="2783"/>
        <w:gridCol w:w="1736"/>
      </w:tblGrid>
      <w:tr w14:paraId="310BF8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blHeader/>
          <w:jc w:val="center"/>
        </w:trPr>
        <w:tc>
          <w:tcPr>
            <w:tcW w:w="1522" w:type="dxa"/>
            <w:tcBorders>
              <w:top w:val="single" w:color="auto" w:sz="4" w:space="0"/>
              <w:bottom w:val="single" w:color="auto" w:sz="4" w:space="0"/>
            </w:tcBorders>
            <w:vAlign w:val="center"/>
          </w:tcPr>
          <w:p w14:paraId="104EC0F6">
            <w:pPr>
              <w:widowControl/>
              <w:spacing w:line="360" w:lineRule="auto"/>
              <w:jc w:val="center"/>
              <w:rPr>
                <w:rFonts w:ascii="Times New Roman" w:hAnsi="Times New Roman" w:eastAsia="等线" w:cs="Times New Roman"/>
                <w:sz w:val="24"/>
                <w:szCs w:val="24"/>
              </w:rPr>
            </w:pPr>
            <w:r>
              <w:rPr>
                <w:rFonts w:ascii="Times New Roman" w:hAnsi="Times New Roman" w:eastAsia="等线" w:cs="Times New Roman"/>
                <w:sz w:val="24"/>
                <w:szCs w:val="24"/>
              </w:rPr>
              <w:t>Phase</w:t>
            </w:r>
          </w:p>
        </w:tc>
        <w:tc>
          <w:tcPr>
            <w:tcW w:w="2478" w:type="dxa"/>
            <w:tcBorders>
              <w:top w:val="single" w:color="auto" w:sz="4" w:space="0"/>
              <w:bottom w:val="single" w:color="auto" w:sz="4" w:space="0"/>
            </w:tcBorders>
            <w:vAlign w:val="center"/>
          </w:tcPr>
          <w:p w14:paraId="384D65C0">
            <w:pPr>
              <w:widowControl/>
              <w:spacing w:line="360" w:lineRule="auto"/>
              <w:jc w:val="center"/>
              <w:rPr>
                <w:rFonts w:ascii="Times New Roman" w:hAnsi="Times New Roman" w:eastAsia="等线" w:cs="Times New Roman"/>
                <w:sz w:val="24"/>
                <w:szCs w:val="24"/>
              </w:rPr>
            </w:pPr>
            <w:r>
              <w:rPr>
                <w:rFonts w:ascii="Times New Roman" w:hAnsi="Times New Roman" w:eastAsia="等线" w:cs="Times New Roman"/>
                <w:sz w:val="24"/>
                <w:szCs w:val="24"/>
              </w:rPr>
              <w:t>DFT Vol (Å³)</w:t>
            </w:r>
          </w:p>
        </w:tc>
        <w:tc>
          <w:tcPr>
            <w:tcW w:w="2783" w:type="dxa"/>
            <w:tcBorders>
              <w:top w:val="single" w:color="auto" w:sz="4" w:space="0"/>
              <w:bottom w:val="single" w:color="auto" w:sz="4" w:space="0"/>
            </w:tcBorders>
            <w:vAlign w:val="center"/>
          </w:tcPr>
          <w:p w14:paraId="0C453C10">
            <w:pPr>
              <w:widowControl/>
              <w:spacing w:line="360" w:lineRule="auto"/>
              <w:jc w:val="center"/>
              <w:rPr>
                <w:rFonts w:ascii="Times New Roman" w:hAnsi="Times New Roman" w:eastAsia="等线" w:cs="Times New Roman"/>
                <w:sz w:val="24"/>
                <w:szCs w:val="24"/>
              </w:rPr>
            </w:pPr>
            <w:r>
              <w:rPr>
                <w:rFonts w:ascii="Times New Roman" w:hAnsi="Times New Roman" w:eastAsia="等线" w:cs="Times New Roman"/>
                <w:sz w:val="24"/>
                <w:szCs w:val="24"/>
              </w:rPr>
              <w:t>MLFF Vol (Å³)</w:t>
            </w:r>
          </w:p>
        </w:tc>
        <w:tc>
          <w:tcPr>
            <w:tcW w:w="1736" w:type="dxa"/>
            <w:tcBorders>
              <w:top w:val="single" w:color="auto" w:sz="4" w:space="0"/>
              <w:bottom w:val="single" w:color="auto" w:sz="4" w:space="0"/>
            </w:tcBorders>
            <w:vAlign w:val="center"/>
          </w:tcPr>
          <w:p w14:paraId="571DE5F6">
            <w:pPr>
              <w:widowControl/>
              <w:spacing w:line="360" w:lineRule="auto"/>
              <w:jc w:val="center"/>
              <w:rPr>
                <w:rFonts w:ascii="Times New Roman" w:hAnsi="Times New Roman" w:eastAsia="等线" w:cs="Times New Roman"/>
                <w:sz w:val="24"/>
                <w:szCs w:val="24"/>
              </w:rPr>
            </w:pPr>
            <w:r>
              <w:rPr>
                <w:rFonts w:ascii="Times New Roman" w:hAnsi="Times New Roman" w:eastAsia="等线" w:cs="Times New Roman"/>
                <w:sz w:val="24"/>
                <w:szCs w:val="24"/>
              </w:rPr>
              <w:t>Diff (%)</w:t>
            </w:r>
          </w:p>
        </w:tc>
      </w:tr>
      <w:tr w14:paraId="63374D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blHeader/>
          <w:jc w:val="center"/>
        </w:trPr>
        <w:tc>
          <w:tcPr>
            <w:tcW w:w="1522" w:type="dxa"/>
            <w:tcBorders>
              <w:top w:val="single" w:color="auto" w:sz="4" w:space="0"/>
            </w:tcBorders>
            <w:vAlign w:val="center"/>
          </w:tcPr>
          <w:p w14:paraId="3344EEFE">
            <w:pPr>
              <w:widowControl/>
              <w:spacing w:line="360" w:lineRule="auto"/>
              <w:jc w:val="center"/>
              <w:rPr>
                <w:rFonts w:ascii="Times New Roman" w:hAnsi="Times New Roman" w:eastAsia="等线" w:cs="Times New Roman"/>
                <w:sz w:val="24"/>
                <w:szCs w:val="24"/>
              </w:rPr>
            </w:pPr>
            <w:r>
              <w:rPr>
                <w:rFonts w:ascii="Times New Roman" w:hAnsi="Times New Roman" w:eastAsia="等线" w:cs="Times New Roman"/>
                <w:sz w:val="24"/>
                <w:szCs w:val="24"/>
              </w:rPr>
              <w:t>α-GeSe</w:t>
            </w:r>
          </w:p>
        </w:tc>
        <w:tc>
          <w:tcPr>
            <w:tcW w:w="2478" w:type="dxa"/>
            <w:tcBorders>
              <w:top w:val="single" w:color="auto" w:sz="4" w:space="0"/>
            </w:tcBorders>
            <w:vAlign w:val="center"/>
          </w:tcPr>
          <w:p w14:paraId="769157DE">
            <w:pPr>
              <w:widowControl/>
              <w:spacing w:line="360" w:lineRule="auto"/>
              <w:jc w:val="center"/>
              <w:rPr>
                <w:rFonts w:ascii="Times New Roman" w:hAnsi="Times New Roman" w:eastAsia="等线" w:cs="Times New Roman"/>
                <w:sz w:val="24"/>
                <w:szCs w:val="24"/>
              </w:rPr>
            </w:pPr>
            <w:r>
              <w:rPr>
                <w:rFonts w:ascii="Times New Roman" w:hAnsi="Times New Roman" w:eastAsia="等线" w:cs="Times New Roman"/>
                <w:sz w:val="24"/>
                <w:szCs w:val="24"/>
              </w:rPr>
              <w:t>191.80</w:t>
            </w:r>
          </w:p>
        </w:tc>
        <w:tc>
          <w:tcPr>
            <w:tcW w:w="2783" w:type="dxa"/>
            <w:tcBorders>
              <w:top w:val="single" w:color="auto" w:sz="4" w:space="0"/>
            </w:tcBorders>
            <w:vAlign w:val="center"/>
          </w:tcPr>
          <w:p w14:paraId="40E4D86F">
            <w:pPr>
              <w:widowControl/>
              <w:spacing w:line="360" w:lineRule="auto"/>
              <w:jc w:val="center"/>
              <w:rPr>
                <w:rFonts w:ascii="Times New Roman" w:hAnsi="Times New Roman" w:eastAsia="等线" w:cs="Times New Roman"/>
                <w:sz w:val="24"/>
                <w:szCs w:val="24"/>
              </w:rPr>
            </w:pPr>
            <w:r>
              <w:rPr>
                <w:rFonts w:ascii="Times New Roman" w:hAnsi="Times New Roman" w:eastAsia="等线" w:cs="Times New Roman"/>
                <w:sz w:val="24"/>
                <w:szCs w:val="24"/>
              </w:rPr>
              <w:t>192.28</w:t>
            </w:r>
          </w:p>
        </w:tc>
        <w:tc>
          <w:tcPr>
            <w:tcW w:w="1736" w:type="dxa"/>
            <w:tcBorders>
              <w:top w:val="single" w:color="auto" w:sz="4" w:space="0"/>
            </w:tcBorders>
            <w:vAlign w:val="center"/>
          </w:tcPr>
          <w:p w14:paraId="264FECAC">
            <w:pPr>
              <w:widowControl/>
              <w:spacing w:line="360" w:lineRule="auto"/>
              <w:jc w:val="center"/>
              <w:rPr>
                <w:rFonts w:ascii="Times New Roman" w:hAnsi="Times New Roman" w:eastAsia="等线" w:cs="Times New Roman"/>
                <w:sz w:val="24"/>
                <w:szCs w:val="24"/>
              </w:rPr>
            </w:pPr>
            <w:r>
              <w:rPr>
                <w:rFonts w:ascii="Times New Roman" w:hAnsi="Times New Roman" w:eastAsia="等线" w:cs="Times New Roman"/>
                <w:sz w:val="24"/>
                <w:szCs w:val="24"/>
              </w:rPr>
              <w:t>0.25%</w:t>
            </w:r>
          </w:p>
        </w:tc>
      </w:tr>
      <w:tr w14:paraId="1DBDD0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blHeader/>
          <w:jc w:val="center"/>
        </w:trPr>
        <w:tc>
          <w:tcPr>
            <w:tcW w:w="1522" w:type="dxa"/>
            <w:tcBorders>
              <w:bottom w:val="single" w:color="auto" w:sz="4" w:space="0"/>
            </w:tcBorders>
            <w:vAlign w:val="center"/>
          </w:tcPr>
          <w:p w14:paraId="5BB2E6C8">
            <w:pPr>
              <w:widowControl/>
              <w:spacing w:line="360" w:lineRule="auto"/>
              <w:jc w:val="center"/>
              <w:rPr>
                <w:rFonts w:ascii="Times New Roman" w:hAnsi="Times New Roman" w:eastAsia="等线" w:cs="Times New Roman"/>
                <w:sz w:val="24"/>
                <w:szCs w:val="24"/>
              </w:rPr>
            </w:pPr>
            <w:r>
              <w:rPr>
                <w:rFonts w:ascii="Times New Roman" w:hAnsi="Times New Roman" w:eastAsia="等线" w:cs="Times New Roman"/>
                <w:sz w:val="24"/>
                <w:szCs w:val="24"/>
              </w:rPr>
              <w:t>β-GeSe</w:t>
            </w:r>
          </w:p>
        </w:tc>
        <w:tc>
          <w:tcPr>
            <w:tcW w:w="2478" w:type="dxa"/>
            <w:tcBorders>
              <w:bottom w:val="single" w:color="auto" w:sz="4" w:space="0"/>
            </w:tcBorders>
            <w:vAlign w:val="center"/>
          </w:tcPr>
          <w:p w14:paraId="794C7C24">
            <w:pPr>
              <w:widowControl/>
              <w:spacing w:line="360" w:lineRule="auto"/>
              <w:jc w:val="center"/>
              <w:rPr>
                <w:rFonts w:ascii="Times New Roman" w:hAnsi="Times New Roman" w:eastAsia="等线" w:cs="Times New Roman"/>
                <w:sz w:val="24"/>
                <w:szCs w:val="24"/>
              </w:rPr>
            </w:pPr>
            <w:r>
              <w:rPr>
                <w:rFonts w:ascii="Times New Roman" w:hAnsi="Times New Roman" w:eastAsia="等线" w:cs="Times New Roman"/>
                <w:sz w:val="24"/>
                <w:szCs w:val="24"/>
              </w:rPr>
              <w:t>189.73</w:t>
            </w:r>
          </w:p>
        </w:tc>
        <w:tc>
          <w:tcPr>
            <w:tcW w:w="2783" w:type="dxa"/>
            <w:tcBorders>
              <w:bottom w:val="single" w:color="auto" w:sz="4" w:space="0"/>
            </w:tcBorders>
            <w:vAlign w:val="center"/>
          </w:tcPr>
          <w:p w14:paraId="06436A17">
            <w:pPr>
              <w:widowControl/>
              <w:spacing w:line="360" w:lineRule="auto"/>
              <w:jc w:val="center"/>
              <w:rPr>
                <w:rFonts w:ascii="Times New Roman" w:hAnsi="Times New Roman" w:eastAsia="等线" w:cs="Times New Roman"/>
                <w:sz w:val="24"/>
                <w:szCs w:val="24"/>
              </w:rPr>
            </w:pPr>
            <w:r>
              <w:rPr>
                <w:rFonts w:ascii="Times New Roman" w:hAnsi="Times New Roman" w:eastAsia="等线" w:cs="Times New Roman"/>
                <w:sz w:val="24"/>
                <w:szCs w:val="24"/>
              </w:rPr>
              <w:t>190.81</w:t>
            </w:r>
          </w:p>
        </w:tc>
        <w:tc>
          <w:tcPr>
            <w:tcW w:w="1736" w:type="dxa"/>
            <w:tcBorders>
              <w:bottom w:val="single" w:color="auto" w:sz="4" w:space="0"/>
            </w:tcBorders>
            <w:vAlign w:val="center"/>
          </w:tcPr>
          <w:p w14:paraId="6349B551">
            <w:pPr>
              <w:widowControl/>
              <w:spacing w:line="360" w:lineRule="auto"/>
              <w:jc w:val="center"/>
              <w:rPr>
                <w:rFonts w:ascii="Times New Roman" w:hAnsi="Times New Roman" w:eastAsia="等线" w:cs="Times New Roman"/>
                <w:sz w:val="24"/>
                <w:szCs w:val="24"/>
              </w:rPr>
            </w:pPr>
            <w:r>
              <w:rPr>
                <w:rFonts w:ascii="Times New Roman" w:hAnsi="Times New Roman" w:eastAsia="等线" w:cs="Times New Roman"/>
                <w:sz w:val="24"/>
                <w:szCs w:val="24"/>
              </w:rPr>
              <w:t>0.57%</w:t>
            </w:r>
          </w:p>
        </w:tc>
      </w:tr>
    </w:tbl>
    <w:p w14:paraId="7691AD13">
      <w:pPr>
        <w:widowControl/>
        <w:spacing w:line="360" w:lineRule="auto"/>
        <w:jc w:val="center"/>
        <w:rPr>
          <w:rFonts w:ascii="Times New Roman" w:hAnsi="Times New Roman" w:eastAsia="等线" w:cs="Times New Roman"/>
          <w:sz w:val="24"/>
          <w:szCs w:val="24"/>
        </w:rPr>
      </w:pPr>
      <w:r>
        <w:rPr>
          <w:rFonts w:ascii="Times New Roman" w:hAnsi="Times New Roman" w:eastAsia="等线" w:cs="Times New Roman"/>
          <w:sz w:val="24"/>
          <w:szCs w:val="24"/>
        </w:rPr>
        <w:drawing>
          <wp:inline distT="0" distB="0" distL="0" distR="0">
            <wp:extent cx="5226050" cy="2077720"/>
            <wp:effectExtent l="0" t="0" r="0" b="0"/>
            <wp:docPr id="9832455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245558" name="图片 1"/>
                    <pic:cNvPicPr>
                      <a:picLocks noChangeAspect="1"/>
                    </pic:cNvPicPr>
                  </pic:nvPicPr>
                  <pic:blipFill>
                    <a:blip r:embed="rId15"/>
                    <a:srcRect l="2032" t="1890" r="5045" b="8252"/>
                    <a:stretch>
                      <a:fillRect/>
                    </a:stretch>
                  </pic:blipFill>
                  <pic:spPr>
                    <a:xfrm>
                      <a:off x="0" y="0"/>
                      <a:ext cx="5240315" cy="2083518"/>
                    </a:xfrm>
                    <a:prstGeom prst="rect">
                      <a:avLst/>
                    </a:prstGeom>
                    <a:ln>
                      <a:noFill/>
                    </a:ln>
                  </pic:spPr>
                </pic:pic>
              </a:graphicData>
            </a:graphic>
          </wp:inline>
        </w:drawing>
      </w:r>
    </w:p>
    <w:p w14:paraId="18871D03">
      <w:pPr>
        <w:widowControl/>
        <w:spacing w:line="360" w:lineRule="auto"/>
        <w:rPr>
          <w:rFonts w:ascii="Times New Roman" w:hAnsi="Times New Roman" w:eastAsia="等线" w:cs="Times New Roman"/>
          <w:sz w:val="24"/>
          <w:szCs w:val="24"/>
        </w:rPr>
      </w:pPr>
      <w:bookmarkStart w:id="35" w:name="OLE_LINK35"/>
      <w:r>
        <w:rPr>
          <w:rFonts w:ascii="Times New Roman" w:hAnsi="Times New Roman" w:eastAsia="等线" w:cs="Times New Roman"/>
          <w:b/>
          <w:bCs/>
          <w:sz w:val="24"/>
          <w:szCs w:val="24"/>
        </w:rPr>
        <w:t>Supplementary Fig</w:t>
      </w:r>
      <w:r>
        <w:rPr>
          <w:rFonts w:hint="eastAsia" w:ascii="Times New Roman" w:hAnsi="Times New Roman" w:eastAsia="等线" w:cs="Times New Roman"/>
          <w:b/>
          <w:bCs/>
          <w:sz w:val="24"/>
          <w:szCs w:val="24"/>
        </w:rPr>
        <w:t>ure</w:t>
      </w:r>
      <w:r>
        <w:rPr>
          <w:rFonts w:ascii="Times New Roman" w:hAnsi="Times New Roman" w:eastAsia="等线" w:cs="Times New Roman"/>
          <w:b/>
          <w:bCs/>
          <w:sz w:val="24"/>
          <w:szCs w:val="24"/>
        </w:rPr>
        <w:t xml:space="preserve"> </w:t>
      </w:r>
      <w:r>
        <w:rPr>
          <w:rFonts w:hint="eastAsia" w:ascii="Times New Roman" w:hAnsi="Times New Roman" w:eastAsia="等线" w:cs="Times New Roman"/>
          <w:b/>
          <w:bCs/>
          <w:sz w:val="24"/>
          <w:szCs w:val="24"/>
        </w:rPr>
        <w:t>10</w:t>
      </w:r>
      <w:r>
        <w:rPr>
          <w:rFonts w:ascii="Times New Roman" w:hAnsi="Times New Roman" w:eastAsia="等线" w:cs="Times New Roman"/>
          <w:b/>
          <w:bCs/>
          <w:sz w:val="24"/>
          <w:szCs w:val="24"/>
        </w:rPr>
        <w:t xml:space="preserve">. </w:t>
      </w:r>
      <w:bookmarkEnd w:id="35"/>
      <w:r>
        <w:rPr>
          <w:rFonts w:hint="eastAsia" w:ascii="Times New Roman" w:hAnsi="Times New Roman" w:eastAsia="等线" w:cs="Times New Roman"/>
          <w:b/>
          <w:bCs/>
          <w:sz w:val="24"/>
          <w:szCs w:val="24"/>
        </w:rPr>
        <w:t>Comparison of p</w:t>
      </w:r>
      <w:r>
        <w:rPr>
          <w:rFonts w:ascii="Times New Roman" w:hAnsi="Times New Roman" w:eastAsia="等线" w:cs="Times New Roman"/>
          <w:b/>
          <w:bCs/>
          <w:sz w:val="24"/>
          <w:szCs w:val="24"/>
        </w:rPr>
        <w:t>honon dispersion predicted by DFT (gray lines) and MLFF (red lines)</w:t>
      </w:r>
      <w:r>
        <w:rPr>
          <w:rFonts w:ascii="Times New Roman" w:hAnsi="Times New Roman" w:eastAsia="等线" w:cs="Times New Roman"/>
          <w:sz w:val="24"/>
          <w:szCs w:val="24"/>
        </w:rPr>
        <w:t xml:space="preserve">. </w:t>
      </w:r>
      <w:r>
        <w:rPr>
          <w:rFonts w:ascii="Times New Roman" w:hAnsi="Times New Roman" w:eastAsia="等线" w:cs="Times New Roman"/>
          <w:b/>
          <w:bCs/>
          <w:sz w:val="24"/>
          <w:szCs w:val="24"/>
        </w:rPr>
        <w:t>a</w:t>
      </w:r>
      <w:r>
        <w:rPr>
          <w:rFonts w:hint="eastAsia" w:ascii="Times New Roman" w:hAnsi="Times New Roman" w:eastAsia="等线" w:cs="Times New Roman"/>
          <w:sz w:val="24"/>
          <w:szCs w:val="24"/>
        </w:rPr>
        <w:t>,</w:t>
      </w:r>
      <w:r>
        <w:rPr>
          <w:rFonts w:hint="eastAsia" w:ascii="Times New Roman" w:hAnsi="Times New Roman" w:eastAsia="等线" w:cs="Times New Roman"/>
          <w:b/>
          <w:bCs/>
          <w:sz w:val="24"/>
          <w:szCs w:val="24"/>
        </w:rPr>
        <w:t>b</w:t>
      </w:r>
      <w:r>
        <w:rPr>
          <w:rFonts w:hint="eastAsia" w:ascii="Times New Roman" w:hAnsi="Times New Roman" w:eastAsia="等线" w:cs="Times New Roman"/>
          <w:sz w:val="24"/>
          <w:szCs w:val="24"/>
        </w:rPr>
        <w:t>,</w:t>
      </w:r>
      <w:r>
        <w:rPr>
          <w:rFonts w:ascii="Times New Roman" w:hAnsi="Times New Roman" w:eastAsia="等线" w:cs="Times New Roman"/>
          <w:sz w:val="24"/>
          <w:szCs w:val="24"/>
        </w:rPr>
        <w:t xml:space="preserve"> Phonon spectrum for the α-GeSe phase</w:t>
      </w:r>
      <w:r>
        <w:rPr>
          <w:rFonts w:hint="eastAsia" w:ascii="Times New Roman" w:hAnsi="Times New Roman" w:eastAsia="等线" w:cs="Times New Roman"/>
          <w:sz w:val="24"/>
          <w:szCs w:val="24"/>
        </w:rPr>
        <w:t xml:space="preserve"> </w:t>
      </w:r>
      <w:r>
        <w:rPr>
          <w:rFonts w:ascii="Times New Roman" w:hAnsi="Times New Roman" w:eastAsia="等线" w:cs="Times New Roman"/>
          <w:sz w:val="24"/>
          <w:szCs w:val="24"/>
        </w:rPr>
        <w:t>(a) and for the β-GeSe phase</w:t>
      </w:r>
      <w:r>
        <w:rPr>
          <w:rFonts w:hint="eastAsia" w:ascii="Times New Roman" w:hAnsi="Times New Roman" w:eastAsia="等线" w:cs="Times New Roman"/>
          <w:sz w:val="24"/>
          <w:szCs w:val="24"/>
        </w:rPr>
        <w:t xml:space="preserve"> </w:t>
      </w:r>
      <w:r>
        <w:rPr>
          <w:rFonts w:ascii="Times New Roman" w:hAnsi="Times New Roman" w:eastAsia="等线" w:cs="Times New Roman"/>
          <w:sz w:val="24"/>
          <w:szCs w:val="24"/>
        </w:rPr>
        <w:t>(</w:t>
      </w:r>
      <w:r>
        <w:rPr>
          <w:rFonts w:hint="eastAsia" w:ascii="Times New Roman" w:hAnsi="Times New Roman" w:eastAsia="等线" w:cs="Times New Roman"/>
          <w:sz w:val="24"/>
          <w:szCs w:val="24"/>
        </w:rPr>
        <w:t>b</w:t>
      </w:r>
      <w:r>
        <w:rPr>
          <w:rFonts w:ascii="Times New Roman" w:hAnsi="Times New Roman" w:eastAsia="等线" w:cs="Times New Roman"/>
          <w:sz w:val="24"/>
          <w:szCs w:val="24"/>
        </w:rPr>
        <w:t xml:space="preserve">). The results obtained from the developed MLFF </w:t>
      </w:r>
      <w:r>
        <w:rPr>
          <w:rFonts w:hint="eastAsia" w:ascii="Times New Roman" w:hAnsi="Times New Roman" w:eastAsia="等线" w:cs="Times New Roman"/>
          <w:sz w:val="24"/>
          <w:szCs w:val="24"/>
        </w:rPr>
        <w:t>(</w:t>
      </w:r>
      <w:r>
        <w:rPr>
          <w:rFonts w:ascii="Times New Roman" w:hAnsi="Times New Roman" w:eastAsia="等线" w:cs="Times New Roman"/>
          <w:sz w:val="24"/>
          <w:szCs w:val="24"/>
        </w:rPr>
        <w:t>red lines) are compared against the underlying DFT</w:t>
      </w:r>
      <w:r>
        <w:rPr>
          <w:rFonts w:hint="eastAsia" w:ascii="Times New Roman" w:hAnsi="Times New Roman" w:eastAsia="等线" w:cs="Times New Roman"/>
          <w:sz w:val="24"/>
          <w:szCs w:val="24"/>
        </w:rPr>
        <w:t xml:space="preserve"> (</w:t>
      </w:r>
      <w:r>
        <w:rPr>
          <w:rFonts w:ascii="Times New Roman" w:hAnsi="Times New Roman" w:eastAsia="等线" w:cs="Times New Roman"/>
          <w:sz w:val="24"/>
          <w:szCs w:val="24"/>
        </w:rPr>
        <w:t>grey lines) calculations. The high degree of overlap between the MLFF and DFT spectra across the entire Brillouin zone demonstrates the accuracy of the MLFF in capturing the dynamical properties and vibrational characteristics of both GeSe phases.</w:t>
      </w:r>
    </w:p>
    <w:p w14:paraId="7D3A7C8B">
      <w:pPr>
        <w:widowControl/>
        <w:jc w:val="left"/>
        <w:rPr>
          <w:rFonts w:ascii="Times New Roman" w:hAnsi="Times New Roman" w:eastAsia="等线" w:cs="Times New Roman"/>
          <w:sz w:val="24"/>
          <w:szCs w:val="24"/>
        </w:rPr>
      </w:pPr>
      <w:r>
        <w:rPr>
          <w:rFonts w:ascii="Times New Roman" w:hAnsi="Times New Roman" w:eastAsia="等线" w:cs="Times New Roman"/>
          <w:sz w:val="24"/>
          <w:szCs w:val="24"/>
        </w:rPr>
        <w:br w:type="page"/>
      </w:r>
    </w:p>
    <w:p w14:paraId="57E70B58">
      <w:pPr>
        <w:widowControl/>
        <w:numPr>
          <w:ilvl w:val="0"/>
          <w:numId w:val="3"/>
        </w:numPr>
        <w:spacing w:line="360" w:lineRule="auto"/>
        <w:rPr>
          <w:rFonts w:ascii="Times New Roman" w:hAnsi="Times New Roman" w:eastAsia="等线" w:cs="Times New Roman"/>
          <w:b/>
          <w:bCs/>
          <w:sz w:val="24"/>
          <w:szCs w:val="24"/>
        </w:rPr>
      </w:pPr>
      <w:r>
        <w:rPr>
          <w:rFonts w:ascii="Times New Roman" w:hAnsi="Times New Roman" w:eastAsia="等线" w:cs="Times New Roman"/>
          <w:b/>
          <w:bCs/>
          <w:sz w:val="24"/>
          <w:szCs w:val="24"/>
        </w:rPr>
        <w:t xml:space="preserve">Molecular dynamic simulation for chair-boat transition of </w:t>
      </w:r>
      <w:r>
        <w:rPr>
          <w:rFonts w:hint="eastAsia" w:ascii="Times New Roman" w:hAnsi="Times New Roman" w:eastAsia="等线" w:cs="Times New Roman"/>
          <w:b/>
          <w:bCs/>
          <w:sz w:val="24"/>
          <w:szCs w:val="24"/>
        </w:rPr>
        <w:t xml:space="preserve">bulk </w:t>
      </w:r>
      <w:r>
        <w:rPr>
          <w:rFonts w:ascii="Times New Roman" w:hAnsi="Times New Roman" w:eastAsia="等线" w:cs="Times New Roman"/>
          <w:b/>
          <w:bCs/>
          <w:sz w:val="24"/>
          <w:szCs w:val="24"/>
        </w:rPr>
        <w:t>GeSe</w:t>
      </w:r>
    </w:p>
    <w:p w14:paraId="27DC3BB7">
      <w:pPr>
        <w:widowControl/>
        <w:spacing w:line="360" w:lineRule="auto"/>
        <w:rPr>
          <w:rFonts w:ascii="Times New Roman" w:hAnsi="Times New Roman" w:eastAsia="等线" w:cs="Times New Roman"/>
          <w:sz w:val="24"/>
          <w:szCs w:val="24"/>
        </w:rPr>
      </w:pPr>
      <w:bookmarkStart w:id="36" w:name="OLE_LINK30"/>
      <w:r>
        <w:rPr>
          <w:rFonts w:ascii="Times New Roman" w:hAnsi="Times New Roman" w:eastAsia="等线" w:cs="Times New Roman"/>
          <w:sz w:val="24"/>
          <w:szCs w:val="24"/>
        </w:rPr>
        <w:t>We further i</w:t>
      </w:r>
      <w:bookmarkEnd w:id="36"/>
      <w:r>
        <w:rPr>
          <w:rFonts w:ascii="Times New Roman" w:hAnsi="Times New Roman" w:eastAsia="等线" w:cs="Times New Roman"/>
          <w:sz w:val="24"/>
          <w:szCs w:val="24"/>
        </w:rPr>
        <w:t>nvestigate structural phase transition of bulk</w:t>
      </w:r>
      <w:r>
        <w:rPr>
          <w:rFonts w:hint="eastAsia" w:ascii="Times New Roman" w:hAnsi="Times New Roman" w:eastAsia="等线" w:cs="Times New Roman"/>
          <w:sz w:val="24"/>
          <w:szCs w:val="24"/>
        </w:rPr>
        <w:t xml:space="preserve"> GeSe</w:t>
      </w:r>
      <w:r>
        <w:rPr>
          <w:rFonts w:ascii="Times New Roman" w:hAnsi="Times New Roman" w:eastAsia="等线" w:cs="Times New Roman"/>
          <w:sz w:val="24"/>
          <w:szCs w:val="24"/>
        </w:rPr>
        <w:t xml:space="preserve"> under uniaxial compression along </w:t>
      </w:r>
      <w:r>
        <w:rPr>
          <w:rFonts w:hint="eastAsia" w:ascii="Times New Roman" w:hAnsi="Times New Roman" w:eastAsia="等线" w:cs="Times New Roman"/>
          <w:sz w:val="24"/>
          <w:szCs w:val="24"/>
        </w:rPr>
        <w:t xml:space="preserve">[001] </w:t>
      </w:r>
      <w:r>
        <w:rPr>
          <w:rFonts w:ascii="Times New Roman" w:hAnsi="Times New Roman" w:eastAsia="等线" w:cs="Times New Roman"/>
          <w:sz w:val="24"/>
          <w:szCs w:val="24"/>
        </w:rPr>
        <w:t>direction at 300 K using the NPT ensemble to allow for lateral cell relaxation (σ</w:t>
      </w:r>
      <w:r>
        <w:rPr>
          <w:rFonts w:ascii="Times New Roman" w:hAnsi="Times New Roman" w:eastAsia="等线" w:cs="Times New Roman"/>
          <w:sz w:val="24"/>
          <w:szCs w:val="24"/>
          <w:vertAlign w:val="subscript"/>
        </w:rPr>
        <w:t>xx</w:t>
      </w:r>
      <w:r>
        <w:rPr>
          <w:rFonts w:ascii="Times New Roman" w:hAnsi="Times New Roman" w:eastAsia="等线" w:cs="Times New Roman"/>
          <w:sz w:val="24"/>
          <w:szCs w:val="24"/>
        </w:rPr>
        <w:t>= σ</w:t>
      </w:r>
      <w:r>
        <w:rPr>
          <w:rFonts w:ascii="Times New Roman" w:hAnsi="Times New Roman" w:eastAsia="等线" w:cs="Times New Roman"/>
          <w:sz w:val="24"/>
          <w:szCs w:val="24"/>
          <w:vertAlign w:val="subscript"/>
        </w:rPr>
        <w:t>yy</w:t>
      </w:r>
      <w:r>
        <w:rPr>
          <w:rFonts w:ascii="Times New Roman" w:hAnsi="Times New Roman" w:eastAsia="等线" w:cs="Times New Roman"/>
          <w:sz w:val="24"/>
          <w:szCs w:val="24"/>
        </w:rPr>
        <w:t xml:space="preserve"> = 0). The bulk GeSe was modeled using a 10x10x10 supercell (8000 atoms) to ensure statistical convergence. Strain was applied incrementally with an equilibration time of 2 ps per strain step of 0.1%. The local atomic shear strain and structural configurations were analyzed using OVITO</w:t>
      </w:r>
      <w:r>
        <w:rPr>
          <w:rFonts w:ascii="Times New Roman" w:hAnsi="Times New Roman" w:eastAsia="等线" w:cs="Times New Roman"/>
          <w:sz w:val="24"/>
          <w:szCs w:val="24"/>
        </w:rPr>
        <w:fldChar w:fldCharType="begin"/>
      </w:r>
      <w:r>
        <w:rPr>
          <w:rFonts w:ascii="Times New Roman" w:hAnsi="Times New Roman" w:eastAsia="等线" w:cs="Times New Roman"/>
          <w:sz w:val="24"/>
          <w:szCs w:val="24"/>
        </w:rPr>
        <w:instrText xml:space="preserve"> ADDIN EN.CITE &lt;EndNote&gt;&lt;Cite&gt;&lt;Author&gt;Stukowski&lt;/Author&gt;&lt;Year&gt;2010&lt;/Year&gt;&lt;RecNum&gt;3057&lt;/RecNum&gt;&lt;DisplayText&gt;&lt;style face="superscript"&gt;4&lt;/style&gt;&lt;/DisplayText&gt;&lt;record&gt;&lt;rec-number&gt;3057&lt;/rec-number&gt;&lt;foreign-keys&gt;&lt;key app="EN" db-id="zs2fp5r2f2x2e2esxe75ap2k2dx05tep55zx" timestamp="1768282958"&gt;3057&lt;/key&gt;&lt;/foreign-keys&gt;&lt;ref-type name="Journal Article"&gt;17&lt;/ref-type&gt;&lt;contributors&gt;&lt;authors&gt;&lt;author&gt;Stukowski, Alexander&lt;/author&gt;&lt;/authors&gt;&lt;/contributors&gt;&lt;titles&gt;&lt;title&gt;Visualization and analysis of atomistic simulation data with OVITO–the Open Visualization Tool&lt;/title&gt;&lt;secondary-title&gt;Modelling and Simulation in Materials Science and Engineering&lt;/secondary-title&gt;&lt;/titles&gt;&lt;periodical&gt;&lt;full-title&gt;Modelling and Simulation in Materials Science and Engineering&lt;/full-title&gt;&lt;/periodical&gt;&lt;pages&gt;015012&lt;/pages&gt;&lt;volume&gt;18&lt;/volume&gt;&lt;number&gt;1&lt;/number&gt;&lt;dates&gt;&lt;year&gt;2010&lt;/year&gt;&lt;pub-dates&gt;&lt;date&gt;2009/12/15&lt;/date&gt;&lt;/pub-dates&gt;&lt;/dates&gt;&lt;isbn&gt;0965-0393&lt;/isbn&gt;&lt;urls&gt;&lt;related-urls&gt;&lt;url&gt;https://doi.org/10.1088/0965-0393/18/1/015012&lt;/url&gt;&lt;/related-urls&gt;&lt;/urls&gt;&lt;electronic-resource-num&gt;10.1088/0965-0393/18/1/015012&lt;/electronic-resource-num&gt;&lt;/record&gt;&lt;/Cite&gt;&lt;/EndNote&gt;</w:instrText>
      </w:r>
      <w:r>
        <w:rPr>
          <w:rFonts w:ascii="Times New Roman" w:hAnsi="Times New Roman" w:eastAsia="等线" w:cs="Times New Roman"/>
          <w:sz w:val="24"/>
          <w:szCs w:val="24"/>
        </w:rPr>
        <w:fldChar w:fldCharType="separate"/>
      </w:r>
      <w:r>
        <w:rPr>
          <w:rFonts w:ascii="Times New Roman" w:hAnsi="Times New Roman" w:eastAsia="等线" w:cs="Times New Roman"/>
          <w:sz w:val="24"/>
          <w:szCs w:val="24"/>
          <w:vertAlign w:val="superscript"/>
        </w:rPr>
        <w:t>4</w:t>
      </w:r>
      <w:r>
        <w:rPr>
          <w:rFonts w:ascii="Times New Roman" w:hAnsi="Times New Roman" w:eastAsia="等线" w:cs="Times New Roman"/>
          <w:sz w:val="24"/>
          <w:szCs w:val="24"/>
        </w:rPr>
        <w:fldChar w:fldCharType="end"/>
      </w:r>
      <w:r>
        <w:rPr>
          <w:rFonts w:hint="eastAsia" w:ascii="Times New Roman" w:hAnsi="Times New Roman" w:eastAsia="等线" w:cs="Times New Roman"/>
          <w:sz w:val="24"/>
          <w:szCs w:val="24"/>
        </w:rPr>
        <w:t>,</w:t>
      </w:r>
      <w:r>
        <w:rPr>
          <w:rFonts w:ascii="Times New Roman" w:hAnsi="Times New Roman" w:eastAsia="等线" w:cs="Times New Roman"/>
          <w:sz w:val="24"/>
          <w:szCs w:val="24"/>
        </w:rPr>
        <w:t xml:space="preserve"> with the shear strain components calculated via the atomic displacement gradient relative to the zero-strain α-phase </w:t>
      </w:r>
      <w:r>
        <w:rPr>
          <w:rFonts w:hint="eastAsia" w:ascii="Times New Roman" w:hAnsi="Times New Roman" w:eastAsia="等线" w:cs="Times New Roman"/>
          <w:sz w:val="24"/>
          <w:szCs w:val="24"/>
        </w:rPr>
        <w:t xml:space="preserve">GeSe as the </w:t>
      </w:r>
      <w:r>
        <w:rPr>
          <w:rFonts w:ascii="Times New Roman" w:hAnsi="Times New Roman" w:eastAsia="等线" w:cs="Times New Roman"/>
          <w:sz w:val="24"/>
          <w:szCs w:val="24"/>
        </w:rPr>
        <w:t>reference.</w:t>
      </w:r>
      <w:r>
        <w:rPr>
          <w:rFonts w:hint="eastAsia" w:ascii="Times New Roman" w:hAnsi="Times New Roman" w:eastAsia="等线" w:cs="Times New Roman"/>
          <w:sz w:val="24"/>
          <w:szCs w:val="24"/>
        </w:rPr>
        <w:t xml:space="preserve"> </w:t>
      </w:r>
      <w:r>
        <w:rPr>
          <w:rFonts w:ascii="Times New Roman" w:hAnsi="Times New Roman" w:eastAsia="等线" w:cs="Times New Roman"/>
          <w:sz w:val="24"/>
          <w:szCs w:val="24"/>
        </w:rPr>
        <w:t xml:space="preserve">The energetic and mechanical profiles </w:t>
      </w:r>
      <w:r>
        <w:rPr>
          <w:rFonts w:hint="eastAsia" w:ascii="Times New Roman" w:hAnsi="Times New Roman" w:eastAsia="等线" w:cs="Times New Roman"/>
          <w:sz w:val="24"/>
          <w:szCs w:val="24"/>
        </w:rPr>
        <w:t xml:space="preserve">in </w:t>
      </w:r>
      <w:r>
        <w:rPr>
          <w:rFonts w:ascii="Times New Roman" w:hAnsi="Times New Roman" w:eastAsia="等线" w:cs="Times New Roman"/>
          <w:sz w:val="24"/>
          <w:szCs w:val="24"/>
        </w:rPr>
        <w:t>Supplementary</w:t>
      </w:r>
      <w:r>
        <w:rPr>
          <w:rFonts w:hint="eastAsia" w:ascii="Times New Roman" w:hAnsi="Times New Roman" w:eastAsia="等线" w:cs="Times New Roman"/>
          <w:sz w:val="24"/>
          <w:szCs w:val="24"/>
        </w:rPr>
        <w:t xml:space="preserve"> Fig. 11</w:t>
      </w:r>
      <w:r>
        <w:rPr>
          <w:rFonts w:ascii="Times New Roman" w:hAnsi="Times New Roman" w:eastAsia="等线" w:cs="Times New Roman"/>
          <w:sz w:val="24"/>
          <w:szCs w:val="24"/>
        </w:rPr>
        <w:t xml:space="preserve"> provide</w:t>
      </w:r>
      <w:r>
        <w:rPr>
          <w:rFonts w:hint="eastAsia" w:ascii="Times New Roman" w:hAnsi="Times New Roman" w:eastAsia="等线" w:cs="Times New Roman"/>
          <w:sz w:val="24"/>
          <w:szCs w:val="24"/>
        </w:rPr>
        <w:t>s</w:t>
      </w:r>
      <w:r>
        <w:rPr>
          <w:rFonts w:ascii="Times New Roman" w:hAnsi="Times New Roman" w:eastAsia="等线" w:cs="Times New Roman"/>
          <w:sz w:val="24"/>
          <w:szCs w:val="24"/>
        </w:rPr>
        <w:t xml:space="preserve"> the </w:t>
      </w:r>
      <w:r>
        <w:rPr>
          <w:rFonts w:hint="eastAsia" w:ascii="Times New Roman" w:hAnsi="Times New Roman" w:eastAsia="等线" w:cs="Times New Roman"/>
          <w:sz w:val="24"/>
          <w:szCs w:val="24"/>
        </w:rPr>
        <w:t>key</w:t>
      </w:r>
      <w:r>
        <w:rPr>
          <w:rFonts w:ascii="Times New Roman" w:hAnsi="Times New Roman" w:eastAsia="等线" w:cs="Times New Roman"/>
          <w:sz w:val="24"/>
          <w:szCs w:val="24"/>
        </w:rPr>
        <w:t xml:space="preserve"> thermodynamic evidence for the structural transformation. </w:t>
      </w:r>
      <w:r>
        <w:rPr>
          <w:rFonts w:hint="eastAsia" w:ascii="Times New Roman" w:hAnsi="Times New Roman" w:eastAsia="等线" w:cs="Times New Roman"/>
          <w:sz w:val="24"/>
          <w:szCs w:val="24"/>
        </w:rPr>
        <w:t xml:space="preserve">When </w:t>
      </w:r>
      <w:r>
        <w:rPr>
          <w:rFonts w:ascii="Times New Roman" w:hAnsi="Times New Roman" w:eastAsia="等线" w:cs="Times New Roman"/>
          <w:sz w:val="24"/>
          <w:szCs w:val="24"/>
        </w:rPr>
        <w:t xml:space="preserve">ε &lt; 9.7%, the total energy per atom exhibits a characteristic parabolic increase, consistent with harmonic elastic deformation. At </w:t>
      </w:r>
      <w:bookmarkStart w:id="37" w:name="OLE_LINK15"/>
      <w:r>
        <w:rPr>
          <w:rFonts w:ascii="Times New Roman" w:hAnsi="Times New Roman" w:eastAsia="等线" w:cs="Times New Roman"/>
          <w:sz w:val="24"/>
          <w:szCs w:val="24"/>
        </w:rPr>
        <w:t>the critical strain of 9.7%</w:t>
      </w:r>
      <w:bookmarkEnd w:id="37"/>
      <w:r>
        <w:rPr>
          <w:rFonts w:ascii="Times New Roman" w:hAnsi="Times New Roman" w:eastAsia="等线" w:cs="Times New Roman"/>
          <w:sz w:val="24"/>
          <w:szCs w:val="24"/>
        </w:rPr>
        <w:t xml:space="preserve">, the </w:t>
      </w:r>
      <w:r>
        <w:rPr>
          <w:rFonts w:hint="eastAsia" w:ascii="Times New Roman" w:hAnsi="Times New Roman" w:eastAsia="等线" w:cs="Times New Roman"/>
          <w:sz w:val="24"/>
          <w:szCs w:val="24"/>
        </w:rPr>
        <w:t xml:space="preserve">GeSe </w:t>
      </w:r>
      <w:r>
        <w:rPr>
          <w:rFonts w:ascii="Times New Roman" w:hAnsi="Times New Roman" w:eastAsia="等线" w:cs="Times New Roman"/>
          <w:sz w:val="24"/>
          <w:szCs w:val="24"/>
        </w:rPr>
        <w:t xml:space="preserve">system reaches a mechanical instability point, manifested as a sharp, discontinuous drop in energy (~10 meV/atom). This jump indicates an exothermic structural reconfiguration </w:t>
      </w:r>
      <w:r>
        <w:rPr>
          <w:rFonts w:hint="eastAsia" w:ascii="Times New Roman" w:hAnsi="Times New Roman" w:eastAsia="等线" w:cs="Times New Roman"/>
          <w:sz w:val="24"/>
          <w:szCs w:val="24"/>
        </w:rPr>
        <w:t xml:space="preserve">from </w:t>
      </w:r>
      <w:r>
        <w:rPr>
          <w:rFonts w:ascii="Times New Roman" w:hAnsi="Times New Roman" w:eastAsia="等线" w:cs="Times New Roman"/>
          <w:sz w:val="24"/>
          <w:szCs w:val="24"/>
        </w:rPr>
        <w:t>α-phase to a more stable β-phase</w:t>
      </w:r>
      <w:r>
        <w:rPr>
          <w:rFonts w:hint="eastAsia" w:ascii="Times New Roman" w:hAnsi="Times New Roman" w:eastAsia="等线" w:cs="Times New Roman"/>
          <w:sz w:val="24"/>
          <w:szCs w:val="24"/>
        </w:rPr>
        <w:t xml:space="preserve"> (chair to boat)</w:t>
      </w:r>
      <w:r>
        <w:rPr>
          <w:rFonts w:ascii="Times New Roman" w:hAnsi="Times New Roman" w:eastAsia="等线" w:cs="Times New Roman"/>
          <w:sz w:val="24"/>
          <w:szCs w:val="24"/>
        </w:rPr>
        <w:t>. Simultaneously, the axial stress σ</w:t>
      </w:r>
      <w:r>
        <w:rPr>
          <w:rFonts w:ascii="Times New Roman" w:hAnsi="Times New Roman" w:eastAsia="等线" w:cs="Times New Roman"/>
          <w:sz w:val="24"/>
          <w:szCs w:val="24"/>
          <w:vertAlign w:val="subscript"/>
        </w:rPr>
        <w:t>zz</w:t>
      </w:r>
      <w:r>
        <w:rPr>
          <w:rFonts w:ascii="Times New Roman" w:hAnsi="Times New Roman" w:eastAsia="等线" w:cs="Times New Roman"/>
          <w:sz w:val="24"/>
          <w:szCs w:val="24"/>
        </w:rPr>
        <w:t xml:space="preserve"> exhibits a dramatic relaxation from 3.4 GPa to 0.7 GPa. This stress-drop is a hallmark of of a first-order phase transition, where external mechanical work is converted into internal potential energy of atomic rearrangement. </w:t>
      </w:r>
    </w:p>
    <w:p w14:paraId="46EB94BA">
      <w:pPr>
        <w:widowControl/>
        <w:spacing w:line="360" w:lineRule="auto"/>
        <w:rPr>
          <w:rFonts w:ascii="Times New Roman" w:hAnsi="Times New Roman" w:eastAsia="等线" w:cs="Times New Roman"/>
          <w:sz w:val="24"/>
          <w:szCs w:val="24"/>
        </w:rPr>
      </w:pPr>
      <w:bookmarkStart w:id="38" w:name="OLE_LINK16"/>
      <w:bookmarkStart w:id="39" w:name="OLE_LINK17"/>
      <w:bookmarkStart w:id="40" w:name="OLE_LINK22"/>
      <w:r>
        <w:rPr>
          <w:rFonts w:ascii="Times New Roman" w:hAnsi="Times New Roman" w:eastAsia="等线" w:cs="Times New Roman"/>
          <w:bCs/>
          <w:sz w:val="24"/>
          <w:szCs w:val="24"/>
        </w:rPr>
        <w:t>Supplementary</w:t>
      </w:r>
      <w:bookmarkEnd w:id="38"/>
      <w:r>
        <w:rPr>
          <w:rFonts w:hint="eastAsia" w:ascii="Times New Roman" w:hAnsi="Times New Roman" w:eastAsia="等线" w:cs="Times New Roman"/>
          <w:bCs/>
          <w:sz w:val="24"/>
          <w:szCs w:val="24"/>
        </w:rPr>
        <w:t xml:space="preserve"> Figure</w:t>
      </w:r>
      <w:bookmarkEnd w:id="39"/>
      <w:r>
        <w:rPr>
          <w:rFonts w:hint="eastAsia" w:ascii="Times New Roman" w:hAnsi="Times New Roman" w:eastAsia="等线" w:cs="Times New Roman"/>
          <w:bCs/>
          <w:sz w:val="24"/>
          <w:szCs w:val="24"/>
        </w:rPr>
        <w:t xml:space="preserve"> 12 shows</w:t>
      </w:r>
      <w:r>
        <w:rPr>
          <w:rFonts w:hint="eastAsia" w:ascii="Times New Roman" w:hAnsi="Times New Roman" w:eastAsia="等线" w:cs="Times New Roman"/>
          <w:b/>
          <w:sz w:val="24"/>
          <w:szCs w:val="24"/>
        </w:rPr>
        <w:t xml:space="preserve"> </w:t>
      </w:r>
      <w:r>
        <w:rPr>
          <w:rFonts w:hint="eastAsia" w:ascii="Times New Roman" w:hAnsi="Times New Roman" w:eastAsia="等线" w:cs="Times New Roman"/>
          <w:sz w:val="24"/>
          <w:szCs w:val="24"/>
        </w:rPr>
        <w:t>t</w:t>
      </w:r>
      <w:r>
        <w:rPr>
          <w:rFonts w:ascii="Times New Roman" w:hAnsi="Times New Roman" w:eastAsia="等线" w:cs="Times New Roman"/>
          <w:sz w:val="24"/>
          <w:szCs w:val="24"/>
        </w:rPr>
        <w:t>he macroscopic geometric response</w:t>
      </w:r>
      <w:r>
        <w:rPr>
          <w:rFonts w:hint="eastAsia" w:ascii="Times New Roman" w:hAnsi="Times New Roman" w:eastAsia="等线" w:cs="Times New Roman"/>
          <w:sz w:val="24"/>
          <w:szCs w:val="24"/>
        </w:rPr>
        <w:t xml:space="preserve"> </w:t>
      </w:r>
      <w:r>
        <w:rPr>
          <w:rFonts w:ascii="Times New Roman" w:hAnsi="Times New Roman" w:eastAsia="等线" w:cs="Times New Roman"/>
          <w:bCs/>
          <w:sz w:val="24"/>
          <w:szCs w:val="24"/>
        </w:rPr>
        <w:t>of GeSe under uniaxial</w:t>
      </w:r>
      <w:r>
        <w:rPr>
          <w:rFonts w:hint="eastAsia" w:ascii="Times New Roman" w:hAnsi="Times New Roman" w:eastAsia="等线" w:cs="Times New Roman"/>
          <w:bCs/>
          <w:sz w:val="24"/>
          <w:szCs w:val="24"/>
        </w:rPr>
        <w:t xml:space="preserve"> </w:t>
      </w:r>
      <w:r>
        <w:rPr>
          <w:rFonts w:ascii="Times New Roman" w:hAnsi="Times New Roman" w:eastAsia="等线" w:cs="Times New Roman"/>
          <w:bCs/>
          <w:sz w:val="24"/>
          <w:szCs w:val="24"/>
        </w:rPr>
        <w:t>strain</w:t>
      </w:r>
      <w:r>
        <w:rPr>
          <w:rFonts w:hint="eastAsia" w:ascii="Times New Roman" w:hAnsi="Times New Roman" w:eastAsia="等线" w:cs="Times New Roman"/>
          <w:bCs/>
          <w:sz w:val="24"/>
          <w:szCs w:val="24"/>
        </w:rPr>
        <w:t>, which</w:t>
      </w:r>
      <w:r>
        <w:rPr>
          <w:rFonts w:ascii="Times New Roman" w:hAnsi="Times New Roman" w:eastAsia="等线" w:cs="Times New Roman"/>
          <w:sz w:val="24"/>
          <w:szCs w:val="24"/>
        </w:rPr>
        <w:t xml:space="preserve"> reveals the complex anisotropic nature of the </w:t>
      </w:r>
      <w:r>
        <w:rPr>
          <w:rFonts w:hint="eastAsia" w:ascii="Times New Roman" w:hAnsi="Times New Roman" w:eastAsia="等线" w:cs="Times New Roman"/>
          <w:sz w:val="24"/>
          <w:szCs w:val="24"/>
        </w:rPr>
        <w:t xml:space="preserve">phase </w:t>
      </w:r>
      <w:r>
        <w:rPr>
          <w:rFonts w:ascii="Times New Roman" w:hAnsi="Times New Roman" w:eastAsia="等线" w:cs="Times New Roman"/>
          <w:sz w:val="24"/>
          <w:szCs w:val="24"/>
        </w:rPr>
        <w:t xml:space="preserve">transformation. During compression along the [001] direction in the α-phase, the </w:t>
      </w:r>
      <w:r>
        <w:rPr>
          <w:rFonts w:ascii="Times New Roman" w:hAnsi="Times New Roman" w:eastAsia="等线" w:cs="Times New Roman"/>
          <w:i/>
          <w:iCs/>
          <w:sz w:val="24"/>
          <w:szCs w:val="24"/>
        </w:rPr>
        <w:t>a</w:t>
      </w:r>
      <w:r>
        <w:rPr>
          <w:rFonts w:ascii="Times New Roman" w:hAnsi="Times New Roman" w:eastAsia="等线" w:cs="Times New Roman"/>
          <w:sz w:val="24"/>
          <w:szCs w:val="24"/>
        </w:rPr>
        <w:t xml:space="preserve">-axis </w:t>
      </w:r>
      <w:r>
        <w:rPr>
          <w:rFonts w:hint="eastAsia" w:ascii="Times New Roman" w:hAnsi="Times New Roman" w:eastAsia="等线" w:cs="Times New Roman"/>
          <w:sz w:val="24"/>
          <w:szCs w:val="24"/>
        </w:rPr>
        <w:t xml:space="preserve">of GeSe </w:t>
      </w:r>
      <w:r>
        <w:rPr>
          <w:rFonts w:ascii="Times New Roman" w:hAnsi="Times New Roman" w:eastAsia="等线" w:cs="Times New Roman"/>
          <w:sz w:val="24"/>
          <w:szCs w:val="24"/>
        </w:rPr>
        <w:t xml:space="preserve">displays an anomalous expansion attributed to the strong Poisson effect inherent to its puckered layered structure. As the interlayer distance (c-axis) decreases, intra-layer bonds lengthen along the </w:t>
      </w:r>
      <w:r>
        <w:rPr>
          <w:rFonts w:ascii="Times New Roman" w:hAnsi="Times New Roman" w:eastAsia="等线" w:cs="Times New Roman"/>
          <w:i/>
          <w:iCs/>
          <w:sz w:val="24"/>
          <w:szCs w:val="24"/>
        </w:rPr>
        <w:t>a</w:t>
      </w:r>
      <w:r>
        <w:rPr>
          <w:rFonts w:ascii="Times New Roman" w:hAnsi="Times New Roman" w:eastAsia="等线" w:cs="Times New Roman"/>
          <w:sz w:val="24"/>
          <w:szCs w:val="24"/>
        </w:rPr>
        <w:t xml:space="preserve">-axis to preserve optimal bond lengths. At the critical strain of 9.7%, the </w:t>
      </w:r>
      <w:r>
        <w:rPr>
          <w:rFonts w:ascii="Times New Roman" w:hAnsi="Times New Roman" w:eastAsia="等线" w:cs="Times New Roman"/>
          <w:i/>
          <w:iCs/>
          <w:sz w:val="24"/>
          <w:szCs w:val="24"/>
        </w:rPr>
        <w:t>a</w:t>
      </w:r>
      <w:r>
        <w:rPr>
          <w:rFonts w:ascii="Times New Roman" w:hAnsi="Times New Roman" w:eastAsia="等线" w:cs="Times New Roman"/>
          <w:sz w:val="24"/>
          <w:szCs w:val="24"/>
        </w:rPr>
        <w:t xml:space="preserve">-axis undergoes a sharp collapse while expansion along the </w:t>
      </w:r>
      <w:r>
        <w:rPr>
          <w:rFonts w:ascii="Times New Roman" w:hAnsi="Times New Roman" w:eastAsia="等线" w:cs="Times New Roman"/>
          <w:i/>
          <w:iCs/>
          <w:sz w:val="24"/>
          <w:szCs w:val="24"/>
        </w:rPr>
        <w:t>b</w:t>
      </w:r>
      <w:r>
        <w:rPr>
          <w:rFonts w:ascii="Times New Roman" w:hAnsi="Times New Roman" w:eastAsia="等线" w:cs="Times New Roman"/>
          <w:sz w:val="24"/>
          <w:szCs w:val="24"/>
        </w:rPr>
        <w:t xml:space="preserve">-axis accelerates. This leads to a notable decrease in the </w:t>
      </w:r>
      <w:r>
        <w:rPr>
          <w:rFonts w:ascii="Times New Roman" w:hAnsi="Times New Roman" w:eastAsia="等线" w:cs="Times New Roman"/>
          <w:i/>
          <w:iCs/>
          <w:sz w:val="24"/>
          <w:szCs w:val="24"/>
        </w:rPr>
        <w:t>a</w:t>
      </w:r>
      <w:r>
        <w:rPr>
          <w:rFonts w:ascii="Times New Roman" w:hAnsi="Times New Roman" w:eastAsia="等线" w:cs="Times New Roman"/>
          <w:sz w:val="24"/>
          <w:szCs w:val="24"/>
        </w:rPr>
        <w:t>/</w:t>
      </w:r>
      <w:r>
        <w:rPr>
          <w:rFonts w:ascii="Times New Roman" w:hAnsi="Times New Roman" w:eastAsia="等线" w:cs="Times New Roman"/>
          <w:i/>
          <w:iCs/>
          <w:sz w:val="24"/>
          <w:szCs w:val="24"/>
        </w:rPr>
        <w:t>b</w:t>
      </w:r>
      <w:r>
        <w:rPr>
          <w:rFonts w:ascii="Times New Roman" w:hAnsi="Times New Roman" w:eastAsia="等线" w:cs="Times New Roman"/>
          <w:sz w:val="24"/>
          <w:szCs w:val="24"/>
        </w:rPr>
        <w:t xml:space="preserve"> ratio from 0.87, marking a significant symmetry-shifting event. Further compelling evidence is provided by the volumetric collapse shown in Supplementary Fig. </w:t>
      </w:r>
      <w:r>
        <w:rPr>
          <w:rFonts w:hint="eastAsia" w:ascii="Times New Roman" w:hAnsi="Times New Roman" w:eastAsia="等线" w:cs="Times New Roman"/>
          <w:sz w:val="24"/>
          <w:szCs w:val="24"/>
        </w:rPr>
        <w:t>1</w:t>
      </w:r>
      <w:r>
        <w:rPr>
          <w:rFonts w:ascii="Times New Roman" w:hAnsi="Times New Roman" w:eastAsia="等线" w:cs="Times New Roman"/>
          <w:sz w:val="24"/>
          <w:szCs w:val="24"/>
        </w:rPr>
        <w:t>2e. The discontinuity indicates an abrupt increase in atomic packing density. In the α-phase, GeSe maintains a hollow, puckered structure; upon transition, these puckers flatten, enabling atoms to occupy a more compact arrangement. This discontinuous change in volume correlates with the latent heat of transformation and confirms that the α- and β-phases coexist as distinct thermodynamic states at the phase boundary.</w:t>
      </w:r>
    </w:p>
    <w:p w14:paraId="56B574B7">
      <w:pPr>
        <w:widowControl/>
        <w:spacing w:line="360" w:lineRule="auto"/>
        <w:rPr>
          <w:rFonts w:ascii="Times New Roman" w:hAnsi="Times New Roman" w:eastAsia="等线" w:cs="Times New Roman"/>
          <w:sz w:val="24"/>
          <w:szCs w:val="24"/>
        </w:rPr>
      </w:pPr>
      <w:r>
        <w:rPr>
          <w:rFonts w:ascii="Times New Roman" w:hAnsi="Times New Roman" w:eastAsia="等线" w:cs="Times New Roman"/>
          <w:sz w:val="24"/>
          <w:szCs w:val="24"/>
        </w:rPr>
        <w:t xml:space="preserve">The radial distribution function (RDF) heatmap in Supplementary Fig. </w:t>
      </w:r>
      <w:r>
        <w:rPr>
          <w:rFonts w:hint="eastAsia" w:ascii="Times New Roman" w:hAnsi="Times New Roman" w:eastAsia="等线" w:cs="Times New Roman"/>
          <w:sz w:val="24"/>
          <w:szCs w:val="24"/>
        </w:rPr>
        <w:t>1</w:t>
      </w:r>
      <w:r>
        <w:rPr>
          <w:rFonts w:ascii="Times New Roman" w:hAnsi="Times New Roman" w:eastAsia="等线" w:cs="Times New Roman"/>
          <w:sz w:val="24"/>
          <w:szCs w:val="24"/>
        </w:rPr>
        <w:t>3 offers a detailed fingerprint of the structural evolution. Prior to reaching the critical strain of 9.7%, the peaks shift smoothly toward smaller interatomic distances (r), consistent with uniform compression across the structure. At the phase transition point, a pronounced and abrupt rearrangement occurs for r &gt; 3.0 Å, indicating that although the primary covalent bonds (~2.6 Å) are preserved, the medium-range atomic order undergoes significant reconfiguration.</w:t>
      </w:r>
      <w:r>
        <w:rPr>
          <w:rFonts w:hint="eastAsia" w:ascii="Times New Roman" w:hAnsi="Times New Roman" w:eastAsia="等线" w:cs="Times New Roman"/>
          <w:sz w:val="24"/>
          <w:szCs w:val="24"/>
        </w:rPr>
        <w:t xml:space="preserve"> </w:t>
      </w:r>
      <w:r>
        <w:rPr>
          <w:rFonts w:ascii="Times New Roman" w:hAnsi="Times New Roman" w:eastAsia="等线" w:cs="Times New Roman"/>
          <w:sz w:val="24"/>
          <w:szCs w:val="24"/>
        </w:rPr>
        <w:t xml:space="preserve">A direct comparison of the RDF profiles at 9.0% and 10.0% strain further reveals specific structural changes. The profile at 10.0% strain—corresponding to the β-phase—displays noticeable broadening and splitting of the second and third neighbor peaks. The disappearance of the distinct peak near ~3.4 Å and the concurrent emergence of new spectral features around ~3.7 Å suggest a substantial reorientation of the Ge–Se–Ge bond angles. This coordination shell reconstruction provides a mechanistic explanation for the observed stress relaxation: by reorienting the bonding network, the system attains a new local energy minimum that accommodates the applied strain with a reduced internal restoring force. </w:t>
      </w:r>
    </w:p>
    <w:bookmarkEnd w:id="40"/>
    <w:p w14:paraId="0A4B85D2">
      <w:pPr>
        <w:widowControl/>
        <w:spacing w:line="360" w:lineRule="auto"/>
        <w:rPr>
          <w:rFonts w:ascii="Times New Roman" w:hAnsi="Times New Roman" w:eastAsia="等线" w:cs="Times New Roman"/>
          <w:sz w:val="24"/>
          <w:szCs w:val="24"/>
        </w:rPr>
      </w:pPr>
      <w:bookmarkStart w:id="41" w:name="OLE_LINK27"/>
      <w:r>
        <w:rPr>
          <w:rFonts w:hint="eastAsia" w:ascii="Times New Roman" w:hAnsi="Times New Roman" w:eastAsia="等线" w:cs="Times New Roman"/>
          <w:sz w:val="24"/>
          <w:szCs w:val="24"/>
        </w:rPr>
        <w:t>A</w:t>
      </w:r>
      <w:r>
        <w:rPr>
          <w:rFonts w:ascii="Times New Roman" w:hAnsi="Times New Roman" w:eastAsia="等线" w:cs="Times New Roman"/>
          <w:sz w:val="24"/>
          <w:szCs w:val="24"/>
        </w:rPr>
        <w:t>tomic snapshots and local shear strain mapping (</w:t>
      </w:r>
      <m:oMath>
        <m:sSub>
          <m:sSubPr>
            <m:ctrlPr>
              <w:rPr>
                <w:rFonts w:ascii="Cambria Math" w:hAnsi="Cambria Math" w:eastAsia="等线" w:cs="Times New Roman"/>
                <w:i/>
                <w:sz w:val="24"/>
                <w:szCs w:val="24"/>
              </w:rPr>
            </m:ctrlPr>
          </m:sSubPr>
          <m:e>
            <m:r>
              <m:rPr/>
              <w:rPr>
                <w:rFonts w:ascii="Cambria Math" w:hAnsi="Cambria Math" w:eastAsia="等线" w:cs="Times New Roman"/>
                <w:sz w:val="24"/>
                <w:szCs w:val="24"/>
              </w:rPr>
              <m:t>ε</m:t>
            </m:r>
            <m:ctrlPr>
              <w:rPr>
                <w:rFonts w:ascii="Cambria Math" w:hAnsi="Cambria Math" w:eastAsia="等线" w:cs="Times New Roman"/>
                <w:i/>
                <w:sz w:val="24"/>
                <w:szCs w:val="24"/>
              </w:rPr>
            </m:ctrlPr>
          </m:e>
          <m:sub>
            <m:r>
              <m:rPr/>
              <w:rPr>
                <w:rFonts w:hint="eastAsia" w:ascii="Cambria Math" w:hAnsi="Cambria Math" w:eastAsia="等线" w:cs="Times New Roman"/>
                <w:sz w:val="24"/>
                <w:szCs w:val="24"/>
              </w:rPr>
              <m:t>yz</m:t>
            </m:r>
            <m:ctrlPr>
              <w:rPr>
                <w:rFonts w:ascii="Cambria Math" w:hAnsi="Cambria Math" w:eastAsia="等线" w:cs="Times New Roman"/>
                <w:i/>
                <w:sz w:val="24"/>
                <w:szCs w:val="24"/>
              </w:rPr>
            </m:ctrlPr>
          </m:sub>
        </m:sSub>
      </m:oMath>
      <w:r>
        <w:rPr>
          <w:rFonts w:ascii="Times New Roman" w:hAnsi="Times New Roman" w:eastAsia="等线" w:cs="Times New Roman"/>
          <w:sz w:val="24"/>
          <w:szCs w:val="24"/>
        </w:rPr>
        <w:t>) provide insight into the underlying mechanism</w:t>
      </w:r>
      <w:r>
        <w:rPr>
          <w:rFonts w:hint="eastAsia" w:ascii="Times New Roman" w:hAnsi="Times New Roman" w:eastAsia="等线" w:cs="Times New Roman"/>
          <w:sz w:val="24"/>
          <w:szCs w:val="24"/>
        </w:rPr>
        <w:t xml:space="preserve"> for the </w:t>
      </w:r>
      <w:r>
        <w:rPr>
          <w:rFonts w:ascii="Times New Roman" w:hAnsi="Times New Roman" w:eastAsia="等线" w:cs="Times New Roman"/>
          <w:sz w:val="24"/>
          <w:szCs w:val="24"/>
        </w:rPr>
        <w:t>α-β</w:t>
      </w:r>
      <w:r>
        <w:rPr>
          <w:rFonts w:hint="eastAsia" w:ascii="Times New Roman" w:hAnsi="Times New Roman" w:eastAsia="等线" w:cs="Times New Roman"/>
          <w:sz w:val="24"/>
          <w:szCs w:val="24"/>
        </w:rPr>
        <w:t xml:space="preserve"> </w:t>
      </w:r>
      <w:r>
        <w:rPr>
          <w:rFonts w:ascii="Times New Roman" w:hAnsi="Times New Roman" w:eastAsia="等线" w:cs="Times New Roman"/>
          <w:sz w:val="24"/>
          <w:szCs w:val="24"/>
        </w:rPr>
        <w:t>phase</w:t>
      </w:r>
      <w:r>
        <w:rPr>
          <w:rFonts w:hint="eastAsia" w:ascii="Times New Roman" w:hAnsi="Times New Roman" w:eastAsia="等线" w:cs="Times New Roman"/>
          <w:sz w:val="24"/>
          <w:szCs w:val="24"/>
        </w:rPr>
        <w:t xml:space="preserve"> </w:t>
      </w:r>
      <w:r>
        <w:rPr>
          <w:rFonts w:ascii="Times New Roman" w:hAnsi="Times New Roman" w:eastAsia="等线" w:cs="Times New Roman"/>
          <w:sz w:val="24"/>
          <w:szCs w:val="24"/>
        </w:rPr>
        <w:t>transitio</w:t>
      </w:r>
      <w:r>
        <w:rPr>
          <w:rFonts w:hint="eastAsia" w:ascii="Times New Roman" w:hAnsi="Times New Roman" w:eastAsia="等线" w:cs="Times New Roman"/>
          <w:sz w:val="24"/>
          <w:szCs w:val="24"/>
        </w:rPr>
        <w:t>n (</w:t>
      </w:r>
      <w:r>
        <w:rPr>
          <w:rFonts w:ascii="Times New Roman" w:hAnsi="Times New Roman" w:eastAsia="等线" w:cs="Times New Roman"/>
          <w:sz w:val="24"/>
          <w:szCs w:val="24"/>
        </w:rPr>
        <w:t xml:space="preserve">Supplementary Fig. </w:t>
      </w:r>
      <w:r>
        <w:rPr>
          <w:rFonts w:hint="eastAsia" w:ascii="Times New Roman" w:hAnsi="Times New Roman" w:eastAsia="等线" w:cs="Times New Roman"/>
          <w:sz w:val="24"/>
          <w:szCs w:val="24"/>
        </w:rPr>
        <w:t>14)</w:t>
      </w:r>
      <w:r>
        <w:rPr>
          <w:rFonts w:ascii="Times New Roman" w:hAnsi="Times New Roman" w:eastAsia="等线" w:cs="Times New Roman"/>
          <w:sz w:val="24"/>
          <w:szCs w:val="24"/>
        </w:rPr>
        <w:t xml:space="preserve">. In </w:t>
      </w:r>
      <w:bookmarkStart w:id="42" w:name="OLE_LINK28"/>
      <w:r>
        <w:rPr>
          <w:rFonts w:ascii="Times New Roman" w:hAnsi="Times New Roman" w:eastAsia="等线" w:cs="Times New Roman"/>
          <w:sz w:val="24"/>
          <w:szCs w:val="24"/>
        </w:rPr>
        <w:t>α-phase</w:t>
      </w:r>
      <w:bookmarkEnd w:id="42"/>
      <w:r>
        <w:rPr>
          <w:rFonts w:ascii="Times New Roman" w:hAnsi="Times New Roman" w:eastAsia="等线" w:cs="Times New Roman"/>
          <w:sz w:val="24"/>
          <w:szCs w:val="24"/>
        </w:rPr>
        <w:t xml:space="preserve"> GeSe, atomic displacements are largely uniform. Upon crossing the phase boundary, however, we observe the formation of localized shear bands or strain domains. Rather than compressing uniformly, the lattice undergoes coordinated tilting and sliding motions—a characteristic feature of martensitic-like transformations. Uniaxial pressure along the z-axis induces</w:t>
      </w:r>
      <w:r>
        <w:rPr>
          <w:rFonts w:hint="eastAsia" w:ascii="Times New Roman" w:hAnsi="Times New Roman" w:eastAsia="等线" w:cs="Times New Roman"/>
          <w:sz w:val="24"/>
          <w:szCs w:val="24"/>
        </w:rPr>
        <w:t xml:space="preserve"> </w:t>
      </w:r>
      <w:r>
        <w:rPr>
          <w:rFonts w:ascii="Times New Roman" w:hAnsi="Times New Roman" w:eastAsia="等线" w:cs="Times New Roman"/>
          <w:sz w:val="24"/>
          <w:szCs w:val="24"/>
        </w:rPr>
        <w:t xml:space="preserve">internal resolved shear stresses on the inclined Ge–Se bonds. When these stresses exceed the Peierls barrier for bond rotation, the lattice abruptly reconfigures into the </w:t>
      </w:r>
      <w:bookmarkStart w:id="43" w:name="OLE_LINK29"/>
      <w:r>
        <w:rPr>
          <w:rFonts w:ascii="Times New Roman" w:hAnsi="Times New Roman" w:eastAsia="等线" w:cs="Times New Roman"/>
          <w:sz w:val="24"/>
          <w:szCs w:val="24"/>
        </w:rPr>
        <w:t>β</w:t>
      </w:r>
      <w:bookmarkEnd w:id="43"/>
      <w:r>
        <w:rPr>
          <w:rFonts w:ascii="Times New Roman" w:hAnsi="Times New Roman" w:eastAsia="等线" w:cs="Times New Roman"/>
          <w:sz w:val="24"/>
          <w:szCs w:val="24"/>
        </w:rPr>
        <w:t>-phase structure. The local shear strain maps clearly illustrate that the transition propagates through localized distortions. This mechanism explains the abrupt stress drop: once layers begin to tilt, the resulting shear forces promote similar rotations in neighboring layers, triggering a cascading structural collapse. The α-to-β transition can thus be described as a symmetry-altering, shear-dominated process.</w:t>
      </w:r>
    </w:p>
    <w:p w14:paraId="0E598E00">
      <w:pPr>
        <w:widowControl/>
        <w:spacing w:line="360" w:lineRule="auto"/>
        <w:rPr>
          <w:rFonts w:ascii="Times New Roman" w:hAnsi="Times New Roman" w:eastAsia="等线" w:cs="Times New Roman"/>
          <w:sz w:val="24"/>
          <w:szCs w:val="24"/>
        </w:rPr>
      </w:pPr>
      <w:r>
        <w:rPr>
          <w:rFonts w:ascii="Times New Roman" w:hAnsi="Times New Roman" w:eastAsia="等线" w:cs="Times New Roman"/>
          <w:sz w:val="24"/>
          <w:szCs w:val="24"/>
        </w:rPr>
        <w:t>In summary, using NPT ensemble simulations, we have characterized a strain-driven first-order phase transition in bulk GeSe at a critical strain of ε</w:t>
      </w:r>
      <w:r>
        <w:rPr>
          <w:rFonts w:ascii="Times New Roman" w:hAnsi="Times New Roman" w:eastAsia="等线" w:cs="Times New Roman"/>
          <w:sz w:val="24"/>
          <w:szCs w:val="24"/>
          <w:vertAlign w:val="subscript"/>
        </w:rPr>
        <w:t>z</w:t>
      </w:r>
      <w:r>
        <w:rPr>
          <w:rFonts w:ascii="Times New Roman" w:hAnsi="Times New Roman" w:eastAsia="等线" w:cs="Times New Roman"/>
          <w:sz w:val="24"/>
          <w:szCs w:val="24"/>
        </w:rPr>
        <w:t xml:space="preserve"> = 9.7%. The transition is governed by a shear-mediated mechanism, leading to a volumetric collapse, significant stress relaxation, and mechanical softening. Microscopic restructuring—evidenced by radial distribution function analysis and localized shear strain patterns—reveals that the β-phase achieves higher packing density through coordinated rotation of intralayer bond networks.</w:t>
      </w:r>
    </w:p>
    <w:p w14:paraId="11078932">
      <w:pPr>
        <w:widowControl/>
        <w:spacing w:line="360" w:lineRule="auto"/>
        <w:rPr>
          <w:rFonts w:ascii="Times New Roman" w:hAnsi="Times New Roman" w:eastAsia="等线" w:cs="Times New Roman"/>
          <w:sz w:val="24"/>
          <w:szCs w:val="24"/>
        </w:rPr>
      </w:pPr>
    </w:p>
    <w:bookmarkEnd w:id="41"/>
    <w:p w14:paraId="1CA95F22">
      <w:pPr>
        <w:widowControl/>
        <w:spacing w:line="360" w:lineRule="auto"/>
        <w:jc w:val="center"/>
        <w:rPr>
          <w:rFonts w:ascii="Times New Roman" w:hAnsi="Times New Roman" w:eastAsia="等线" w:cs="Times New Roman"/>
          <w:sz w:val="24"/>
          <w:szCs w:val="24"/>
        </w:rPr>
      </w:pPr>
      <w:r>
        <w:rPr>
          <w:rFonts w:ascii="Times New Roman" w:hAnsi="Times New Roman" w:eastAsia="等线" w:cs="Times New Roman"/>
          <w:sz w:val="24"/>
          <w:szCs w:val="24"/>
        </w:rPr>
        <w:drawing>
          <wp:inline distT="0" distB="0" distL="0" distR="0">
            <wp:extent cx="4652010" cy="5270500"/>
            <wp:effectExtent l="0" t="0" r="0" b="0"/>
            <wp:docPr id="1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pic:cNvPicPr>
                      <a:picLocks noChangeAspect="1"/>
                    </pic:cNvPicPr>
                  </pic:nvPicPr>
                  <pic:blipFill>
                    <a:blip r:embed="rId16"/>
                    <a:srcRect t="3817" r="19949" b="11102"/>
                    <a:stretch>
                      <a:fillRect/>
                    </a:stretch>
                  </pic:blipFill>
                  <pic:spPr>
                    <a:xfrm>
                      <a:off x="0" y="0"/>
                      <a:ext cx="4661569" cy="5281333"/>
                    </a:xfrm>
                    <a:prstGeom prst="rect">
                      <a:avLst/>
                    </a:prstGeom>
                    <a:ln>
                      <a:noFill/>
                    </a:ln>
                  </pic:spPr>
                </pic:pic>
              </a:graphicData>
            </a:graphic>
          </wp:inline>
        </w:drawing>
      </w:r>
    </w:p>
    <w:p w14:paraId="28B3599E">
      <w:pPr>
        <w:widowControl/>
        <w:spacing w:line="360" w:lineRule="auto"/>
        <w:rPr>
          <w:rFonts w:ascii="Times New Roman" w:hAnsi="Times New Roman" w:eastAsia="等线" w:cs="Times New Roman"/>
          <w:sz w:val="24"/>
          <w:szCs w:val="24"/>
        </w:rPr>
      </w:pPr>
      <w:r>
        <w:rPr>
          <w:rFonts w:ascii="Times New Roman" w:hAnsi="Times New Roman" w:eastAsia="等线" w:cs="Times New Roman"/>
          <w:b/>
          <w:bCs/>
          <w:sz w:val="24"/>
          <w:szCs w:val="24"/>
        </w:rPr>
        <w:t>Supplementary Fig</w:t>
      </w:r>
      <w:r>
        <w:rPr>
          <w:rFonts w:hint="eastAsia" w:ascii="Times New Roman" w:hAnsi="Times New Roman" w:eastAsia="等线" w:cs="Times New Roman"/>
          <w:b/>
          <w:bCs/>
          <w:sz w:val="24"/>
          <w:szCs w:val="24"/>
        </w:rPr>
        <w:t>ure</w:t>
      </w:r>
      <w:r>
        <w:rPr>
          <w:rFonts w:ascii="Times New Roman" w:hAnsi="Times New Roman" w:eastAsia="等线" w:cs="Times New Roman"/>
          <w:b/>
          <w:bCs/>
          <w:sz w:val="24"/>
          <w:szCs w:val="24"/>
        </w:rPr>
        <w:t xml:space="preserve"> </w:t>
      </w:r>
      <w:r>
        <w:rPr>
          <w:rFonts w:hint="eastAsia" w:ascii="Times New Roman" w:hAnsi="Times New Roman" w:eastAsia="等线" w:cs="Times New Roman"/>
          <w:b/>
          <w:bCs/>
          <w:sz w:val="24"/>
          <w:szCs w:val="24"/>
        </w:rPr>
        <w:t>11</w:t>
      </w:r>
      <w:r>
        <w:rPr>
          <w:rFonts w:ascii="Times New Roman" w:hAnsi="Times New Roman" w:eastAsia="等线" w:cs="Times New Roman"/>
          <w:b/>
          <w:bCs/>
          <w:sz w:val="24"/>
          <w:szCs w:val="24"/>
        </w:rPr>
        <w:t>.</w:t>
      </w:r>
      <w:r>
        <w:rPr>
          <w:rFonts w:ascii="Times New Roman" w:hAnsi="Times New Roman" w:eastAsia="等线" w:cs="Times New Roman"/>
          <w:b/>
          <w:sz w:val="24"/>
          <w:szCs w:val="24"/>
        </w:rPr>
        <w:t xml:space="preserve"> Energetic and mechanical signatures of the</w:t>
      </w:r>
      <w:r>
        <w:rPr>
          <w:rFonts w:hint="eastAsia" w:ascii="Times New Roman" w:hAnsi="Times New Roman" w:eastAsia="等线" w:cs="Times New Roman"/>
          <w:b/>
          <w:sz w:val="24"/>
          <w:szCs w:val="24"/>
        </w:rPr>
        <w:t xml:space="preserve"> chair-boat</w:t>
      </w:r>
      <w:r>
        <w:rPr>
          <w:rFonts w:ascii="Times New Roman" w:hAnsi="Times New Roman" w:eastAsia="等线" w:cs="Times New Roman"/>
          <w:b/>
          <w:sz w:val="24"/>
          <w:szCs w:val="24"/>
        </w:rPr>
        <w:t xml:space="preserve"> transition</w:t>
      </w:r>
      <w:r>
        <w:rPr>
          <w:rFonts w:hint="eastAsia" w:ascii="Times New Roman" w:hAnsi="Times New Roman" w:eastAsia="等线" w:cs="Times New Roman"/>
          <w:b/>
          <w:sz w:val="24"/>
          <w:szCs w:val="24"/>
        </w:rPr>
        <w:t xml:space="preserve"> of GeSe under strain</w:t>
      </w:r>
      <w:r>
        <w:rPr>
          <w:rFonts w:ascii="Times New Roman" w:hAnsi="Times New Roman" w:eastAsia="等线" w:cs="Times New Roman"/>
          <w:b/>
          <w:sz w:val="24"/>
          <w:szCs w:val="24"/>
        </w:rPr>
        <w:t xml:space="preserve">. </w:t>
      </w:r>
      <w:r>
        <w:rPr>
          <w:rFonts w:ascii="Times New Roman" w:hAnsi="Times New Roman" w:eastAsia="等线" w:cs="Times New Roman"/>
          <w:sz w:val="24"/>
          <w:szCs w:val="24"/>
        </w:rPr>
        <w:t xml:space="preserve">Evolution of total energy per atom and </w:t>
      </w:r>
      <w:r>
        <w:rPr>
          <w:rFonts w:hint="eastAsia" w:ascii="Times New Roman" w:hAnsi="Times New Roman" w:eastAsia="等线" w:cs="Times New Roman"/>
          <w:sz w:val="24"/>
          <w:szCs w:val="24"/>
        </w:rPr>
        <w:t>c</w:t>
      </w:r>
      <w:r>
        <w:rPr>
          <w:rFonts w:ascii="Times New Roman" w:hAnsi="Times New Roman" w:eastAsia="等线" w:cs="Times New Roman"/>
          <w:sz w:val="24"/>
          <w:szCs w:val="24"/>
        </w:rPr>
        <w:t>auchy stress components as a function of uniaxial strain ε</w:t>
      </w:r>
      <w:r>
        <w:rPr>
          <w:rFonts w:ascii="Times New Roman" w:hAnsi="Times New Roman" w:eastAsia="等线" w:cs="Times New Roman"/>
          <w:sz w:val="24"/>
          <w:szCs w:val="24"/>
          <w:vertAlign w:val="subscript"/>
        </w:rPr>
        <w:t>z</w:t>
      </w:r>
      <w:r>
        <w:rPr>
          <w:rFonts w:ascii="Times New Roman" w:hAnsi="Times New Roman" w:eastAsia="等线" w:cs="Times New Roman"/>
          <w:sz w:val="24"/>
          <w:szCs w:val="24"/>
        </w:rPr>
        <w:t>. The transition at ε</w:t>
      </w:r>
      <w:r>
        <w:rPr>
          <w:rFonts w:ascii="Times New Roman" w:hAnsi="Times New Roman" w:eastAsia="等线" w:cs="Times New Roman"/>
          <w:sz w:val="24"/>
          <w:szCs w:val="24"/>
          <w:vertAlign w:val="subscript"/>
        </w:rPr>
        <w:t>c</w:t>
      </w:r>
      <w:r>
        <w:rPr>
          <w:rFonts w:ascii="Times New Roman" w:hAnsi="Times New Roman" w:eastAsia="等线" w:cs="Times New Roman"/>
          <w:sz w:val="24"/>
          <w:szCs w:val="24"/>
        </w:rPr>
        <w:t xml:space="preserve"> = 9.7% is marked by an abrupt energy drop and stress relaxation.</w:t>
      </w:r>
    </w:p>
    <w:p w14:paraId="0381DA12">
      <w:pPr>
        <w:widowControl/>
        <w:spacing w:line="360" w:lineRule="auto"/>
        <w:rPr>
          <w:rFonts w:ascii="Times New Roman" w:hAnsi="Times New Roman" w:eastAsia="等线" w:cs="Times New Roman"/>
          <w:sz w:val="24"/>
          <w:szCs w:val="24"/>
        </w:rPr>
      </w:pPr>
      <w:r>
        <w:rPr>
          <w:rFonts w:ascii="Times New Roman" w:hAnsi="Times New Roman" w:eastAsia="等线" w:cs="Times New Roman"/>
          <w:sz w:val="24"/>
          <w:szCs w:val="24"/>
        </w:rPr>
        <w:drawing>
          <wp:inline distT="0" distB="0" distL="0" distR="0">
            <wp:extent cx="5678805" cy="5405755"/>
            <wp:effectExtent l="0" t="0" r="0" b="0"/>
            <wp:docPr id="67"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6"/>
                    <pic:cNvPicPr>
                      <a:picLocks noChangeAspect="1"/>
                    </pic:cNvPicPr>
                  </pic:nvPicPr>
                  <pic:blipFill>
                    <a:blip r:embed="rId17"/>
                    <a:srcRect t="2726" r="10328" b="12310"/>
                    <a:stretch>
                      <a:fillRect/>
                    </a:stretch>
                  </pic:blipFill>
                  <pic:spPr>
                    <a:xfrm>
                      <a:off x="0" y="0"/>
                      <a:ext cx="5696905" cy="5423482"/>
                    </a:xfrm>
                    <a:prstGeom prst="rect">
                      <a:avLst/>
                    </a:prstGeom>
                    <a:ln>
                      <a:noFill/>
                    </a:ln>
                  </pic:spPr>
                </pic:pic>
              </a:graphicData>
            </a:graphic>
          </wp:inline>
        </w:drawing>
      </w:r>
    </w:p>
    <w:p w14:paraId="27978596">
      <w:pPr>
        <w:widowControl/>
        <w:spacing w:line="360" w:lineRule="auto"/>
        <w:rPr>
          <w:rFonts w:ascii="Times New Roman" w:hAnsi="Times New Roman" w:eastAsia="等线" w:cs="Times New Roman"/>
          <w:sz w:val="24"/>
          <w:szCs w:val="24"/>
        </w:rPr>
      </w:pPr>
      <w:r>
        <w:rPr>
          <w:rFonts w:ascii="Times New Roman" w:hAnsi="Times New Roman" w:eastAsia="等线" w:cs="Times New Roman"/>
          <w:b/>
          <w:bCs/>
          <w:sz w:val="24"/>
          <w:szCs w:val="24"/>
        </w:rPr>
        <w:t>Supplementary Fig</w:t>
      </w:r>
      <w:r>
        <w:rPr>
          <w:rFonts w:hint="eastAsia" w:ascii="Times New Roman" w:hAnsi="Times New Roman" w:eastAsia="等线" w:cs="Times New Roman"/>
          <w:b/>
          <w:bCs/>
          <w:sz w:val="24"/>
          <w:szCs w:val="24"/>
        </w:rPr>
        <w:t>ure</w:t>
      </w:r>
      <w:r>
        <w:rPr>
          <w:rFonts w:ascii="Times New Roman" w:hAnsi="Times New Roman" w:eastAsia="等线" w:cs="Times New Roman"/>
          <w:b/>
          <w:bCs/>
          <w:sz w:val="24"/>
          <w:szCs w:val="24"/>
        </w:rPr>
        <w:t xml:space="preserve"> </w:t>
      </w:r>
      <w:r>
        <w:rPr>
          <w:rFonts w:hint="eastAsia" w:ascii="Times New Roman" w:hAnsi="Times New Roman" w:eastAsia="等线" w:cs="Times New Roman"/>
          <w:b/>
          <w:bCs/>
          <w:sz w:val="24"/>
          <w:szCs w:val="24"/>
        </w:rPr>
        <w:t>12</w:t>
      </w:r>
      <w:r>
        <w:rPr>
          <w:rFonts w:ascii="Times New Roman" w:hAnsi="Times New Roman" w:eastAsia="等线" w:cs="Times New Roman"/>
          <w:b/>
          <w:bCs/>
          <w:sz w:val="24"/>
          <w:szCs w:val="24"/>
        </w:rPr>
        <w:t>.</w:t>
      </w:r>
      <w:r>
        <w:rPr>
          <w:rFonts w:ascii="Times New Roman" w:hAnsi="Times New Roman" w:eastAsia="等线" w:cs="Times New Roman"/>
          <w:b/>
          <w:sz w:val="24"/>
          <w:szCs w:val="24"/>
        </w:rPr>
        <w:t xml:space="preserve"> Quantitative </w:t>
      </w:r>
      <w:r>
        <w:rPr>
          <w:rFonts w:hint="eastAsia" w:ascii="Times New Roman" w:hAnsi="Times New Roman" w:eastAsia="等线" w:cs="Times New Roman"/>
          <w:b/>
          <w:sz w:val="24"/>
          <w:szCs w:val="24"/>
        </w:rPr>
        <w:t>structural evolution and thermodynamic response of GeSe under strain</w:t>
      </w:r>
      <w:r>
        <w:rPr>
          <w:rFonts w:ascii="Times New Roman" w:hAnsi="Times New Roman" w:eastAsia="等线" w:cs="Times New Roman"/>
          <w:b/>
          <w:sz w:val="24"/>
          <w:szCs w:val="24"/>
        </w:rPr>
        <w:t xml:space="preserve">. </w:t>
      </w:r>
      <w:r>
        <w:rPr>
          <w:rFonts w:ascii="Times New Roman" w:hAnsi="Times New Roman" w:eastAsia="等线" w:cs="Times New Roman"/>
          <w:b/>
          <w:bCs/>
          <w:sz w:val="24"/>
          <w:szCs w:val="24"/>
        </w:rPr>
        <w:t>a</w:t>
      </w:r>
      <w:r>
        <w:rPr>
          <w:rFonts w:ascii="Times New Roman" w:hAnsi="Times New Roman" w:eastAsia="等线" w:cs="Times New Roman"/>
          <w:sz w:val="24"/>
          <w:szCs w:val="24"/>
        </w:rPr>
        <w:t>-</w:t>
      </w:r>
      <w:r>
        <w:rPr>
          <w:rFonts w:ascii="Times New Roman" w:hAnsi="Times New Roman" w:eastAsia="等线" w:cs="Times New Roman"/>
          <w:b/>
          <w:bCs/>
          <w:sz w:val="24"/>
          <w:szCs w:val="24"/>
        </w:rPr>
        <w:t>c</w:t>
      </w:r>
      <w:r>
        <w:rPr>
          <w:rFonts w:hint="eastAsia" w:ascii="Times New Roman" w:hAnsi="Times New Roman" w:eastAsia="等线" w:cs="Times New Roman"/>
          <w:sz w:val="24"/>
          <w:szCs w:val="24"/>
        </w:rPr>
        <w:t>,</w:t>
      </w:r>
      <w:r>
        <w:rPr>
          <w:rFonts w:ascii="Times New Roman" w:hAnsi="Times New Roman" w:eastAsia="等线" w:cs="Times New Roman"/>
          <w:sz w:val="24"/>
          <w:szCs w:val="24"/>
        </w:rPr>
        <w:t xml:space="preserve"> </w:t>
      </w:r>
      <w:bookmarkStart w:id="44" w:name="OLE_LINK19"/>
      <w:r>
        <w:rPr>
          <w:rFonts w:ascii="Times New Roman" w:hAnsi="Times New Roman" w:eastAsia="等线" w:cs="Times New Roman"/>
          <w:sz w:val="24"/>
          <w:szCs w:val="24"/>
        </w:rPr>
        <w:t xml:space="preserve">Relative variations of lattice constants </w:t>
      </w:r>
      <w:r>
        <w:rPr>
          <w:rFonts w:ascii="Times New Roman" w:hAnsi="Times New Roman" w:eastAsia="等线" w:cs="Times New Roman"/>
          <w:i/>
          <w:iCs/>
          <w:sz w:val="24"/>
          <w:szCs w:val="24"/>
        </w:rPr>
        <w:t>a</w:t>
      </w:r>
      <w:r>
        <w:rPr>
          <w:rFonts w:ascii="Times New Roman" w:hAnsi="Times New Roman" w:eastAsia="等线" w:cs="Times New Roman"/>
          <w:sz w:val="24"/>
          <w:szCs w:val="24"/>
        </w:rPr>
        <w:t xml:space="preserve">, </w:t>
      </w:r>
      <w:r>
        <w:rPr>
          <w:rFonts w:ascii="Times New Roman" w:hAnsi="Times New Roman" w:eastAsia="等线" w:cs="Times New Roman"/>
          <w:i/>
          <w:iCs/>
          <w:sz w:val="24"/>
          <w:szCs w:val="24"/>
        </w:rPr>
        <w:t>b</w:t>
      </w:r>
      <w:r>
        <w:rPr>
          <w:rFonts w:ascii="Times New Roman" w:hAnsi="Times New Roman" w:eastAsia="等线" w:cs="Times New Roman"/>
          <w:sz w:val="24"/>
          <w:szCs w:val="24"/>
        </w:rPr>
        <w:t xml:space="preserve">, and </w:t>
      </w:r>
      <w:r>
        <w:rPr>
          <w:rFonts w:ascii="Times New Roman" w:hAnsi="Times New Roman" w:eastAsia="等线" w:cs="Times New Roman"/>
          <w:i/>
          <w:iCs/>
          <w:sz w:val="24"/>
          <w:szCs w:val="24"/>
        </w:rPr>
        <w:t>c</w:t>
      </w:r>
      <w:r>
        <w:rPr>
          <w:rFonts w:hint="eastAsia" w:ascii="Times New Roman" w:hAnsi="Times New Roman" w:eastAsia="等线" w:cs="Times New Roman"/>
          <w:sz w:val="24"/>
          <w:szCs w:val="24"/>
        </w:rPr>
        <w:t xml:space="preserve"> as a function of strain. </w:t>
      </w:r>
      <w:bookmarkEnd w:id="44"/>
      <w:r>
        <w:rPr>
          <w:rFonts w:ascii="Times New Roman" w:hAnsi="Times New Roman" w:eastAsia="等线" w:cs="Times New Roman"/>
          <w:sz w:val="24"/>
          <w:szCs w:val="24"/>
        </w:rPr>
        <w:t xml:space="preserve"> </w:t>
      </w:r>
      <w:r>
        <w:rPr>
          <w:rFonts w:ascii="Times New Roman" w:hAnsi="Times New Roman" w:eastAsia="等线" w:cs="Times New Roman"/>
          <w:b/>
          <w:bCs/>
          <w:sz w:val="24"/>
          <w:szCs w:val="24"/>
        </w:rPr>
        <w:t>d</w:t>
      </w:r>
      <w:r>
        <w:rPr>
          <w:rFonts w:hint="eastAsia" w:ascii="Times New Roman" w:hAnsi="Times New Roman" w:eastAsia="等线" w:cs="Times New Roman"/>
          <w:sz w:val="24"/>
          <w:szCs w:val="24"/>
        </w:rPr>
        <w:t>,</w:t>
      </w:r>
      <w:r>
        <w:rPr>
          <w:rFonts w:ascii="Times New Roman" w:hAnsi="Times New Roman" w:eastAsia="等线" w:cs="Times New Roman"/>
          <w:sz w:val="24"/>
          <w:szCs w:val="24"/>
        </w:rPr>
        <w:t xml:space="preserve"> </w:t>
      </w:r>
      <w:r>
        <w:rPr>
          <w:rFonts w:hint="eastAsia" w:ascii="Times New Roman" w:hAnsi="Times New Roman" w:eastAsia="等线" w:cs="Times New Roman"/>
          <w:sz w:val="24"/>
          <w:szCs w:val="24"/>
        </w:rPr>
        <w:t>I</w:t>
      </w:r>
      <w:r>
        <w:rPr>
          <w:rFonts w:ascii="Times New Roman" w:hAnsi="Times New Roman" w:eastAsia="等线" w:cs="Times New Roman"/>
          <w:sz w:val="24"/>
          <w:szCs w:val="24"/>
        </w:rPr>
        <w:t xml:space="preserve">n-plane anisotropy </w:t>
      </w:r>
      <w:r>
        <w:rPr>
          <w:rFonts w:ascii="Times New Roman" w:hAnsi="Times New Roman" w:eastAsia="等线" w:cs="Times New Roman"/>
          <w:i/>
          <w:iCs/>
          <w:sz w:val="24"/>
          <w:szCs w:val="24"/>
        </w:rPr>
        <w:t>a</w:t>
      </w:r>
      <w:r>
        <w:rPr>
          <w:rFonts w:ascii="Times New Roman" w:hAnsi="Times New Roman" w:eastAsia="等线" w:cs="Times New Roman"/>
          <w:sz w:val="24"/>
          <w:szCs w:val="24"/>
        </w:rPr>
        <w:t>/</w:t>
      </w:r>
      <w:r>
        <w:rPr>
          <w:rFonts w:ascii="Times New Roman" w:hAnsi="Times New Roman" w:eastAsia="等线" w:cs="Times New Roman"/>
          <w:i/>
          <w:iCs/>
          <w:sz w:val="24"/>
          <w:szCs w:val="24"/>
        </w:rPr>
        <w:t>b</w:t>
      </w:r>
      <w:r>
        <w:rPr>
          <w:rFonts w:ascii="Times New Roman" w:hAnsi="Times New Roman" w:eastAsia="等线" w:cs="Times New Roman"/>
          <w:sz w:val="24"/>
          <w:szCs w:val="24"/>
        </w:rPr>
        <w:t xml:space="preserve"> ratio</w:t>
      </w:r>
      <w:r>
        <w:rPr>
          <w:rFonts w:hint="eastAsia" w:ascii="Times New Roman" w:hAnsi="Times New Roman" w:eastAsia="等线" w:cs="Times New Roman"/>
          <w:sz w:val="24"/>
          <w:szCs w:val="24"/>
        </w:rPr>
        <w:t xml:space="preserve"> </w:t>
      </w:r>
      <w:bookmarkStart w:id="45" w:name="OLE_LINK18"/>
      <w:r>
        <w:rPr>
          <w:rFonts w:hint="eastAsia" w:ascii="Times New Roman" w:hAnsi="Times New Roman" w:eastAsia="等线" w:cs="Times New Roman"/>
          <w:sz w:val="24"/>
          <w:szCs w:val="24"/>
        </w:rPr>
        <w:t>as a function of strain</w:t>
      </w:r>
      <w:r>
        <w:rPr>
          <w:rFonts w:ascii="Times New Roman" w:hAnsi="Times New Roman" w:eastAsia="等线" w:cs="Times New Roman"/>
          <w:sz w:val="24"/>
          <w:szCs w:val="24"/>
        </w:rPr>
        <w:t>.</w:t>
      </w:r>
      <w:bookmarkEnd w:id="45"/>
      <w:r>
        <w:rPr>
          <w:rFonts w:ascii="Times New Roman" w:hAnsi="Times New Roman" w:eastAsia="等线" w:cs="Times New Roman"/>
          <w:sz w:val="24"/>
          <w:szCs w:val="24"/>
        </w:rPr>
        <w:t xml:space="preserve"> </w:t>
      </w:r>
      <w:r>
        <w:rPr>
          <w:rFonts w:ascii="Times New Roman" w:hAnsi="Times New Roman" w:eastAsia="等线" w:cs="Times New Roman"/>
          <w:b/>
          <w:bCs/>
          <w:sz w:val="24"/>
          <w:szCs w:val="24"/>
        </w:rPr>
        <w:t>e</w:t>
      </w:r>
      <w:r>
        <w:rPr>
          <w:rFonts w:hint="eastAsia" w:ascii="Times New Roman" w:hAnsi="Times New Roman" w:eastAsia="等线" w:cs="Times New Roman"/>
          <w:sz w:val="24"/>
          <w:szCs w:val="24"/>
        </w:rPr>
        <w:t>,</w:t>
      </w:r>
      <w:r>
        <w:rPr>
          <w:rFonts w:ascii="Times New Roman" w:hAnsi="Times New Roman" w:eastAsia="等线" w:cs="Times New Roman"/>
          <w:sz w:val="24"/>
          <w:szCs w:val="24"/>
        </w:rPr>
        <w:t xml:space="preserve"> </w:t>
      </w:r>
      <w:r>
        <w:rPr>
          <w:rFonts w:ascii="Times New Roman" w:hAnsi="Times New Roman" w:eastAsia="等线" w:cs="Times New Roman"/>
          <w:i/>
          <w:iCs/>
          <w:sz w:val="24"/>
          <w:szCs w:val="24"/>
        </w:rPr>
        <w:t>c</w:t>
      </w:r>
      <w:r>
        <w:rPr>
          <w:rFonts w:ascii="Times New Roman" w:hAnsi="Times New Roman" w:eastAsia="等线" w:cs="Times New Roman"/>
          <w:sz w:val="24"/>
          <w:szCs w:val="24"/>
        </w:rPr>
        <w:t>/</w:t>
      </w:r>
      <w:r>
        <w:rPr>
          <w:rFonts w:ascii="Times New Roman" w:hAnsi="Times New Roman" w:eastAsia="等线" w:cs="Times New Roman"/>
          <w:i/>
          <w:iCs/>
          <w:sz w:val="24"/>
          <w:szCs w:val="24"/>
        </w:rPr>
        <w:t>a</w:t>
      </w:r>
      <w:r>
        <w:rPr>
          <w:rFonts w:ascii="Times New Roman" w:hAnsi="Times New Roman" w:eastAsia="等线" w:cs="Times New Roman"/>
          <w:sz w:val="24"/>
          <w:szCs w:val="24"/>
        </w:rPr>
        <w:t xml:space="preserve"> ratio</w:t>
      </w:r>
      <w:r>
        <w:rPr>
          <w:rFonts w:hint="eastAsia" w:ascii="Times New Roman" w:hAnsi="Times New Roman" w:eastAsia="等线" w:cs="Times New Roman"/>
          <w:sz w:val="24"/>
          <w:szCs w:val="24"/>
        </w:rPr>
        <w:t xml:space="preserve"> </w:t>
      </w:r>
      <w:r>
        <w:rPr>
          <w:rFonts w:ascii="Times New Roman" w:hAnsi="Times New Roman" w:eastAsia="等线" w:cs="Times New Roman"/>
          <w:sz w:val="24"/>
          <w:szCs w:val="24"/>
        </w:rPr>
        <w:t>as a function of strain.</w:t>
      </w:r>
      <w:r>
        <w:rPr>
          <w:rFonts w:hint="eastAsia" w:ascii="Times New Roman" w:hAnsi="Times New Roman" w:eastAsia="等线" w:cs="Times New Roman"/>
          <w:sz w:val="24"/>
          <w:szCs w:val="24"/>
        </w:rPr>
        <w:t xml:space="preserve"> </w:t>
      </w:r>
      <w:r>
        <w:rPr>
          <w:rFonts w:ascii="Times New Roman" w:hAnsi="Times New Roman" w:eastAsia="等线" w:cs="Times New Roman"/>
          <w:b/>
          <w:bCs/>
          <w:sz w:val="24"/>
          <w:szCs w:val="24"/>
        </w:rPr>
        <w:t>f</w:t>
      </w:r>
      <w:r>
        <w:rPr>
          <w:rFonts w:hint="eastAsia" w:ascii="Times New Roman" w:hAnsi="Times New Roman" w:eastAsia="等线" w:cs="Times New Roman"/>
          <w:sz w:val="24"/>
          <w:szCs w:val="24"/>
        </w:rPr>
        <w:t>,</w:t>
      </w:r>
      <w:r>
        <w:rPr>
          <w:rFonts w:ascii="Times New Roman" w:hAnsi="Times New Roman" w:eastAsia="等线" w:cs="Times New Roman"/>
          <w:sz w:val="24"/>
          <w:szCs w:val="24"/>
        </w:rPr>
        <w:t xml:space="preserve"> Relative variations of</w:t>
      </w:r>
      <w:r>
        <w:rPr>
          <w:rFonts w:hint="eastAsia" w:ascii="Times New Roman" w:hAnsi="Times New Roman" w:eastAsia="等线" w:cs="Times New Roman"/>
          <w:sz w:val="24"/>
          <w:szCs w:val="24"/>
        </w:rPr>
        <w:t xml:space="preserve"> </w:t>
      </w:r>
      <w:r>
        <w:rPr>
          <w:rFonts w:ascii="Times New Roman" w:hAnsi="Times New Roman" w:eastAsia="等线" w:cs="Times New Roman"/>
          <w:sz w:val="24"/>
          <w:szCs w:val="24"/>
        </w:rPr>
        <w:t>volum</w:t>
      </w:r>
      <w:r>
        <w:rPr>
          <w:rFonts w:hint="eastAsia" w:ascii="Times New Roman" w:hAnsi="Times New Roman" w:eastAsia="等线" w:cs="Times New Roman"/>
          <w:sz w:val="24"/>
          <w:szCs w:val="24"/>
        </w:rPr>
        <w:t>e of GeSe as a function of strain</w:t>
      </w:r>
      <w:r>
        <w:rPr>
          <w:rFonts w:ascii="Times New Roman" w:hAnsi="Times New Roman" w:eastAsia="等线" w:cs="Times New Roman"/>
          <w:sz w:val="24"/>
          <w:szCs w:val="24"/>
        </w:rPr>
        <w:t>.</w:t>
      </w:r>
    </w:p>
    <w:p w14:paraId="7AEC82F0">
      <w:pPr>
        <w:widowControl/>
        <w:spacing w:line="360" w:lineRule="auto"/>
        <w:rPr>
          <w:rFonts w:ascii="Times New Roman" w:hAnsi="Times New Roman" w:eastAsia="等线" w:cs="Times New Roman"/>
          <w:sz w:val="24"/>
          <w:szCs w:val="24"/>
        </w:rPr>
      </w:pPr>
      <w:r>
        <w:rPr>
          <w:rFonts w:ascii="Times New Roman" w:hAnsi="Times New Roman" w:eastAsia="等线" w:cs="Times New Roman"/>
          <w:sz w:val="24"/>
          <w:szCs w:val="24"/>
        </w:rPr>
        <w:drawing>
          <wp:inline distT="0" distB="0" distL="0" distR="0">
            <wp:extent cx="5678170" cy="5844540"/>
            <wp:effectExtent l="0" t="0" r="0" b="0"/>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18"/>
                    <a:srcRect l="3052" t="6726" b="13861"/>
                    <a:stretch>
                      <a:fillRect/>
                    </a:stretch>
                  </pic:blipFill>
                  <pic:spPr>
                    <a:xfrm>
                      <a:off x="0" y="0"/>
                      <a:ext cx="5695871" cy="5862305"/>
                    </a:xfrm>
                    <a:prstGeom prst="rect">
                      <a:avLst/>
                    </a:prstGeom>
                    <a:ln>
                      <a:noFill/>
                    </a:ln>
                  </pic:spPr>
                </pic:pic>
              </a:graphicData>
            </a:graphic>
          </wp:inline>
        </w:drawing>
      </w:r>
    </w:p>
    <w:p w14:paraId="5E681AE9">
      <w:pPr>
        <w:widowControl/>
        <w:spacing w:line="360" w:lineRule="auto"/>
        <w:rPr>
          <w:rFonts w:ascii="Times New Roman" w:hAnsi="Times New Roman" w:eastAsia="等线" w:cs="Times New Roman"/>
          <w:sz w:val="24"/>
          <w:szCs w:val="24"/>
        </w:rPr>
      </w:pPr>
      <w:r>
        <w:rPr>
          <w:rFonts w:ascii="Times New Roman" w:hAnsi="Times New Roman" w:eastAsia="等线" w:cs="Times New Roman"/>
          <w:b/>
          <w:bCs/>
          <w:sz w:val="24"/>
          <w:szCs w:val="24"/>
        </w:rPr>
        <w:t xml:space="preserve">Supplementary Figure </w:t>
      </w:r>
      <w:r>
        <w:rPr>
          <w:rFonts w:hint="eastAsia" w:ascii="Times New Roman" w:hAnsi="Times New Roman" w:eastAsia="等线" w:cs="Times New Roman"/>
          <w:b/>
          <w:bCs/>
          <w:sz w:val="24"/>
          <w:szCs w:val="24"/>
        </w:rPr>
        <w:t>13</w:t>
      </w:r>
      <w:r>
        <w:rPr>
          <w:rFonts w:ascii="Times New Roman" w:hAnsi="Times New Roman" w:eastAsia="等线" w:cs="Times New Roman"/>
          <w:b/>
          <w:bCs/>
          <w:sz w:val="24"/>
          <w:szCs w:val="24"/>
        </w:rPr>
        <w:t xml:space="preserve">. </w:t>
      </w:r>
      <w:r>
        <w:rPr>
          <w:rFonts w:ascii="Times New Roman" w:hAnsi="Times New Roman" w:eastAsia="等线" w:cs="Times New Roman"/>
          <w:b/>
          <w:sz w:val="24"/>
          <w:szCs w:val="24"/>
        </w:rPr>
        <w:t>Radial distribution function (RDF) evolution</w:t>
      </w:r>
      <w:r>
        <w:rPr>
          <w:rFonts w:hint="eastAsia" w:ascii="Times New Roman" w:hAnsi="Times New Roman" w:eastAsia="等线" w:cs="Times New Roman"/>
          <w:b/>
          <w:sz w:val="24"/>
          <w:szCs w:val="24"/>
        </w:rPr>
        <w:t xml:space="preserve"> of GeSe under compressive strain</w:t>
      </w:r>
      <w:r>
        <w:rPr>
          <w:rFonts w:ascii="Times New Roman" w:hAnsi="Times New Roman" w:eastAsia="等线" w:cs="Times New Roman"/>
          <w:b/>
          <w:sz w:val="24"/>
          <w:szCs w:val="24"/>
        </w:rPr>
        <w:t xml:space="preserve">. </w:t>
      </w:r>
      <w:bookmarkStart w:id="46" w:name="OLE_LINK20"/>
      <w:r>
        <w:rPr>
          <w:rFonts w:hint="eastAsia" w:ascii="Times New Roman" w:hAnsi="Times New Roman" w:eastAsia="等线" w:cs="Times New Roman"/>
          <w:sz w:val="24"/>
          <w:szCs w:val="24"/>
        </w:rPr>
        <w:t>Top panel:</w:t>
      </w:r>
      <w:bookmarkEnd w:id="46"/>
      <w:r>
        <w:rPr>
          <w:rFonts w:hint="eastAsia" w:ascii="Times New Roman" w:hAnsi="Times New Roman" w:eastAsia="等线" w:cs="Times New Roman"/>
          <w:sz w:val="24"/>
          <w:szCs w:val="24"/>
        </w:rPr>
        <w:t xml:space="preserve"> </w:t>
      </w:r>
      <w:r>
        <w:rPr>
          <w:rFonts w:ascii="Times New Roman" w:hAnsi="Times New Roman" w:eastAsia="等线" w:cs="Times New Roman"/>
          <w:sz w:val="24"/>
          <w:szCs w:val="24"/>
        </w:rPr>
        <w:t>Intensity heatmap of g(r) across the strain range.</w:t>
      </w:r>
      <w:r>
        <w:rPr>
          <w:rFonts w:hint="eastAsia" w:ascii="Times New Roman" w:hAnsi="Times New Roman" w:eastAsia="等线" w:cs="Times New Roman"/>
          <w:sz w:val="24"/>
          <w:szCs w:val="24"/>
        </w:rPr>
        <w:t xml:space="preserve"> Bottom panel: S</w:t>
      </w:r>
      <w:r>
        <w:rPr>
          <w:rFonts w:ascii="Times New Roman" w:hAnsi="Times New Roman" w:eastAsia="等线" w:cs="Times New Roman"/>
          <w:sz w:val="24"/>
          <w:szCs w:val="24"/>
        </w:rPr>
        <w:t>elective line profiles at strain</w:t>
      </w:r>
      <w:r>
        <w:rPr>
          <w:rFonts w:hint="eastAsia" w:ascii="Times New Roman" w:hAnsi="Times New Roman" w:eastAsia="等线" w:cs="Times New Roman"/>
          <w:sz w:val="24"/>
          <w:szCs w:val="24"/>
        </w:rPr>
        <w:t xml:space="preserve"> of </w:t>
      </w:r>
      <w:r>
        <w:rPr>
          <w:rFonts w:ascii="Times New Roman" w:hAnsi="Times New Roman" w:eastAsia="等线" w:cs="Times New Roman"/>
          <w:sz w:val="24"/>
          <w:szCs w:val="24"/>
        </w:rPr>
        <w:t>0</w:t>
      </w:r>
      <w:r>
        <w:rPr>
          <w:rFonts w:hint="eastAsia" w:ascii="Times New Roman" w:hAnsi="Times New Roman" w:eastAsia="等线" w:cs="Times New Roman"/>
          <w:sz w:val="24"/>
          <w:szCs w:val="24"/>
        </w:rPr>
        <w:t>.0</w:t>
      </w:r>
      <w:r>
        <w:rPr>
          <w:rFonts w:ascii="Times New Roman" w:hAnsi="Times New Roman" w:eastAsia="等线" w:cs="Times New Roman"/>
          <w:sz w:val="24"/>
          <w:szCs w:val="24"/>
        </w:rPr>
        <w:t>%, 9</w:t>
      </w:r>
      <w:r>
        <w:rPr>
          <w:rFonts w:hint="eastAsia" w:ascii="Times New Roman" w:hAnsi="Times New Roman" w:eastAsia="等线" w:cs="Times New Roman"/>
          <w:sz w:val="24"/>
          <w:szCs w:val="24"/>
        </w:rPr>
        <w:t>.0</w:t>
      </w:r>
      <w:r>
        <w:rPr>
          <w:rFonts w:ascii="Times New Roman" w:hAnsi="Times New Roman" w:eastAsia="等线" w:cs="Times New Roman"/>
          <w:sz w:val="24"/>
          <w:szCs w:val="24"/>
        </w:rPr>
        <w:t>%, and 10</w:t>
      </w:r>
      <w:r>
        <w:rPr>
          <w:rFonts w:hint="eastAsia" w:ascii="Times New Roman" w:hAnsi="Times New Roman" w:eastAsia="等线" w:cs="Times New Roman"/>
          <w:sz w:val="24"/>
          <w:szCs w:val="24"/>
        </w:rPr>
        <w:t>.0</w:t>
      </w:r>
      <w:r>
        <w:rPr>
          <w:rFonts w:ascii="Times New Roman" w:hAnsi="Times New Roman" w:eastAsia="等线" w:cs="Times New Roman"/>
          <w:sz w:val="24"/>
          <w:szCs w:val="24"/>
        </w:rPr>
        <w:t>%.</w:t>
      </w:r>
    </w:p>
    <w:p w14:paraId="5ADD41DF">
      <w:pPr>
        <w:widowControl/>
        <w:spacing w:line="360" w:lineRule="auto"/>
        <w:rPr>
          <w:rFonts w:ascii="Times New Roman" w:hAnsi="Times New Roman" w:eastAsia="等线" w:cs="Times New Roman"/>
          <w:sz w:val="24"/>
          <w:szCs w:val="24"/>
        </w:rPr>
      </w:pPr>
      <w:r>
        <w:drawing>
          <wp:inline distT="0" distB="0" distL="0" distR="0">
            <wp:extent cx="5671185" cy="4358005"/>
            <wp:effectExtent l="0" t="0" r="5715" b="4445"/>
            <wp:docPr id="3230963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096385" name="图片 1"/>
                    <pic:cNvPicPr>
                      <a:picLocks noChangeAspect="1" noChangeArrowheads="1"/>
                    </pic:cNvPicPr>
                  </pic:nvPicPr>
                  <pic:blipFill>
                    <a:blip r:embed="rId19">
                      <a:extLst>
                        <a:ext uri="{28A0092B-C50C-407E-A947-70E740481C1C}">
                          <a14:useLocalDpi xmlns:a14="http://schemas.microsoft.com/office/drawing/2010/main" val="0"/>
                        </a:ext>
                      </a:extLst>
                    </a:blip>
                    <a:srcRect l="3667" t="9424" r="974" b="28538"/>
                    <a:stretch>
                      <a:fillRect/>
                    </a:stretch>
                  </pic:blipFill>
                  <pic:spPr>
                    <a:xfrm>
                      <a:off x="0" y="0"/>
                      <a:ext cx="5680369" cy="4364945"/>
                    </a:xfrm>
                    <a:prstGeom prst="rect">
                      <a:avLst/>
                    </a:prstGeom>
                    <a:noFill/>
                    <a:ln>
                      <a:noFill/>
                    </a:ln>
                  </pic:spPr>
                </pic:pic>
              </a:graphicData>
            </a:graphic>
          </wp:inline>
        </w:drawing>
      </w:r>
    </w:p>
    <w:p w14:paraId="7534F10F">
      <w:pPr>
        <w:widowControl/>
        <w:spacing w:line="360" w:lineRule="auto"/>
        <w:rPr>
          <w:rFonts w:ascii="Times New Roman" w:hAnsi="Times New Roman" w:eastAsia="等线" w:cs="Times New Roman"/>
          <w:sz w:val="24"/>
          <w:szCs w:val="24"/>
        </w:rPr>
      </w:pPr>
      <w:r>
        <w:rPr>
          <w:rFonts w:ascii="Times New Roman" w:hAnsi="Times New Roman" w:eastAsia="等线" w:cs="Times New Roman"/>
          <w:b/>
          <w:bCs/>
          <w:sz w:val="24"/>
          <w:szCs w:val="24"/>
        </w:rPr>
        <w:t xml:space="preserve">Supplementary Figure </w:t>
      </w:r>
      <w:r>
        <w:rPr>
          <w:rFonts w:hint="eastAsia" w:ascii="Times New Roman" w:hAnsi="Times New Roman" w:eastAsia="等线" w:cs="Times New Roman"/>
          <w:b/>
          <w:bCs/>
          <w:sz w:val="24"/>
          <w:szCs w:val="24"/>
        </w:rPr>
        <w:t>14</w:t>
      </w:r>
      <w:r>
        <w:rPr>
          <w:rFonts w:ascii="Times New Roman" w:hAnsi="Times New Roman" w:eastAsia="等线" w:cs="Times New Roman"/>
          <w:b/>
          <w:bCs/>
          <w:sz w:val="24"/>
          <w:szCs w:val="24"/>
        </w:rPr>
        <w:t>.</w:t>
      </w:r>
      <w:r>
        <w:rPr>
          <w:rFonts w:ascii="Times New Roman" w:hAnsi="Times New Roman" w:eastAsia="等线" w:cs="Times New Roman"/>
          <w:b/>
          <w:sz w:val="24"/>
          <w:szCs w:val="24"/>
        </w:rPr>
        <w:t xml:space="preserve"> Real-space visualization of the </w:t>
      </w:r>
      <w:bookmarkStart w:id="47" w:name="OLE_LINK62"/>
      <w:r>
        <w:rPr>
          <w:rFonts w:ascii="Times New Roman" w:hAnsi="Times New Roman" w:eastAsia="等线" w:cs="Times New Roman"/>
          <w:b/>
          <w:sz w:val="24"/>
          <w:szCs w:val="24"/>
        </w:rPr>
        <w:t>shear-mediated mechanism</w:t>
      </w:r>
      <w:r>
        <w:rPr>
          <w:rFonts w:hint="eastAsia" w:ascii="Times New Roman" w:hAnsi="Times New Roman" w:eastAsia="等线" w:cs="Times New Roman"/>
          <w:b/>
          <w:sz w:val="24"/>
          <w:szCs w:val="24"/>
        </w:rPr>
        <w:t xml:space="preserve"> for chair-boat transition</w:t>
      </w:r>
      <w:bookmarkEnd w:id="47"/>
      <w:r>
        <w:rPr>
          <w:rFonts w:ascii="Times New Roman" w:hAnsi="Times New Roman" w:eastAsia="等线" w:cs="Times New Roman"/>
          <w:b/>
          <w:sz w:val="24"/>
          <w:szCs w:val="24"/>
        </w:rPr>
        <w:t xml:space="preserve">. </w:t>
      </w:r>
      <w:r>
        <w:rPr>
          <w:rFonts w:ascii="Times New Roman" w:hAnsi="Times New Roman" w:eastAsia="等线" w:cs="Times New Roman"/>
          <w:b/>
          <w:bCs/>
          <w:sz w:val="24"/>
          <w:szCs w:val="24"/>
        </w:rPr>
        <w:t>a</w:t>
      </w:r>
      <w:r>
        <w:rPr>
          <w:rFonts w:hint="eastAsia" w:ascii="Times New Roman" w:hAnsi="Times New Roman" w:eastAsia="等线" w:cs="Times New Roman"/>
          <w:sz w:val="24"/>
          <w:szCs w:val="24"/>
        </w:rPr>
        <w:t>,</w:t>
      </w:r>
      <w:r>
        <w:rPr>
          <w:rFonts w:ascii="Times New Roman" w:hAnsi="Times New Roman" w:eastAsia="等线" w:cs="Times New Roman"/>
          <w:sz w:val="24"/>
          <w:szCs w:val="24"/>
        </w:rPr>
        <w:t xml:space="preserve"> Atomic snapshots </w:t>
      </w:r>
      <w:r>
        <w:rPr>
          <w:rFonts w:hint="eastAsia" w:ascii="Times New Roman" w:hAnsi="Times New Roman" w:eastAsia="等线" w:cs="Times New Roman"/>
          <w:sz w:val="24"/>
          <w:szCs w:val="24"/>
        </w:rPr>
        <w:t>at strain of 0.0%, 5.0%, 9.7%, 9.8% and 10.0%. L</w:t>
      </w:r>
      <w:r>
        <w:rPr>
          <w:rFonts w:ascii="Times New Roman" w:hAnsi="Times New Roman" w:eastAsia="等线" w:cs="Times New Roman"/>
          <w:sz w:val="24"/>
          <w:szCs w:val="24"/>
        </w:rPr>
        <w:t>attice tilt</w:t>
      </w:r>
      <w:r>
        <w:rPr>
          <w:rFonts w:hint="eastAsia" w:ascii="Times New Roman" w:hAnsi="Times New Roman" w:eastAsia="等线" w:cs="Times New Roman"/>
          <w:sz w:val="24"/>
          <w:szCs w:val="24"/>
        </w:rPr>
        <w:t xml:space="preserve"> when strain is over 9.7%</w:t>
      </w:r>
      <w:r>
        <w:rPr>
          <w:rFonts w:ascii="Times New Roman" w:hAnsi="Times New Roman" w:eastAsia="等线" w:cs="Times New Roman"/>
          <w:sz w:val="24"/>
          <w:szCs w:val="24"/>
        </w:rPr>
        <w:t xml:space="preserve">. </w:t>
      </w:r>
      <w:r>
        <w:rPr>
          <w:rFonts w:ascii="Times New Roman" w:hAnsi="Times New Roman" w:eastAsia="等线" w:cs="Times New Roman"/>
          <w:b/>
          <w:bCs/>
          <w:sz w:val="24"/>
          <w:szCs w:val="24"/>
        </w:rPr>
        <w:t>b</w:t>
      </w:r>
      <w:r>
        <w:rPr>
          <w:rFonts w:hint="eastAsia" w:ascii="Times New Roman" w:hAnsi="Times New Roman" w:eastAsia="等线" w:cs="Times New Roman"/>
          <w:sz w:val="24"/>
          <w:szCs w:val="24"/>
        </w:rPr>
        <w:t>,</w:t>
      </w:r>
      <w:r>
        <w:rPr>
          <w:rFonts w:ascii="Times New Roman" w:hAnsi="Times New Roman" w:eastAsia="等线" w:cs="Times New Roman"/>
          <w:sz w:val="24"/>
          <w:szCs w:val="24"/>
        </w:rPr>
        <w:t xml:space="preserve"> Local shear strain (YZ) mapping revealing localized deformation bands</w:t>
      </w:r>
      <w:r>
        <w:rPr>
          <w:rFonts w:hint="eastAsia" w:ascii="Times New Roman" w:hAnsi="Times New Roman" w:eastAsia="等线" w:cs="Times New Roman"/>
          <w:sz w:val="24"/>
          <w:szCs w:val="24"/>
        </w:rPr>
        <w:t xml:space="preserve"> when strain is over 9.7%</w:t>
      </w:r>
      <w:r>
        <w:rPr>
          <w:rFonts w:ascii="Times New Roman" w:hAnsi="Times New Roman" w:eastAsia="等线" w:cs="Times New Roman"/>
          <w:sz w:val="24"/>
          <w:szCs w:val="24"/>
        </w:rPr>
        <w:t>.</w:t>
      </w:r>
    </w:p>
    <w:p w14:paraId="1E4CB590">
      <w:pPr>
        <w:widowControl/>
        <w:spacing w:line="360" w:lineRule="auto"/>
        <w:rPr>
          <w:rFonts w:ascii="Times New Roman" w:hAnsi="Times New Roman" w:eastAsia="等线" w:cs="Times New Roman"/>
          <w:sz w:val="24"/>
          <w:szCs w:val="24"/>
        </w:rPr>
      </w:pPr>
    </w:p>
    <w:p w14:paraId="719A3013">
      <w:pPr>
        <w:widowControl/>
        <w:jc w:val="left"/>
        <w:rPr>
          <w:rFonts w:ascii="Times New Roman" w:hAnsi="Times New Roman" w:eastAsia="等线" w:cs="Times New Roman"/>
          <w:sz w:val="24"/>
          <w:szCs w:val="24"/>
        </w:rPr>
      </w:pPr>
      <w:r>
        <w:rPr>
          <w:rFonts w:ascii="Times New Roman" w:hAnsi="Times New Roman" w:eastAsia="等线" w:cs="Times New Roman"/>
          <w:sz w:val="24"/>
          <w:szCs w:val="24"/>
        </w:rPr>
        <w:br w:type="page"/>
      </w:r>
    </w:p>
    <w:bookmarkEnd w:id="27"/>
    <w:p w14:paraId="0F1D446A">
      <w:pPr>
        <w:spacing w:after="156" w:afterLines="50" w:line="360" w:lineRule="auto"/>
        <w:rPr>
          <w:rFonts w:ascii="Times New Roman" w:hAnsi="Times New Roman" w:cs="Times New Roman"/>
          <w:bCs/>
          <w:sz w:val="24"/>
          <w:szCs w:val="24"/>
        </w:rPr>
      </w:pPr>
      <w:r>
        <w:rPr>
          <w:rFonts w:ascii="Times New Roman" w:hAnsi="Times New Roman" w:cs="Times New Roman"/>
          <w:bCs/>
          <w:sz w:val="24"/>
          <w:szCs w:val="24"/>
        </w:rPr>
        <w:t>T</w:t>
      </w:r>
      <w:bookmarkStart w:id="48" w:name="_Hlk168433695"/>
      <w:r>
        <w:rPr>
          <w:rFonts w:ascii="Times New Roman" w:hAnsi="Times New Roman" w:cs="Times New Roman"/>
          <w:bCs/>
          <w:sz w:val="24"/>
          <w:szCs w:val="24"/>
        </w:rPr>
        <w:t xml:space="preserve">o deep understand the α- to β-GeSe phase transition, we performed </w:t>
      </w:r>
      <w:r>
        <w:rPr>
          <w:rFonts w:hint="eastAsia" w:ascii="Times New Roman" w:hAnsi="Times New Roman" w:cs="Times New Roman"/>
          <w:bCs/>
          <w:sz w:val="24"/>
          <w:szCs w:val="24"/>
        </w:rPr>
        <w:t xml:space="preserve">machine learning force field molecular dynamics (MLFF-MD) simulations on nanopillar </w:t>
      </w:r>
      <w:r>
        <w:rPr>
          <w:rFonts w:ascii="Times New Roman" w:hAnsi="Times New Roman" w:cs="Times New Roman"/>
          <w:bCs/>
          <w:sz w:val="24"/>
          <w:szCs w:val="24"/>
        </w:rPr>
        <w:t>α</w:t>
      </w:r>
      <w:r>
        <w:rPr>
          <w:rFonts w:hint="eastAsia" w:ascii="Times New Roman" w:hAnsi="Times New Roman" w:cs="Times New Roman"/>
          <w:bCs/>
          <w:sz w:val="24"/>
          <w:szCs w:val="24"/>
        </w:rPr>
        <w:t xml:space="preserve">-GeSe under out-of-plane compression strain </w:t>
      </w:r>
      <w:r>
        <w:rPr>
          <w:rFonts w:ascii="Times New Roman" w:hAnsi="Times New Roman" w:cs="Times New Roman"/>
          <w:bCs/>
          <w:sz w:val="24"/>
          <w:szCs w:val="24"/>
        </w:rPr>
        <w:t xml:space="preserve">to </w:t>
      </w:r>
      <w:r>
        <w:rPr>
          <w:rFonts w:ascii="Times New Roman" w:hAnsi="Times New Roman" w:eastAsia="等线" w:cs="Times New Roman"/>
          <w:bCs/>
          <w:sz w:val="24"/>
          <w:szCs w:val="24"/>
        </w:rPr>
        <w:t>simulate</w:t>
      </w:r>
      <w:r>
        <w:rPr>
          <w:rFonts w:ascii="Times New Roman" w:hAnsi="Times New Roman" w:cs="Times New Roman"/>
          <w:bCs/>
          <w:sz w:val="24"/>
          <w:szCs w:val="24"/>
        </w:rPr>
        <w:t xml:space="preserve"> the chair-to-boat conformation transition process</w:t>
      </w:r>
      <w:r>
        <w:rPr>
          <w:rFonts w:ascii="Times New Roman" w:hAnsi="Times New Roman" w:eastAsia="等线" w:cs="Times New Roman"/>
          <w:bCs/>
          <w:sz w:val="24"/>
          <w:szCs w:val="24"/>
        </w:rPr>
        <w:t>, as shown</w:t>
      </w:r>
      <w:r>
        <w:rPr>
          <w:rFonts w:ascii="Times New Roman" w:hAnsi="Times New Roman" w:cs="Times New Roman"/>
          <w:bCs/>
          <w:sz w:val="24"/>
          <w:szCs w:val="24"/>
        </w:rPr>
        <w:t xml:space="preserve"> in Fig. 3 in </w:t>
      </w:r>
      <w:r>
        <w:rPr>
          <w:rFonts w:ascii="Times New Roman" w:hAnsi="Times New Roman" w:eastAsia="等线" w:cs="Times New Roman"/>
          <w:bCs/>
          <w:sz w:val="24"/>
          <w:szCs w:val="24"/>
        </w:rPr>
        <w:t xml:space="preserve">the </w:t>
      </w:r>
      <w:r>
        <w:rPr>
          <w:rFonts w:ascii="Times New Roman" w:hAnsi="Times New Roman" w:cs="Times New Roman"/>
          <w:bCs/>
          <w:sz w:val="24"/>
          <w:szCs w:val="24"/>
        </w:rPr>
        <w:t>main text. Here</w:t>
      </w:r>
      <w:r>
        <w:rPr>
          <w:rFonts w:ascii="Times New Roman" w:hAnsi="Times New Roman" w:eastAsia="等线" w:cs="Times New Roman"/>
          <w:bCs/>
          <w:sz w:val="24"/>
          <w:szCs w:val="24"/>
        </w:rPr>
        <w:t>,</w:t>
      </w:r>
      <w:r>
        <w:rPr>
          <w:rFonts w:ascii="Times New Roman" w:hAnsi="Times New Roman" w:cs="Times New Roman"/>
          <w:bCs/>
          <w:sz w:val="24"/>
          <w:szCs w:val="24"/>
        </w:rPr>
        <w:t xml:space="preserve"> we </w:t>
      </w:r>
      <w:r>
        <w:rPr>
          <w:rFonts w:ascii="Times New Roman" w:hAnsi="Times New Roman" w:eastAsia="等线" w:cs="Times New Roman"/>
          <w:bCs/>
          <w:sz w:val="24"/>
          <w:szCs w:val="24"/>
        </w:rPr>
        <w:t>provide</w:t>
      </w:r>
      <w:r>
        <w:rPr>
          <w:rFonts w:ascii="Times New Roman" w:hAnsi="Times New Roman" w:cs="Times New Roman"/>
          <w:bCs/>
          <w:sz w:val="24"/>
          <w:szCs w:val="24"/>
        </w:rPr>
        <w:t xml:space="preserve"> more details about the transition process of GeSe. </w:t>
      </w:r>
      <w:bookmarkEnd w:id="48"/>
      <w:r>
        <w:rPr>
          <w:rFonts w:ascii="Times New Roman" w:hAnsi="Times New Roman" w:cs="Times New Roman"/>
          <w:bCs/>
          <w:sz w:val="24"/>
          <w:szCs w:val="24"/>
        </w:rPr>
        <w:t xml:space="preserve">Under uniaxial compression along the </w:t>
      </w:r>
      <w:r>
        <w:rPr>
          <w:rFonts w:hint="eastAsia" w:ascii="Times New Roman" w:hAnsi="Times New Roman" w:cs="Times New Roman"/>
          <w:bCs/>
          <w:sz w:val="24"/>
          <w:szCs w:val="24"/>
        </w:rPr>
        <w:t xml:space="preserve">[001] </w:t>
      </w:r>
      <w:r>
        <w:rPr>
          <w:rFonts w:ascii="Times New Roman" w:hAnsi="Times New Roman" w:cs="Times New Roman"/>
          <w:bCs/>
          <w:sz w:val="24"/>
          <w:szCs w:val="24"/>
        </w:rPr>
        <w:t>direction, the α-GeSe nanopillar exhibits a distinct mechanical response governed by a sequential structural transformation. As shown in the stress-strain relationship (Supplementary Fig</w:t>
      </w:r>
      <w:r>
        <w:rPr>
          <w:rFonts w:hint="eastAsia" w:ascii="Times New Roman" w:hAnsi="Times New Roman" w:cs="Times New Roman"/>
          <w:bCs/>
          <w:sz w:val="24"/>
          <w:szCs w:val="24"/>
        </w:rPr>
        <w:t>.</w:t>
      </w:r>
      <w:r>
        <w:rPr>
          <w:rFonts w:ascii="Times New Roman" w:hAnsi="Times New Roman" w:cs="Times New Roman"/>
          <w:bCs/>
          <w:sz w:val="24"/>
          <w:szCs w:val="24"/>
        </w:rPr>
        <w:t xml:space="preserve"> </w:t>
      </w:r>
      <w:r>
        <w:rPr>
          <w:rFonts w:hint="eastAsia" w:ascii="Times New Roman" w:hAnsi="Times New Roman" w:cs="Times New Roman"/>
          <w:bCs/>
          <w:sz w:val="24"/>
          <w:szCs w:val="24"/>
        </w:rPr>
        <w:t>15</w:t>
      </w:r>
      <w:r>
        <w:rPr>
          <w:rFonts w:ascii="Times New Roman" w:hAnsi="Times New Roman" w:cs="Times New Roman"/>
          <w:bCs/>
          <w:sz w:val="24"/>
          <w:szCs w:val="24"/>
        </w:rPr>
        <w:t>h), the stress increases linearly during the initial elastic regime but undergoes an abrupt stress-relaxation (drop) at a critical compressive strain of approximately 8%. This mechanical instability marks the incipient phase transformation from the initial α-GeSe (chair conformation) to β-phase (boat conformation), as confirmed by the localized atomic structural evolution (Supplementary Fig</w:t>
      </w:r>
      <w:r>
        <w:rPr>
          <w:rFonts w:hint="eastAsia" w:ascii="Times New Roman" w:hAnsi="Times New Roman" w:cs="Times New Roman"/>
          <w:bCs/>
          <w:sz w:val="24"/>
          <w:szCs w:val="24"/>
        </w:rPr>
        <w:t>.</w:t>
      </w:r>
      <w:r>
        <w:rPr>
          <w:rFonts w:ascii="Times New Roman" w:hAnsi="Times New Roman" w:cs="Times New Roman"/>
          <w:bCs/>
          <w:sz w:val="24"/>
          <w:szCs w:val="24"/>
        </w:rPr>
        <w:t xml:space="preserve"> </w:t>
      </w:r>
      <w:r>
        <w:rPr>
          <w:rFonts w:hint="eastAsia" w:ascii="Times New Roman" w:hAnsi="Times New Roman" w:cs="Times New Roman"/>
          <w:bCs/>
          <w:sz w:val="24"/>
          <w:szCs w:val="24"/>
        </w:rPr>
        <w:t>15</w:t>
      </w:r>
      <w:r>
        <w:rPr>
          <w:rFonts w:ascii="Times New Roman" w:hAnsi="Times New Roman" w:cs="Times New Roman"/>
          <w:bCs/>
          <w:sz w:val="24"/>
          <w:szCs w:val="24"/>
        </w:rPr>
        <w:t>a,b). Upon subsequent loading, the transformed β-phase region propagates steadily along the nanopillar axis (Supplementary Fig</w:t>
      </w:r>
      <w:r>
        <w:rPr>
          <w:rFonts w:hint="eastAsia" w:ascii="Times New Roman" w:hAnsi="Times New Roman" w:cs="Times New Roman"/>
          <w:bCs/>
          <w:sz w:val="24"/>
          <w:szCs w:val="24"/>
        </w:rPr>
        <w:t>.</w:t>
      </w:r>
      <w:r>
        <w:rPr>
          <w:rFonts w:ascii="Times New Roman" w:hAnsi="Times New Roman" w:cs="Times New Roman"/>
          <w:bCs/>
          <w:sz w:val="24"/>
          <w:szCs w:val="24"/>
        </w:rPr>
        <w:t xml:space="preserve"> </w:t>
      </w:r>
      <w:r>
        <w:rPr>
          <w:rFonts w:hint="eastAsia" w:ascii="Times New Roman" w:hAnsi="Times New Roman" w:cs="Times New Roman"/>
          <w:bCs/>
          <w:sz w:val="24"/>
          <w:szCs w:val="24"/>
        </w:rPr>
        <w:t>15</w:t>
      </w:r>
      <w:r>
        <w:rPr>
          <w:rFonts w:ascii="Times New Roman" w:hAnsi="Times New Roman" w:cs="Times New Roman"/>
          <w:bCs/>
          <w:sz w:val="24"/>
          <w:szCs w:val="24"/>
        </w:rPr>
        <w:t>c-f), resulting in a plateau-like stress response with minor fluctuations (Supplementary Fig</w:t>
      </w:r>
      <w:r>
        <w:rPr>
          <w:rFonts w:hint="eastAsia" w:ascii="Times New Roman" w:hAnsi="Times New Roman" w:cs="Times New Roman"/>
          <w:bCs/>
          <w:sz w:val="24"/>
          <w:szCs w:val="24"/>
        </w:rPr>
        <w:t>.</w:t>
      </w:r>
      <w:r>
        <w:rPr>
          <w:rFonts w:ascii="Times New Roman" w:hAnsi="Times New Roman" w:cs="Times New Roman"/>
          <w:bCs/>
          <w:sz w:val="24"/>
          <w:szCs w:val="24"/>
        </w:rPr>
        <w:t xml:space="preserve"> </w:t>
      </w:r>
      <w:r>
        <w:rPr>
          <w:rFonts w:hint="eastAsia" w:ascii="Times New Roman" w:hAnsi="Times New Roman" w:cs="Times New Roman"/>
          <w:bCs/>
          <w:sz w:val="24"/>
          <w:szCs w:val="24"/>
        </w:rPr>
        <w:t>15</w:t>
      </w:r>
      <w:r>
        <w:rPr>
          <w:rFonts w:ascii="Times New Roman" w:hAnsi="Times New Roman" w:cs="Times New Roman"/>
          <w:bCs/>
          <w:sz w:val="24"/>
          <w:szCs w:val="24"/>
        </w:rPr>
        <w:t>h). Beyond a threshold strain of 50%, the stress rises monotonically, signaling the onset of strain-induced amorphization. This transition is characterized by the total collapse of long-range order and the formation of a disordered network (Supplementary Fig</w:t>
      </w:r>
      <w:r>
        <w:rPr>
          <w:rFonts w:hint="eastAsia" w:ascii="Times New Roman" w:hAnsi="Times New Roman" w:cs="Times New Roman"/>
          <w:bCs/>
          <w:sz w:val="24"/>
          <w:szCs w:val="24"/>
        </w:rPr>
        <w:t>.</w:t>
      </w:r>
      <w:r>
        <w:rPr>
          <w:rFonts w:ascii="Times New Roman" w:hAnsi="Times New Roman" w:cs="Times New Roman"/>
          <w:bCs/>
          <w:sz w:val="24"/>
          <w:szCs w:val="24"/>
        </w:rPr>
        <w:t xml:space="preserve"> </w:t>
      </w:r>
      <w:r>
        <w:rPr>
          <w:rFonts w:hint="eastAsia" w:ascii="Times New Roman" w:hAnsi="Times New Roman" w:cs="Times New Roman"/>
          <w:bCs/>
          <w:sz w:val="24"/>
          <w:szCs w:val="24"/>
        </w:rPr>
        <w:t>15</w:t>
      </w:r>
      <w:r>
        <w:rPr>
          <w:rFonts w:ascii="Times New Roman" w:hAnsi="Times New Roman" w:cs="Times New Roman"/>
          <w:bCs/>
          <w:sz w:val="24"/>
          <w:szCs w:val="24"/>
        </w:rPr>
        <w:t>g). Notably, the mechanical deformation exhibits significant in-plane anisotropy during the α-to-β transition; due to the anisotropic Young’s modulus of the crystalline phase, the lateral expansion along the</w:t>
      </w:r>
      <w:r>
        <w:rPr>
          <w:rFonts w:hint="eastAsia" w:ascii="Times New Roman" w:hAnsi="Times New Roman" w:cs="Times New Roman"/>
          <w:bCs/>
          <w:sz w:val="24"/>
          <w:szCs w:val="24"/>
        </w:rPr>
        <w:t xml:space="preserve"> [100]</w:t>
      </w:r>
      <w:r>
        <w:rPr>
          <w:rFonts w:ascii="Times New Roman" w:hAnsi="Times New Roman" w:cs="Times New Roman"/>
          <w:bCs/>
          <w:sz w:val="24"/>
          <w:szCs w:val="24"/>
        </w:rPr>
        <w:t xml:space="preserve"> direction is substantially smaller than that along the </w:t>
      </w:r>
      <w:r>
        <w:rPr>
          <w:rFonts w:hint="eastAsia" w:ascii="Times New Roman" w:hAnsi="Times New Roman" w:cs="Times New Roman"/>
          <w:bCs/>
          <w:sz w:val="24"/>
          <w:szCs w:val="24"/>
        </w:rPr>
        <w:t>[010]</w:t>
      </w:r>
      <w:r>
        <w:rPr>
          <w:rFonts w:ascii="Times New Roman" w:hAnsi="Times New Roman" w:cs="Times New Roman"/>
          <w:bCs/>
          <w:sz w:val="24"/>
          <w:szCs w:val="24"/>
        </w:rPr>
        <w:t xml:space="preserve"> direction (Supplementary Fig</w:t>
      </w:r>
      <w:r>
        <w:rPr>
          <w:rFonts w:hint="eastAsia" w:ascii="Times New Roman" w:hAnsi="Times New Roman" w:cs="Times New Roman"/>
          <w:bCs/>
          <w:sz w:val="24"/>
          <w:szCs w:val="24"/>
        </w:rPr>
        <w:t>.</w:t>
      </w:r>
      <w:r>
        <w:rPr>
          <w:rFonts w:ascii="Times New Roman" w:hAnsi="Times New Roman" w:cs="Times New Roman"/>
          <w:bCs/>
          <w:sz w:val="24"/>
          <w:szCs w:val="24"/>
        </w:rPr>
        <w:t xml:space="preserve"> </w:t>
      </w:r>
      <w:r>
        <w:rPr>
          <w:rFonts w:hint="eastAsia" w:ascii="Times New Roman" w:hAnsi="Times New Roman" w:cs="Times New Roman"/>
          <w:bCs/>
          <w:sz w:val="24"/>
          <w:szCs w:val="24"/>
        </w:rPr>
        <w:t>15</w:t>
      </w:r>
      <w:r>
        <w:rPr>
          <w:rFonts w:ascii="Times New Roman" w:hAnsi="Times New Roman" w:cs="Times New Roman"/>
          <w:bCs/>
          <w:sz w:val="24"/>
          <w:szCs w:val="24"/>
        </w:rPr>
        <w:t>a-f). However, as the system enters the fully amorphous regime (&gt;50% strain), the deformation mode shifts from anisotropic to isotropic, reflecting the loss of lattice-directionality. Furthermore, our analysis indicates that the phase transformation is an intrinsic bulk property, as the presence of an amorphous surface layer on the nanopillar exerts negligible influence on the α-to-β transition pathway.</w:t>
      </w:r>
    </w:p>
    <w:p w14:paraId="6C2C16B7">
      <w:pPr>
        <w:spacing w:after="156" w:afterLines="50" w:line="360" w:lineRule="auto"/>
        <w:rPr>
          <w:rFonts w:ascii="Times New Roman" w:hAnsi="Times New Roman" w:cs="Times New Roman"/>
          <w:bCs/>
          <w:sz w:val="24"/>
          <w:szCs w:val="24"/>
        </w:rPr>
      </w:pPr>
      <w:r>
        <w:rPr>
          <w:rFonts w:hint="eastAsia" w:ascii="Times New Roman" w:hAnsi="Times New Roman" w:cs="Times New Roman"/>
          <w:bCs/>
          <w:sz w:val="24"/>
          <w:szCs w:val="24"/>
        </w:rPr>
        <w:t xml:space="preserve"> </w:t>
      </w:r>
      <w:r>
        <w:rPr>
          <w:rFonts w:ascii="Times New Roman" w:hAnsi="Times New Roman" w:cs="Times New Roman"/>
          <w:bCs/>
          <w:sz w:val="24"/>
          <w:szCs w:val="24"/>
        </w:rPr>
        <w:drawing>
          <wp:inline distT="0" distB="0" distL="0" distR="0">
            <wp:extent cx="5736590" cy="6877050"/>
            <wp:effectExtent l="0" t="0" r="0" b="0"/>
            <wp:docPr id="3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0"/>
                    <pic:cNvPicPr>
                      <a:picLocks noChangeAspect="1"/>
                    </pic:cNvPicPr>
                  </pic:nvPicPr>
                  <pic:blipFill>
                    <a:blip r:embed="rId20"/>
                    <a:srcRect r="24200" b="1081"/>
                    <a:stretch>
                      <a:fillRect/>
                    </a:stretch>
                  </pic:blipFill>
                  <pic:spPr>
                    <a:xfrm>
                      <a:off x="0" y="0"/>
                      <a:ext cx="5751445" cy="6894472"/>
                    </a:xfrm>
                    <a:prstGeom prst="rect">
                      <a:avLst/>
                    </a:prstGeom>
                    <a:ln>
                      <a:noFill/>
                    </a:ln>
                  </pic:spPr>
                </pic:pic>
              </a:graphicData>
            </a:graphic>
          </wp:inline>
        </w:drawing>
      </w:r>
    </w:p>
    <w:p w14:paraId="7270540D">
      <w:pPr>
        <w:spacing w:after="156" w:afterLines="50" w:line="360" w:lineRule="auto"/>
        <w:rPr>
          <w:rFonts w:ascii="Times New Roman" w:hAnsi="Times New Roman" w:cs="Times New Roman"/>
          <w:bCs/>
          <w:sz w:val="24"/>
          <w:szCs w:val="24"/>
        </w:rPr>
      </w:pPr>
      <w:r>
        <w:rPr>
          <w:rFonts w:ascii="Times New Roman" w:hAnsi="Times New Roman" w:eastAsia="等线" w:cs="Times New Roman"/>
          <w:b/>
          <w:bCs/>
          <w:sz w:val="24"/>
          <w:szCs w:val="24"/>
        </w:rPr>
        <w:t xml:space="preserve">Supplementary Figure </w:t>
      </w:r>
      <w:r>
        <w:rPr>
          <w:rFonts w:hint="eastAsia" w:ascii="Times New Roman" w:hAnsi="Times New Roman" w:eastAsia="等线" w:cs="Times New Roman"/>
          <w:b/>
          <w:bCs/>
          <w:sz w:val="24"/>
          <w:szCs w:val="24"/>
        </w:rPr>
        <w:t>15</w:t>
      </w:r>
      <w:r>
        <w:rPr>
          <w:rFonts w:ascii="Times New Roman" w:hAnsi="Times New Roman" w:eastAsia="等线" w:cs="Times New Roman"/>
          <w:b/>
          <w:bCs/>
          <w:sz w:val="24"/>
          <w:szCs w:val="24"/>
        </w:rPr>
        <w:t>.</w:t>
      </w:r>
      <w:r>
        <w:rPr>
          <w:rFonts w:ascii="Times New Roman" w:hAnsi="Times New Roman" w:cs="Times New Roman"/>
          <w:bCs/>
          <w:sz w:val="24"/>
          <w:szCs w:val="24"/>
        </w:rPr>
        <w:t xml:space="preserve"> </w:t>
      </w:r>
      <w:r>
        <w:rPr>
          <w:rFonts w:ascii="Times New Roman" w:hAnsi="Times New Roman" w:cs="Times New Roman"/>
          <w:b/>
          <w:sz w:val="24"/>
          <w:szCs w:val="24"/>
        </w:rPr>
        <w:t>Evolution of the deformation and stress-strain curve of α-GeSe nanopillar under uniaxial compressive strain</w:t>
      </w:r>
      <w:r>
        <w:rPr>
          <w:rFonts w:hint="eastAsia" w:ascii="Times New Roman" w:hAnsi="Times New Roman" w:cs="Times New Roman"/>
          <w:b/>
          <w:sz w:val="24"/>
          <w:szCs w:val="24"/>
        </w:rPr>
        <w:t xml:space="preserve"> along [001] direction</w:t>
      </w:r>
      <w:r>
        <w:rPr>
          <w:rFonts w:ascii="Times New Roman" w:hAnsi="Times New Roman" w:cs="Times New Roman"/>
          <w:b/>
          <w:sz w:val="24"/>
          <w:szCs w:val="24"/>
        </w:rPr>
        <w:t>.</w:t>
      </w:r>
      <w:r>
        <w:rPr>
          <w:rFonts w:ascii="Times New Roman" w:hAnsi="Times New Roman" w:cs="Times New Roman"/>
          <w:bCs/>
          <w:sz w:val="24"/>
          <w:szCs w:val="24"/>
        </w:rPr>
        <w:t xml:space="preserve"> </w:t>
      </w:r>
      <w:r>
        <w:rPr>
          <w:rFonts w:ascii="Times New Roman" w:hAnsi="Times New Roman" w:cs="Times New Roman"/>
          <w:b/>
          <w:sz w:val="24"/>
          <w:szCs w:val="24"/>
        </w:rPr>
        <w:t>a</w:t>
      </w:r>
      <w:r>
        <w:rPr>
          <w:rFonts w:hint="eastAsia" w:ascii="Times New Roman" w:hAnsi="Times New Roman" w:cs="Times New Roman"/>
          <w:bCs/>
          <w:sz w:val="24"/>
          <w:szCs w:val="24"/>
        </w:rPr>
        <w:t>-</w:t>
      </w:r>
      <w:r>
        <w:rPr>
          <w:rFonts w:ascii="Times New Roman" w:hAnsi="Times New Roman" w:cs="Times New Roman"/>
          <w:b/>
          <w:sz w:val="24"/>
          <w:szCs w:val="24"/>
        </w:rPr>
        <w:t>g</w:t>
      </w:r>
      <w:r>
        <w:rPr>
          <w:rFonts w:hint="eastAsia" w:ascii="Times New Roman" w:hAnsi="Times New Roman" w:cs="Times New Roman"/>
          <w:bCs/>
          <w:sz w:val="24"/>
          <w:szCs w:val="24"/>
        </w:rPr>
        <w:t>,</w:t>
      </w:r>
      <w:r>
        <w:rPr>
          <w:rFonts w:ascii="Times New Roman" w:hAnsi="Times New Roman" w:cs="Times New Roman"/>
          <w:bCs/>
          <w:sz w:val="24"/>
          <w:szCs w:val="24"/>
        </w:rPr>
        <w:t xml:space="preserve"> The side views of α-GeSe nanopillar at different strain levels: 0%, 8%, 10%, 15%, 20%, 30%, and 50% respectively. </w:t>
      </w:r>
      <w:r>
        <w:rPr>
          <w:rFonts w:ascii="Times New Roman" w:hAnsi="Times New Roman" w:cs="Times New Roman"/>
          <w:b/>
          <w:sz w:val="24"/>
          <w:szCs w:val="24"/>
        </w:rPr>
        <w:t>h</w:t>
      </w:r>
      <w:r>
        <w:rPr>
          <w:rFonts w:hint="eastAsia" w:ascii="Times New Roman" w:hAnsi="Times New Roman" w:cs="Times New Roman"/>
          <w:bCs/>
          <w:sz w:val="24"/>
          <w:szCs w:val="24"/>
        </w:rPr>
        <w:t>,</w:t>
      </w:r>
      <w:r>
        <w:rPr>
          <w:rFonts w:ascii="Times New Roman" w:hAnsi="Times New Roman" w:cs="Times New Roman"/>
          <w:bCs/>
          <w:sz w:val="24"/>
          <w:szCs w:val="24"/>
        </w:rPr>
        <w:t xml:space="preserve"> The corresponding stress-strain curve.</w:t>
      </w:r>
    </w:p>
    <w:p w14:paraId="26B4117E">
      <w:pPr>
        <w:spacing w:after="156" w:afterLines="50" w:line="360" w:lineRule="auto"/>
        <w:rPr>
          <w:rFonts w:ascii="Times New Roman" w:hAnsi="Times New Roman" w:cs="Times New Roman"/>
          <w:bCs/>
          <w:sz w:val="24"/>
          <w:szCs w:val="24"/>
        </w:rPr>
      </w:pPr>
    </w:p>
    <w:p w14:paraId="5F3B789B">
      <w:pPr>
        <w:pStyle w:val="29"/>
        <w:numPr>
          <w:ilvl w:val="0"/>
          <w:numId w:val="3"/>
        </w:numPr>
        <w:rPr>
          <w:rFonts w:eastAsia="等线"/>
          <w:color w:val="000000"/>
        </w:rPr>
      </w:pPr>
      <w:bookmarkStart w:id="49" w:name="OLE_LINK47"/>
      <w:r>
        <w:rPr>
          <w:rFonts w:eastAsia="等线"/>
          <w:color w:val="000000"/>
        </w:rPr>
        <w:t xml:space="preserve">Lattice bending in GeSe samples with compressing strain along armchair </w:t>
      </w:r>
      <w:r>
        <w:t>direction</w:t>
      </w:r>
    </w:p>
    <w:bookmarkEnd w:id="49"/>
    <w:p w14:paraId="078EAA94">
      <w:pPr>
        <w:spacing w:after="156" w:afterLines="50" w:line="360" w:lineRule="auto"/>
        <w:rPr>
          <w:rFonts w:ascii="Times New Roman" w:hAnsi="Times New Roman" w:eastAsia="宋体" w:cs="Times New Roman"/>
          <w:sz w:val="24"/>
          <w:szCs w:val="24"/>
        </w:rPr>
      </w:pPr>
      <w:r>
        <w:rPr>
          <w:rFonts w:ascii="Times New Roman" w:hAnsi="Times New Roman" w:eastAsia="宋体" w:cs="Times New Roman"/>
          <w:sz w:val="24"/>
          <w:szCs w:val="24"/>
        </w:rPr>
        <w:t>In</w:t>
      </w:r>
      <w:r>
        <w:rPr>
          <w:rFonts w:hint="eastAsia" w:ascii="Times New Roman" w:hAnsi="Times New Roman" w:eastAsia="宋体" w:cs="Times New Roman"/>
          <w:sz w:val="24"/>
          <w:szCs w:val="24"/>
        </w:rPr>
        <w:t>-</w:t>
      </w:r>
      <w:r>
        <w:rPr>
          <w:rFonts w:ascii="Times New Roman" w:hAnsi="Times New Roman" w:eastAsia="宋体" w:cs="Times New Roman"/>
          <w:sz w:val="24"/>
          <w:szCs w:val="24"/>
        </w:rPr>
        <w:t xml:space="preserve">situ compression of GeSe nanopillars along the armchair direction was performed to observe the deformation behavior, with the process primarily characterized by lattice bending. As shown in Supplementary Fig. </w:t>
      </w:r>
      <w:r>
        <w:rPr>
          <w:rFonts w:hint="eastAsia" w:ascii="Times New Roman" w:hAnsi="Times New Roman" w:eastAsia="宋体" w:cs="Times New Roman"/>
          <w:sz w:val="24"/>
          <w:szCs w:val="24"/>
        </w:rPr>
        <w:t>16</w:t>
      </w:r>
      <w:r>
        <w:rPr>
          <w:rFonts w:ascii="Times New Roman" w:hAnsi="Times New Roman" w:eastAsia="宋体" w:cs="Times New Roman"/>
          <w:sz w:val="24"/>
          <w:szCs w:val="24"/>
        </w:rPr>
        <w:t xml:space="preserve">a–c, during the early stages of compression, the nanopillar undergoes bending without any visible signs of phase transition. The applied compressive strain leads to gradual lattice distortion, but no chair–boat structural transformation domains are observed in these images. The corresponding engineering stress–strain curve in Supplementary Fig. </w:t>
      </w:r>
      <w:r>
        <w:rPr>
          <w:rFonts w:hint="eastAsia" w:ascii="Times New Roman" w:hAnsi="Times New Roman" w:eastAsia="宋体" w:cs="Times New Roman"/>
          <w:sz w:val="24"/>
          <w:szCs w:val="24"/>
        </w:rPr>
        <w:t>16</w:t>
      </w:r>
      <w:r>
        <w:rPr>
          <w:rFonts w:ascii="Times New Roman" w:hAnsi="Times New Roman" w:eastAsia="宋体" w:cs="Times New Roman"/>
          <w:sz w:val="24"/>
          <w:szCs w:val="24"/>
        </w:rPr>
        <w:t>d demonstrates a continuous strain-hardening response. Importantly, there are no sudden drops or jumps in the curve, which would typically indicate phase nucleation or transformation. This suggests that, under compression along the armchair direction, the deformation is dominated by lattice bending, rather than the nucleation of phase transition domains.</w:t>
      </w:r>
    </w:p>
    <w:p w14:paraId="0732A232">
      <w:pPr>
        <w:spacing w:after="156" w:afterLines="50" w:line="360" w:lineRule="auto"/>
        <w:rPr>
          <w:rFonts w:ascii="Times New Roman" w:hAnsi="Times New Roman" w:eastAsia="宋体" w:cs="Times New Roman"/>
          <w:sz w:val="24"/>
          <w:szCs w:val="24"/>
        </w:rPr>
      </w:pPr>
    </w:p>
    <w:p w14:paraId="3C851502">
      <w:pPr>
        <w:spacing w:after="156" w:afterLines="50" w:line="360" w:lineRule="auto"/>
        <w:rPr>
          <w:rFonts w:ascii="Times New Roman" w:hAnsi="Times New Roman" w:eastAsia="宋体" w:cs="Times New Roman"/>
          <w:sz w:val="24"/>
          <w:szCs w:val="24"/>
          <w:highlight w:val="yellow"/>
        </w:rPr>
      </w:pPr>
    </w:p>
    <w:p w14:paraId="5883B415">
      <w:pPr>
        <w:spacing w:after="156" w:afterLines="50" w:line="360" w:lineRule="auto"/>
        <w:jc w:val="center"/>
        <w:rPr>
          <w:rFonts w:ascii="Times New Roman" w:hAnsi="Times New Roman" w:cs="Times New Roman"/>
          <w:bCs/>
          <w:sz w:val="24"/>
          <w:szCs w:val="24"/>
        </w:rPr>
      </w:pPr>
      <w:r>
        <w:rPr>
          <w:rFonts w:ascii="Times New Roman" w:hAnsi="Times New Roman" w:cs="Times New Roman"/>
          <w:bCs/>
          <w:sz w:val="24"/>
          <w:szCs w:val="24"/>
        </w:rPr>
        <w:drawing>
          <wp:inline distT="0" distB="0" distL="0" distR="0">
            <wp:extent cx="5633720" cy="5022215"/>
            <wp:effectExtent l="0" t="0" r="5080" b="6985"/>
            <wp:docPr id="11227540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754096" name="图片 1"/>
                    <pic:cNvPicPr>
                      <a:picLocks noChangeAspect="1"/>
                    </pic:cNvPicPr>
                  </pic:nvPicPr>
                  <pic:blipFill>
                    <a:blip r:embed="rId21"/>
                    <a:stretch>
                      <a:fillRect/>
                    </a:stretch>
                  </pic:blipFill>
                  <pic:spPr>
                    <a:xfrm>
                      <a:off x="0" y="0"/>
                      <a:ext cx="5644658" cy="5032319"/>
                    </a:xfrm>
                    <a:prstGeom prst="rect">
                      <a:avLst/>
                    </a:prstGeom>
                  </pic:spPr>
                </pic:pic>
              </a:graphicData>
            </a:graphic>
          </wp:inline>
        </w:drawing>
      </w:r>
    </w:p>
    <w:p w14:paraId="4FA078F9">
      <w:pPr>
        <w:pStyle w:val="29"/>
        <w:ind w:left="0" w:firstLine="0"/>
        <w:jc w:val="both"/>
        <w:rPr>
          <w:b w:val="0"/>
          <w:bCs w:val="0"/>
        </w:rPr>
      </w:pPr>
      <w:r>
        <w:rPr>
          <w:rFonts w:eastAsia="等线"/>
          <w:color w:val="000000"/>
        </w:rPr>
        <w:t xml:space="preserve">Supplementary Figure </w:t>
      </w:r>
      <w:r>
        <w:rPr>
          <w:rFonts w:hint="eastAsia" w:eastAsia="等线"/>
          <w:color w:val="000000"/>
        </w:rPr>
        <w:t>16</w:t>
      </w:r>
      <w:r>
        <w:rPr>
          <w:rFonts w:eastAsia="等线"/>
          <w:color w:val="000000"/>
        </w:rPr>
        <w:t>.</w:t>
      </w:r>
      <w:r>
        <w:rPr>
          <w:rFonts w:hint="eastAsia" w:eastAsia="等线"/>
          <w:b w:val="0"/>
          <w:bCs w:val="0"/>
          <w:color w:val="000000"/>
        </w:rPr>
        <w:t xml:space="preserve"> </w:t>
      </w:r>
      <w:r>
        <w:rPr>
          <w:rFonts w:eastAsia="等线"/>
          <w:color w:val="000000"/>
        </w:rPr>
        <w:t xml:space="preserve">Lattice bending in GeSe samples with compressing strain along armchair </w:t>
      </w:r>
      <w:r>
        <w:t>direction</w:t>
      </w:r>
      <w:r>
        <w:rPr>
          <w:rFonts w:hint="eastAsia"/>
        </w:rPr>
        <w:t xml:space="preserve">. </w:t>
      </w:r>
      <w:r>
        <w:t>a</w:t>
      </w:r>
      <w:r>
        <w:rPr>
          <w:rFonts w:hint="eastAsia"/>
          <w:b w:val="0"/>
          <w:bCs w:val="0"/>
        </w:rPr>
        <w:t>,</w:t>
      </w:r>
      <w:r>
        <w:rPr>
          <w:b w:val="0"/>
          <w:bCs w:val="0"/>
        </w:rPr>
        <w:t xml:space="preserve"> At the initial stage of compression, the loading direction is indicated by the arrow, and the nanopillar remains relatively undeformed. </w:t>
      </w:r>
      <w:r>
        <w:t>b</w:t>
      </w:r>
      <w:r>
        <w:rPr>
          <w:rFonts w:hint="eastAsia"/>
          <w:b w:val="0"/>
          <w:bCs w:val="0"/>
        </w:rPr>
        <w:t>,</w:t>
      </w:r>
      <w:r>
        <w:rPr>
          <w:b w:val="0"/>
          <w:bCs w:val="0"/>
        </w:rPr>
        <w:t xml:space="preserve"> As compression progresses, lattice distortion begins to develop. </w:t>
      </w:r>
      <w:r>
        <w:t>c</w:t>
      </w:r>
      <w:r>
        <w:rPr>
          <w:rFonts w:hint="eastAsia"/>
          <w:b w:val="0"/>
          <w:bCs w:val="0"/>
        </w:rPr>
        <w:t>,</w:t>
      </w:r>
      <w:r>
        <w:rPr>
          <w:b w:val="0"/>
          <w:bCs w:val="0"/>
        </w:rPr>
        <w:t xml:space="preserve"> At higher strains, significant lattice bending is observed, reflecting the ongoing deformation. </w:t>
      </w:r>
      <w:r>
        <w:t>d</w:t>
      </w:r>
      <w:r>
        <w:rPr>
          <w:rFonts w:hint="eastAsia"/>
          <w:b w:val="0"/>
          <w:bCs w:val="0"/>
        </w:rPr>
        <w:t>,</w:t>
      </w:r>
      <w:r>
        <w:rPr>
          <w:b w:val="0"/>
          <w:bCs w:val="0"/>
        </w:rPr>
        <w:t xml:space="preserve"> Corresponding engineering stress–strain curve, showing the relationship between the applied strain and stress response during the compression process.</w:t>
      </w:r>
    </w:p>
    <w:p w14:paraId="2C5BF7BB">
      <w:pPr>
        <w:spacing w:after="156" w:afterLines="50" w:line="360" w:lineRule="auto"/>
        <w:rPr>
          <w:rFonts w:ascii="Times New Roman" w:hAnsi="Times New Roman" w:cs="Times New Roman"/>
          <w:bCs/>
          <w:sz w:val="24"/>
          <w:szCs w:val="24"/>
        </w:rPr>
      </w:pPr>
    </w:p>
    <w:p w14:paraId="7DA7D92A">
      <w:pPr>
        <w:widowControl/>
        <w:jc w:val="left"/>
        <w:rPr>
          <w:rFonts w:ascii="Times New Roman" w:hAnsi="Times New Roman" w:cs="Times New Roman"/>
          <w:bCs/>
          <w:sz w:val="24"/>
          <w:szCs w:val="24"/>
        </w:rPr>
      </w:pPr>
      <w:r>
        <w:rPr>
          <w:rFonts w:ascii="Times New Roman" w:hAnsi="Times New Roman" w:cs="Times New Roman"/>
          <w:bCs/>
          <w:sz w:val="24"/>
          <w:szCs w:val="24"/>
        </w:rPr>
        <w:br w:type="page"/>
      </w:r>
    </w:p>
    <w:p w14:paraId="36DE97F8">
      <w:pPr>
        <w:pStyle w:val="29"/>
        <w:numPr>
          <w:ilvl w:val="0"/>
          <w:numId w:val="3"/>
        </w:numPr>
      </w:pPr>
      <w:bookmarkStart w:id="50" w:name="_Hlk217299458"/>
      <w:r>
        <w:t xml:space="preserve">Observation of interlayer sliding in GeSe samples with compressing strain along </w:t>
      </w:r>
      <w:r>
        <w:rPr>
          <w:rFonts w:hint="eastAsia"/>
        </w:rPr>
        <w:t>&lt;021&gt;</w:t>
      </w:r>
      <w:r>
        <w:t xml:space="preserve"> direction </w:t>
      </w:r>
      <w:r>
        <w:rPr>
          <w:rFonts w:hint="eastAsia"/>
        </w:rPr>
        <w:t>(</w:t>
      </w:r>
      <m:oMath>
        <m:r>
          <m:rPr>
            <m:sty m:val="bi"/>
          </m:rPr>
          <w:rPr>
            <w:rFonts w:ascii="Cambria Math" w:hAnsi="Cambria Math"/>
          </w:rPr>
          <m:t xml:space="preserve">θ </m:t>
        </m:r>
      </m:oMath>
      <w:r>
        <w:t>=</w:t>
      </w:r>
      <w:r>
        <w:rPr>
          <w:rFonts w:hint="eastAsia"/>
        </w:rPr>
        <w:t xml:space="preserve"> </w:t>
      </w:r>
      <w:r>
        <w:t>45°</w:t>
      </w:r>
      <w:r>
        <w:rPr>
          <w:rFonts w:hint="eastAsia"/>
        </w:rPr>
        <w:t>)</w:t>
      </w:r>
    </w:p>
    <w:bookmarkEnd w:id="50"/>
    <w:p w14:paraId="6C5F6A84">
      <w:pPr>
        <w:pStyle w:val="10"/>
        <w:spacing w:line="360" w:lineRule="auto"/>
        <w:jc w:val="both"/>
        <w:rPr>
          <w:rFonts w:ascii="Times New Roman" w:hAnsi="Times New Roman" w:cs="Times New Roman"/>
        </w:rPr>
      </w:pPr>
      <w:r>
        <w:rPr>
          <w:rFonts w:ascii="Times New Roman" w:hAnsi="Times New Roman" w:cs="Times New Roman"/>
        </w:rPr>
        <w:t>To investigate the influence of loading orientation on the chair–boat structural transition in GeSe, we performed in</w:t>
      </w:r>
      <w:r>
        <w:rPr>
          <w:rFonts w:hint="eastAsia" w:ascii="Times New Roman" w:hAnsi="Times New Roman" w:cs="Times New Roman"/>
        </w:rPr>
        <w:t>-</w:t>
      </w:r>
      <w:r>
        <w:rPr>
          <w:rFonts w:ascii="Times New Roman" w:hAnsi="Times New Roman" w:cs="Times New Roman"/>
        </w:rPr>
        <w:t>situ compression tests with varied loading directions, as illustrated in Supplementary Fig. 1</w:t>
      </w:r>
      <w:r>
        <w:rPr>
          <w:rFonts w:hint="eastAsia" w:ascii="Times New Roman" w:hAnsi="Times New Roman" w:cs="Times New Roman"/>
        </w:rPr>
        <w:t>7</w:t>
      </w:r>
      <w:r>
        <w:rPr>
          <w:rFonts w:ascii="Times New Roman" w:hAnsi="Times New Roman" w:cs="Times New Roman"/>
        </w:rPr>
        <w:t xml:space="preserve">a. In this experiment, the loading direction was oriented at a 45° angle relative to both the </w:t>
      </w:r>
      <w:r>
        <w:rPr>
          <w:rStyle w:val="17"/>
          <w:rFonts w:hint="eastAsia" w:ascii="Times New Roman" w:hAnsi="Times New Roman" w:cs="Times New Roman"/>
          <w:i w:val="0"/>
          <w:iCs/>
        </w:rPr>
        <w:t xml:space="preserve">out-of-plane </w:t>
      </w:r>
      <w:r>
        <w:rPr>
          <w:rFonts w:ascii="Times New Roman" w:hAnsi="Times New Roman" w:cs="Times New Roman"/>
        </w:rPr>
        <w:t>and the armchair direction, while observations were along the zigzag direction. During the compression process, we observed clear signs of interlayer sliding, indicated by the orange arrows in Supplementary Fig. 1</w:t>
      </w:r>
      <w:r>
        <w:rPr>
          <w:rFonts w:hint="eastAsia" w:ascii="Times New Roman" w:hAnsi="Times New Roman" w:cs="Times New Roman"/>
        </w:rPr>
        <w:t>7</w:t>
      </w:r>
      <w:r>
        <w:rPr>
          <w:rFonts w:ascii="Times New Roman" w:hAnsi="Times New Roman" w:cs="Times New Roman"/>
        </w:rPr>
        <w:t>b–d. These observations suggest that under compression along this 45° direction, no significant phase transition occurs. Instead, the deformation appears to be primarily governed by interlayer sliding, as indicated by the progressive movement between the layers without lattice distortion typically associated with a structural phase change.</w:t>
      </w:r>
    </w:p>
    <w:p w14:paraId="40F4EC79">
      <w:pPr>
        <w:pStyle w:val="10"/>
        <w:spacing w:line="360" w:lineRule="auto"/>
        <w:jc w:val="both"/>
        <w:rPr>
          <w:rFonts w:ascii="Times New Roman" w:hAnsi="Times New Roman" w:cs="Times New Roman"/>
        </w:rPr>
      </w:pPr>
      <w:r>
        <w:rPr>
          <w:rFonts w:ascii="Times New Roman" w:hAnsi="Times New Roman" w:cs="Times New Roman"/>
        </w:rPr>
        <w:t>To further verify this hypothesis, we conducted in situ high-resolution TEM compression along the same 45° loading direction. As shown in Supplementary Fig. 1</w:t>
      </w:r>
      <w:r>
        <w:rPr>
          <w:rFonts w:hint="eastAsia" w:ascii="Times New Roman" w:hAnsi="Times New Roman" w:cs="Times New Roman"/>
        </w:rPr>
        <w:t>8</w:t>
      </w:r>
      <w:r>
        <w:rPr>
          <w:rFonts w:ascii="Times New Roman" w:hAnsi="Times New Roman" w:cs="Times New Roman"/>
        </w:rPr>
        <w:t>, time-resolved high-resolution TEM images recorded during the compression process clearly highlight the pronounced interlayer sliding (indicated by the arrows), while no evidence of the chair–boat structural transition is observed. The atomic-scale imaging further supports the notion that, under compression along the 45° direction, the GeSe nanopillar undergoes significant interlayer sliding without transitioning from the α-phase to the β-phase, as would typically be observed in compression along other directions. These results conclusively demonstrate that when compressed along the 45° direction, the GeSe nanopillar primarily exhibits interlayer sliding rather than a phase transition, indicating the importance of the loading orientation in controlling the nature of deformation in GeSe during compression.</w:t>
      </w:r>
    </w:p>
    <w:p w14:paraId="3F57101E">
      <w:pPr>
        <w:jc w:val="center"/>
        <w:rPr>
          <w:rFonts w:hint="eastAsia"/>
        </w:rPr>
      </w:pPr>
      <w:r>
        <w:drawing>
          <wp:inline distT="0" distB="0" distL="0" distR="0">
            <wp:extent cx="5738495" cy="5679440"/>
            <wp:effectExtent l="0" t="0" r="0" b="0"/>
            <wp:docPr id="3436920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692090" name="图片 1"/>
                    <pic:cNvPicPr>
                      <a:picLocks noChangeAspect="1"/>
                    </pic:cNvPicPr>
                  </pic:nvPicPr>
                  <pic:blipFill>
                    <a:blip r:embed="rId22"/>
                    <a:stretch>
                      <a:fillRect/>
                    </a:stretch>
                  </pic:blipFill>
                  <pic:spPr>
                    <a:xfrm>
                      <a:off x="0" y="0"/>
                      <a:ext cx="5758021" cy="5698661"/>
                    </a:xfrm>
                    <a:prstGeom prst="rect">
                      <a:avLst/>
                    </a:prstGeom>
                  </pic:spPr>
                </pic:pic>
              </a:graphicData>
            </a:graphic>
          </wp:inline>
        </w:drawing>
      </w:r>
    </w:p>
    <w:p w14:paraId="0A1222AC">
      <w:pPr>
        <w:pStyle w:val="10"/>
        <w:tabs>
          <w:tab w:val="left" w:pos="2705"/>
        </w:tabs>
        <w:spacing w:beforeAutospacing="0" w:after="156" w:afterAutospacing="0" w:line="360" w:lineRule="auto"/>
        <w:jc w:val="both"/>
        <w:rPr>
          <w:rFonts w:hint="eastAsia"/>
        </w:rPr>
      </w:pPr>
      <w:r>
        <w:rPr>
          <w:rFonts w:ascii="Times New Roman" w:hAnsi="Times New Roman" w:eastAsia="等线"/>
          <w:b/>
          <w:bCs/>
          <w:color w:val="000000"/>
          <w:kern w:val="2"/>
        </w:rPr>
        <w:t xml:space="preserve">Supplementary Figure </w:t>
      </w:r>
      <w:r>
        <w:rPr>
          <w:rFonts w:hint="eastAsia" w:ascii="Times New Roman" w:hAnsi="Times New Roman" w:eastAsia="等线"/>
          <w:b/>
          <w:bCs/>
          <w:color w:val="000000"/>
          <w:kern w:val="2"/>
        </w:rPr>
        <w:t>17</w:t>
      </w:r>
      <w:r>
        <w:rPr>
          <w:rFonts w:ascii="Times New Roman" w:hAnsi="Times New Roman" w:eastAsia="等线"/>
          <w:b/>
          <w:bCs/>
          <w:color w:val="000000"/>
          <w:kern w:val="2"/>
        </w:rPr>
        <w:t>. In</w:t>
      </w:r>
      <w:r>
        <w:rPr>
          <w:rFonts w:hint="eastAsia" w:ascii="Times New Roman" w:hAnsi="Times New Roman" w:eastAsia="等线"/>
          <w:b/>
          <w:bCs/>
          <w:color w:val="000000"/>
          <w:kern w:val="2"/>
        </w:rPr>
        <w:t>-</w:t>
      </w:r>
      <w:r>
        <w:rPr>
          <w:rFonts w:ascii="Times New Roman" w:hAnsi="Times New Roman" w:eastAsia="等线"/>
          <w:b/>
          <w:bCs/>
          <w:color w:val="000000"/>
          <w:kern w:val="2"/>
        </w:rPr>
        <w:t>situ TEM observation of interlayer sliding in a GeSe nanopillar under compression.</w:t>
      </w:r>
      <w:r>
        <w:rPr>
          <w:rFonts w:ascii="Times New Roman" w:hAnsi="Times New Roman" w:eastAsia="等线"/>
          <w:color w:val="000000"/>
          <w:kern w:val="2"/>
        </w:rPr>
        <w:t xml:space="preserve"> </w:t>
      </w:r>
      <w:r>
        <w:rPr>
          <w:rFonts w:ascii="Times New Roman" w:hAnsi="Times New Roman" w:eastAsia="等线"/>
          <w:b/>
          <w:bCs/>
          <w:color w:val="000000"/>
          <w:kern w:val="2"/>
        </w:rPr>
        <w:t>a</w:t>
      </w:r>
      <w:r>
        <w:rPr>
          <w:rFonts w:hint="eastAsia" w:ascii="Times New Roman" w:hAnsi="Times New Roman" w:eastAsia="等线"/>
          <w:color w:val="000000"/>
          <w:kern w:val="2"/>
        </w:rPr>
        <w:t>,</w:t>
      </w:r>
      <w:r>
        <w:rPr>
          <w:rFonts w:ascii="Times New Roman" w:hAnsi="Times New Roman" w:eastAsia="等线"/>
          <w:color w:val="000000"/>
          <w:kern w:val="2"/>
        </w:rPr>
        <w:t xml:space="preserve"> TEM image acquired at the initial stage of in</w:t>
      </w:r>
      <w:r>
        <w:rPr>
          <w:rFonts w:hint="eastAsia" w:ascii="Times New Roman" w:hAnsi="Times New Roman" w:eastAsia="等线"/>
          <w:color w:val="000000"/>
          <w:kern w:val="2"/>
        </w:rPr>
        <w:t>-</w:t>
      </w:r>
      <w:r>
        <w:rPr>
          <w:rFonts w:ascii="Times New Roman" w:hAnsi="Times New Roman" w:eastAsia="等线"/>
          <w:color w:val="000000"/>
          <w:kern w:val="2"/>
        </w:rPr>
        <w:t>situ compression of a GeSe nanopillar, with the inset indicating the loading direction oriented along the armchair direction and tilted by 45° relative to the c axis.</w:t>
      </w:r>
      <w:r>
        <w:rPr>
          <w:rFonts w:hint="eastAsia" w:ascii="Times New Roman" w:hAnsi="Times New Roman" w:eastAsia="等线"/>
          <w:color w:val="000000"/>
          <w:kern w:val="2"/>
        </w:rPr>
        <w:t xml:space="preserve"> </w:t>
      </w:r>
      <w:r>
        <w:rPr>
          <w:rFonts w:ascii="Times New Roman" w:hAnsi="Times New Roman" w:eastAsia="等线"/>
          <w:b/>
          <w:bCs/>
          <w:color w:val="000000"/>
          <w:kern w:val="2"/>
        </w:rPr>
        <w:t>b</w:t>
      </w:r>
      <w:r>
        <w:rPr>
          <w:rFonts w:ascii="Times New Roman" w:hAnsi="Times New Roman" w:eastAsia="等线"/>
          <w:color w:val="000000"/>
          <w:kern w:val="2"/>
        </w:rPr>
        <w:t>–</w:t>
      </w:r>
      <w:r>
        <w:rPr>
          <w:rFonts w:ascii="Times New Roman" w:hAnsi="Times New Roman" w:eastAsia="等线"/>
          <w:b/>
          <w:bCs/>
          <w:color w:val="000000"/>
          <w:kern w:val="2"/>
        </w:rPr>
        <w:t>d</w:t>
      </w:r>
      <w:r>
        <w:rPr>
          <w:rFonts w:hint="eastAsia" w:ascii="Times New Roman" w:hAnsi="Times New Roman" w:eastAsia="等线"/>
          <w:color w:val="000000"/>
          <w:kern w:val="2"/>
        </w:rPr>
        <w:t>,</w:t>
      </w:r>
      <w:r>
        <w:rPr>
          <w:rFonts w:ascii="Times New Roman" w:hAnsi="Times New Roman" w:eastAsia="等线"/>
          <w:color w:val="000000"/>
          <w:kern w:val="2"/>
        </w:rPr>
        <w:t xml:space="preserve"> Sequential TEM images recorded during further loading, revealing pronounced interlayer sliding, as highlighted by the orange arrows.</w:t>
      </w:r>
    </w:p>
    <w:p w14:paraId="74C8D6CE">
      <w:pPr>
        <w:jc w:val="center"/>
        <w:rPr>
          <w:rFonts w:hint="eastAsia"/>
        </w:rPr>
      </w:pPr>
    </w:p>
    <w:p w14:paraId="57E59120">
      <w:pPr>
        <w:jc w:val="center"/>
        <w:rPr>
          <w:rFonts w:hint="eastAsia"/>
        </w:rPr>
      </w:pPr>
    </w:p>
    <w:p w14:paraId="1CFD4EDF">
      <w:pPr>
        <w:jc w:val="center"/>
        <w:rPr>
          <w:rFonts w:hint="eastAsia"/>
        </w:rPr>
      </w:pPr>
    </w:p>
    <w:p w14:paraId="3CC7771C">
      <w:pPr>
        <w:jc w:val="center"/>
        <w:rPr>
          <w:rFonts w:hint="eastAsia"/>
        </w:rPr>
      </w:pPr>
    </w:p>
    <w:p w14:paraId="78E6192D">
      <w:pPr>
        <w:jc w:val="center"/>
        <w:rPr>
          <w:rFonts w:hint="eastAsia"/>
        </w:rPr>
      </w:pPr>
      <w:r>
        <w:drawing>
          <wp:inline distT="0" distB="0" distL="0" distR="0">
            <wp:extent cx="5728335" cy="5666105"/>
            <wp:effectExtent l="0" t="0" r="5715" b="0"/>
            <wp:docPr id="13026909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690929" name="图片 1"/>
                    <pic:cNvPicPr>
                      <a:picLocks noChangeAspect="1"/>
                    </pic:cNvPicPr>
                  </pic:nvPicPr>
                  <pic:blipFill>
                    <a:blip r:embed="rId23"/>
                    <a:stretch>
                      <a:fillRect/>
                    </a:stretch>
                  </pic:blipFill>
                  <pic:spPr>
                    <a:xfrm>
                      <a:off x="0" y="0"/>
                      <a:ext cx="5760979" cy="5698528"/>
                    </a:xfrm>
                    <a:prstGeom prst="rect">
                      <a:avLst/>
                    </a:prstGeom>
                  </pic:spPr>
                </pic:pic>
              </a:graphicData>
            </a:graphic>
          </wp:inline>
        </w:drawing>
      </w:r>
    </w:p>
    <w:p w14:paraId="4B314C8E">
      <w:pPr>
        <w:pStyle w:val="10"/>
        <w:tabs>
          <w:tab w:val="left" w:pos="2705"/>
        </w:tabs>
        <w:spacing w:beforeAutospacing="0" w:after="156" w:afterAutospacing="0" w:line="360" w:lineRule="auto"/>
        <w:jc w:val="both"/>
        <w:rPr>
          <w:rFonts w:ascii="Times New Roman" w:hAnsi="Times New Roman" w:eastAsia="等线"/>
          <w:color w:val="000000"/>
          <w:kern w:val="2"/>
        </w:rPr>
      </w:pPr>
      <w:bookmarkStart w:id="51" w:name="OLE_LINK46"/>
      <w:r>
        <w:rPr>
          <w:rFonts w:ascii="Times New Roman" w:hAnsi="Times New Roman" w:eastAsia="等线"/>
          <w:b/>
          <w:bCs/>
          <w:color w:val="000000"/>
          <w:kern w:val="2"/>
        </w:rPr>
        <w:t xml:space="preserve">Supplementary Figure </w:t>
      </w:r>
      <w:r>
        <w:rPr>
          <w:rFonts w:hint="eastAsia" w:ascii="Times New Roman" w:hAnsi="Times New Roman" w:eastAsia="等线"/>
          <w:b/>
          <w:bCs/>
          <w:color w:val="000000"/>
          <w:kern w:val="2"/>
        </w:rPr>
        <w:t>18</w:t>
      </w:r>
      <w:r>
        <w:rPr>
          <w:rFonts w:ascii="Times New Roman" w:hAnsi="Times New Roman" w:eastAsia="等线"/>
          <w:b/>
          <w:bCs/>
          <w:color w:val="000000"/>
          <w:kern w:val="2"/>
        </w:rPr>
        <w:t xml:space="preserve">. </w:t>
      </w:r>
      <w:bookmarkEnd w:id="51"/>
      <w:r>
        <w:rPr>
          <w:rFonts w:ascii="Times New Roman" w:hAnsi="Times New Roman" w:eastAsia="等线"/>
          <w:b/>
          <w:bCs/>
          <w:color w:val="000000"/>
          <w:kern w:val="2"/>
        </w:rPr>
        <w:t>In situ high-resolution TEM observation of interlayer sliding in a GeSe nanopillar under compression.</w:t>
      </w:r>
      <w:r>
        <w:rPr>
          <w:rFonts w:ascii="Times New Roman" w:hAnsi="Times New Roman" w:eastAsia="等线"/>
          <w:color w:val="000000"/>
          <w:kern w:val="2"/>
        </w:rPr>
        <w:t xml:space="preserve"> </w:t>
      </w:r>
      <w:r>
        <w:rPr>
          <w:rFonts w:ascii="Times New Roman" w:hAnsi="Times New Roman" w:eastAsia="等线"/>
          <w:b/>
          <w:bCs/>
          <w:color w:val="000000"/>
          <w:kern w:val="2"/>
        </w:rPr>
        <w:t>a</w:t>
      </w:r>
      <w:r>
        <w:rPr>
          <w:rFonts w:hint="eastAsia" w:ascii="Times New Roman" w:hAnsi="Times New Roman" w:eastAsia="等线"/>
          <w:color w:val="000000"/>
          <w:kern w:val="2"/>
        </w:rPr>
        <w:t>,</w:t>
      </w:r>
      <w:r>
        <w:rPr>
          <w:rFonts w:ascii="Times New Roman" w:hAnsi="Times New Roman" w:eastAsia="等线"/>
          <w:color w:val="000000"/>
          <w:kern w:val="2"/>
        </w:rPr>
        <w:t xml:space="preserve"> High-resolution TEM image acquired at the initial stage of in</w:t>
      </w:r>
      <w:r>
        <w:rPr>
          <w:rFonts w:hint="eastAsia" w:ascii="Times New Roman" w:hAnsi="Times New Roman" w:eastAsia="等线"/>
          <w:color w:val="000000"/>
          <w:kern w:val="2"/>
        </w:rPr>
        <w:t>-</w:t>
      </w:r>
      <w:r>
        <w:rPr>
          <w:rFonts w:ascii="Times New Roman" w:hAnsi="Times New Roman" w:eastAsia="等线"/>
          <w:color w:val="000000"/>
          <w:kern w:val="2"/>
        </w:rPr>
        <w:t xml:space="preserve">situ compression of a GeSe nanopillar. The inset schematically illustrates the loading direction aligned with the armchair direction and tilted by 45° relative to the </w:t>
      </w:r>
      <m:oMath>
        <m:r>
          <m:rPr/>
          <w:rPr>
            <w:rFonts w:ascii="Cambria Math" w:hAnsi="Cambria Math" w:eastAsia="等线"/>
            <w:color w:val="000000"/>
            <w:kern w:val="2"/>
          </w:rPr>
          <m:t>c</m:t>
        </m:r>
      </m:oMath>
      <w:r>
        <w:rPr>
          <w:rFonts w:ascii="Times New Roman" w:hAnsi="Times New Roman" w:eastAsia="等线"/>
          <w:color w:val="000000"/>
          <w:kern w:val="2"/>
        </w:rPr>
        <w:t xml:space="preserve"> axis.</w:t>
      </w:r>
      <w:r>
        <w:rPr>
          <w:rFonts w:hint="eastAsia" w:ascii="Times New Roman" w:hAnsi="Times New Roman" w:eastAsia="等线"/>
          <w:color w:val="000000"/>
          <w:kern w:val="2"/>
        </w:rPr>
        <w:t xml:space="preserve"> </w:t>
      </w:r>
      <w:r>
        <w:rPr>
          <w:rFonts w:ascii="Times New Roman" w:hAnsi="Times New Roman" w:eastAsia="等线"/>
          <w:b/>
          <w:bCs/>
          <w:color w:val="000000"/>
          <w:kern w:val="2"/>
        </w:rPr>
        <w:t>b</w:t>
      </w:r>
      <w:r>
        <w:rPr>
          <w:rFonts w:ascii="Times New Roman" w:hAnsi="Times New Roman" w:eastAsia="等线"/>
          <w:color w:val="000000"/>
          <w:kern w:val="2"/>
        </w:rPr>
        <w:t>–</w:t>
      </w:r>
      <w:r>
        <w:rPr>
          <w:rFonts w:ascii="Times New Roman" w:hAnsi="Times New Roman" w:eastAsia="等线"/>
          <w:b/>
          <w:bCs/>
          <w:color w:val="000000"/>
          <w:kern w:val="2"/>
        </w:rPr>
        <w:t>d</w:t>
      </w:r>
      <w:r>
        <w:rPr>
          <w:rFonts w:hint="eastAsia" w:ascii="Times New Roman" w:hAnsi="Times New Roman" w:eastAsia="等线"/>
          <w:color w:val="000000"/>
          <w:kern w:val="2"/>
        </w:rPr>
        <w:t>,</w:t>
      </w:r>
      <w:r>
        <w:rPr>
          <w:rFonts w:ascii="Times New Roman" w:hAnsi="Times New Roman" w:eastAsia="等线"/>
          <w:color w:val="000000"/>
          <w:kern w:val="2"/>
        </w:rPr>
        <w:t xml:space="preserve"> Sequential high-resolution TEM images recorded during further loading, showing pronounced interlayer sliding, as indicated by the orange arrows.</w:t>
      </w:r>
    </w:p>
    <w:p w14:paraId="7ACEE35C">
      <w:pPr>
        <w:widowControl/>
        <w:jc w:val="left"/>
        <w:rPr>
          <w:rFonts w:ascii="Times New Roman" w:hAnsi="Times New Roman" w:eastAsia="等线" w:cs="宋体"/>
          <w:color w:val="000000"/>
          <w:sz w:val="24"/>
          <w:szCs w:val="24"/>
        </w:rPr>
      </w:pPr>
      <w:r>
        <w:rPr>
          <w:b/>
          <w:bCs/>
        </w:rPr>
        <w:br w:type="page"/>
      </w:r>
    </w:p>
    <w:p w14:paraId="15BD5DF1">
      <w:pPr>
        <w:pStyle w:val="29"/>
        <w:numPr>
          <w:ilvl w:val="0"/>
          <w:numId w:val="3"/>
        </w:numPr>
      </w:pPr>
      <w:bookmarkStart w:id="52" w:name="OLE_LINK25"/>
      <w:r>
        <w:rPr>
          <w:rFonts w:hint="eastAsia"/>
        </w:rPr>
        <w:t>Observation of chair-boat-</w:t>
      </w:r>
      <w:r>
        <w:t>transition</w:t>
      </w:r>
      <w:r>
        <w:rPr>
          <w:rFonts w:hint="eastAsia"/>
        </w:rPr>
        <w:t xml:space="preserve"> in</w:t>
      </w:r>
      <w:r>
        <w:t xml:space="preserve"> GeSe samples</w:t>
      </w:r>
      <w:r>
        <w:rPr>
          <w:rFonts w:hint="eastAsia"/>
        </w:rPr>
        <w:t xml:space="preserve"> with compressing strain along zigzag direction</w:t>
      </w:r>
      <w:r>
        <w:t xml:space="preserve"> </w:t>
      </w:r>
    </w:p>
    <w:p w14:paraId="1CC9AF75">
      <w:pPr>
        <w:pStyle w:val="10"/>
        <w:spacing w:line="360" w:lineRule="auto"/>
        <w:jc w:val="both"/>
        <w:rPr>
          <w:rFonts w:ascii="Times New Roman" w:hAnsi="Times New Roman" w:eastAsia="等线" w:cs="Times New Roman"/>
        </w:rPr>
      </w:pPr>
      <w:r>
        <w:rPr>
          <w:rFonts w:ascii="Times New Roman" w:hAnsi="Times New Roman" w:eastAsia="等线" w:cs="Times New Roman"/>
        </w:rPr>
        <w:t>We performed in</w:t>
      </w:r>
      <w:r>
        <w:rPr>
          <w:rFonts w:hint="eastAsia" w:ascii="Times New Roman" w:hAnsi="Times New Roman" w:eastAsia="等线" w:cs="Times New Roman"/>
        </w:rPr>
        <w:t>-</w:t>
      </w:r>
      <w:r>
        <w:rPr>
          <w:rFonts w:ascii="Times New Roman" w:hAnsi="Times New Roman" w:eastAsia="等线" w:cs="Times New Roman"/>
        </w:rPr>
        <w:t xml:space="preserve">situ compression experiments on GeSe nanopillars along the </w:t>
      </w:r>
      <w:bookmarkStart w:id="53" w:name="OLE_LINK10"/>
      <w:r>
        <w:rPr>
          <w:rFonts w:hint="eastAsia" w:ascii="Times New Roman" w:hAnsi="Times New Roman" w:eastAsia="等线" w:cs="Times New Roman"/>
        </w:rPr>
        <w:t>[100]</w:t>
      </w:r>
      <w:bookmarkEnd w:id="53"/>
      <w:r>
        <w:rPr>
          <w:rFonts w:hint="eastAsia" w:ascii="Times New Roman" w:hAnsi="Times New Roman" w:eastAsia="等线" w:cs="Times New Roman"/>
        </w:rPr>
        <w:t xml:space="preserve"> (</w:t>
      </w:r>
      <w:r>
        <w:rPr>
          <w:rFonts w:ascii="Times New Roman" w:hAnsi="Times New Roman" w:eastAsia="等线" w:cs="Times New Roman"/>
        </w:rPr>
        <w:t>zigzag</w:t>
      </w:r>
      <w:r>
        <w:rPr>
          <w:rFonts w:hint="eastAsia" w:ascii="Times New Roman" w:hAnsi="Times New Roman" w:eastAsia="等线" w:cs="Times New Roman"/>
        </w:rPr>
        <w:t>)</w:t>
      </w:r>
      <w:r>
        <w:rPr>
          <w:rFonts w:ascii="Times New Roman" w:hAnsi="Times New Roman" w:eastAsia="等线" w:cs="Times New Roman"/>
        </w:rPr>
        <w:t xml:space="preserve"> direction to examine the corresponding structural response under uniaxial loading. As shown in Supplementary Fig. 1</w:t>
      </w:r>
      <w:r>
        <w:rPr>
          <w:rFonts w:hint="eastAsia" w:ascii="Times New Roman" w:hAnsi="Times New Roman" w:eastAsia="等线" w:cs="Times New Roman"/>
        </w:rPr>
        <w:t>9</w:t>
      </w:r>
      <w:r>
        <w:rPr>
          <w:rFonts w:ascii="Times New Roman" w:hAnsi="Times New Roman" w:eastAsia="等线" w:cs="Times New Roman"/>
        </w:rPr>
        <w:t xml:space="preserve">, compression was applied along </w:t>
      </w:r>
      <w:r>
        <w:rPr>
          <w:rFonts w:hint="eastAsia" w:ascii="Times New Roman" w:hAnsi="Times New Roman" w:eastAsia="等线" w:cs="Times New Roman"/>
        </w:rPr>
        <w:t>[100]</w:t>
      </w:r>
      <w:r>
        <w:rPr>
          <w:rFonts w:ascii="Times New Roman" w:hAnsi="Times New Roman" w:eastAsia="等线" w:cs="Times New Roman"/>
        </w:rPr>
        <w:t xml:space="preserve"> direction and the nanopillars were imaged along </w:t>
      </w:r>
      <w:r>
        <w:rPr>
          <w:rFonts w:hint="eastAsia" w:ascii="Times New Roman" w:hAnsi="Times New Roman" w:eastAsia="等线" w:cs="Times New Roman"/>
        </w:rPr>
        <w:t>[010]</w:t>
      </w:r>
      <w:r>
        <w:rPr>
          <w:rFonts w:ascii="Times New Roman" w:hAnsi="Times New Roman" w:eastAsia="等线" w:cs="Times New Roman"/>
        </w:rPr>
        <w:t xml:space="preserve"> direction. Time-resolved HRTEM images and the corresponding FFT patterns (Supplementary Fig. 1</w:t>
      </w:r>
      <w:r>
        <w:rPr>
          <w:rFonts w:hint="eastAsia" w:ascii="Times New Roman" w:hAnsi="Times New Roman" w:eastAsia="等线" w:cs="Times New Roman"/>
        </w:rPr>
        <w:t>9</w:t>
      </w:r>
      <w:r>
        <w:rPr>
          <w:rFonts w:ascii="Times New Roman" w:hAnsi="Times New Roman" w:eastAsia="等线" w:cs="Times New Roman"/>
        </w:rPr>
        <w:t>a–e), acquired at 0, 59, 73, 92 and 141 s during continuous loading, reveal a progressive evolution of the lattice structure. At the initial stage (0 s), the nanopillar exhibits the α-GeSe structure, as further confirmed by the atomic-resolution HAADF-STEM image obtained from the region highlighted by the yellow dashed box (Supplementary Fig. 1</w:t>
      </w:r>
      <w:r>
        <w:rPr>
          <w:rFonts w:hint="eastAsia" w:ascii="Times New Roman" w:hAnsi="Times New Roman" w:eastAsia="等线" w:cs="Times New Roman"/>
        </w:rPr>
        <w:t>9</w:t>
      </w:r>
      <w:r>
        <w:rPr>
          <w:rFonts w:ascii="Times New Roman" w:hAnsi="Times New Roman" w:eastAsia="等线" w:cs="Times New Roman"/>
        </w:rPr>
        <w:t>f). With increasing compressive strain (Supplementary Fig. 1</w:t>
      </w:r>
      <w:r>
        <w:rPr>
          <w:rFonts w:hint="eastAsia" w:ascii="Times New Roman" w:hAnsi="Times New Roman" w:eastAsia="等线" w:cs="Times New Roman"/>
        </w:rPr>
        <w:t>9</w:t>
      </w:r>
      <w:r>
        <w:rPr>
          <w:rFonts w:ascii="Times New Roman" w:hAnsi="Times New Roman" w:eastAsia="等线" w:cs="Times New Roman"/>
        </w:rPr>
        <w:t>b–d), gradual lattice distortion develops without an abrupt phase transition. At 141 s, pronounced changes in the FFT pattern indicate the onset of a strain-induced structural transformation; the region outlined by the blue dashed box corresponds to the atomic-resolution HAADF-STEM image in Supplementary Fig. 1</w:t>
      </w:r>
      <w:r>
        <w:rPr>
          <w:rFonts w:hint="eastAsia" w:ascii="Times New Roman" w:hAnsi="Times New Roman" w:eastAsia="等线" w:cs="Times New Roman"/>
        </w:rPr>
        <w:t>9</w:t>
      </w:r>
      <w:r>
        <w:rPr>
          <w:rFonts w:ascii="Times New Roman" w:hAnsi="Times New Roman" w:eastAsia="等线" w:cs="Times New Roman"/>
        </w:rPr>
        <w:t>g, which reveals the formation of the β-GeSe phase. A combined analysis of in situ HRTEM observations, atomic-resolution HAADF-STEM imaging (Supplementary Fig. 1</w:t>
      </w:r>
      <w:r>
        <w:rPr>
          <w:rFonts w:hint="eastAsia" w:ascii="Times New Roman" w:hAnsi="Times New Roman" w:eastAsia="等线" w:cs="Times New Roman"/>
        </w:rPr>
        <w:t>9</w:t>
      </w:r>
      <w:r>
        <w:rPr>
          <w:rFonts w:ascii="Times New Roman" w:hAnsi="Times New Roman" w:eastAsia="等线" w:cs="Times New Roman"/>
        </w:rPr>
        <w:t>f–i), and comparison with established crystallographic models of α-GeSe and β-GeSe (Supplementary Fig. 1</w:t>
      </w:r>
      <w:r>
        <w:rPr>
          <w:rFonts w:hint="eastAsia" w:ascii="Times New Roman" w:hAnsi="Times New Roman" w:eastAsia="等线" w:cs="Times New Roman"/>
        </w:rPr>
        <w:t>9</w:t>
      </w:r>
      <w:r>
        <w:rPr>
          <w:rFonts w:ascii="Times New Roman" w:hAnsi="Times New Roman" w:eastAsia="等线" w:cs="Times New Roman"/>
        </w:rPr>
        <w:t xml:space="preserve">j,k) allows the structural transition induced by compression </w:t>
      </w:r>
      <w:r>
        <w:rPr>
          <w:rFonts w:hint="eastAsia" w:ascii="Times New Roman" w:hAnsi="Times New Roman" w:eastAsia="等线" w:cs="Times New Roman"/>
        </w:rPr>
        <w:t xml:space="preserve">along [100] </w:t>
      </w:r>
      <w:r>
        <w:rPr>
          <w:rFonts w:ascii="Times New Roman" w:hAnsi="Times New Roman" w:eastAsia="等线" w:cs="Times New Roman"/>
        </w:rPr>
        <w:t>direction to be identified as an α-to-β (chair–boat) phase transformation.</w:t>
      </w:r>
    </w:p>
    <w:p w14:paraId="005CEB3B">
      <w:pPr>
        <w:pStyle w:val="10"/>
        <w:spacing w:line="360" w:lineRule="auto"/>
        <w:jc w:val="both"/>
        <w:rPr>
          <w:rFonts w:ascii="Times New Roman" w:hAnsi="Times New Roman" w:eastAsia="等线" w:cs="Times New Roman"/>
        </w:rPr>
      </w:pPr>
      <w:r>
        <w:rPr>
          <w:rFonts w:ascii="Times New Roman" w:hAnsi="Times New Roman" w:eastAsia="等线" w:cs="Times New Roman"/>
        </w:rPr>
        <w:t xml:space="preserve">Using the same experimental strategy, additional in situ compression experiments were carried out with the loading direction along the </w:t>
      </w:r>
      <w:r>
        <w:rPr>
          <w:rFonts w:hint="eastAsia" w:ascii="Times New Roman" w:hAnsi="Times New Roman" w:eastAsia="等线" w:cs="Times New Roman"/>
        </w:rPr>
        <w:t xml:space="preserve">[100] direction </w:t>
      </w:r>
      <w:r>
        <w:rPr>
          <w:rFonts w:ascii="Times New Roman" w:hAnsi="Times New Roman" w:eastAsia="等线" w:cs="Times New Roman"/>
        </w:rPr>
        <w:t xml:space="preserve">while imaging along </w:t>
      </w:r>
      <w:r>
        <w:rPr>
          <w:rFonts w:hint="eastAsia" w:ascii="Times New Roman" w:hAnsi="Times New Roman" w:eastAsia="等线" w:cs="Times New Roman"/>
        </w:rPr>
        <w:t>[001] direction</w:t>
      </w:r>
      <w:r>
        <w:rPr>
          <w:rFonts w:ascii="Times New Roman" w:hAnsi="Times New Roman" w:eastAsia="等线" w:cs="Times New Roman"/>
        </w:rPr>
        <w:t xml:space="preserve">, as shown in Supplementary Fig. </w:t>
      </w:r>
      <w:r>
        <w:rPr>
          <w:rFonts w:hint="eastAsia" w:ascii="Times New Roman" w:hAnsi="Times New Roman" w:eastAsia="等线" w:cs="Times New Roman"/>
        </w:rPr>
        <w:t>20</w:t>
      </w:r>
      <w:r>
        <w:rPr>
          <w:rFonts w:ascii="Times New Roman" w:hAnsi="Times New Roman" w:eastAsia="等线" w:cs="Times New Roman"/>
        </w:rPr>
        <w:t xml:space="preserve">. Time-resolved HRTEM images and corresponding FFT patterns (Supplementary Fig. </w:t>
      </w:r>
      <w:r>
        <w:rPr>
          <w:rFonts w:hint="eastAsia" w:ascii="Times New Roman" w:hAnsi="Times New Roman" w:eastAsia="等线" w:cs="Times New Roman"/>
        </w:rPr>
        <w:t>20</w:t>
      </w:r>
      <w:r>
        <w:rPr>
          <w:rFonts w:ascii="Times New Roman" w:hAnsi="Times New Roman" w:eastAsia="等线" w:cs="Times New Roman"/>
        </w:rPr>
        <w:t xml:space="preserve">a–e), acquired at 0, 95, 136, 157 and 166 s during continuous loading, reveal a similar sequence of lattice evolution. At 0 s, the nanopillar retains the α-GeSe structure, as confirmed by the atomic-resolution HAADF-STEM image obtained from the region highlighted by the yellow dashed box (Supplementary Fig. </w:t>
      </w:r>
      <w:r>
        <w:rPr>
          <w:rFonts w:hint="eastAsia" w:ascii="Times New Roman" w:hAnsi="Times New Roman" w:eastAsia="等线" w:cs="Times New Roman"/>
        </w:rPr>
        <w:t>20</w:t>
      </w:r>
      <w:r>
        <w:rPr>
          <w:rFonts w:ascii="Times New Roman" w:hAnsi="Times New Roman" w:eastAsia="等线" w:cs="Times New Roman"/>
        </w:rPr>
        <w:t xml:space="preserve">f). With increasing strain (Supplementary Fig. </w:t>
      </w:r>
      <w:r>
        <w:rPr>
          <w:rFonts w:hint="eastAsia" w:ascii="Times New Roman" w:hAnsi="Times New Roman" w:eastAsia="等线" w:cs="Times New Roman"/>
        </w:rPr>
        <w:t>20</w:t>
      </w:r>
      <w:r>
        <w:rPr>
          <w:rFonts w:ascii="Times New Roman" w:hAnsi="Times New Roman" w:eastAsia="等线" w:cs="Times New Roman"/>
        </w:rPr>
        <w:t xml:space="preserve">b–d), progressive lattice distortion develops without an apparent phase transformation. At 166 s, pronounced changes in the FFT pattern are observed, suggesting the onset of a strain-induced structural transition; the region outlined by the blue dashed box corresponds to the atomic-resolution HAADF-STEM image in Supplementary Fig. </w:t>
      </w:r>
      <w:r>
        <w:rPr>
          <w:rFonts w:hint="eastAsia" w:ascii="Times New Roman" w:hAnsi="Times New Roman" w:eastAsia="等线" w:cs="Times New Roman"/>
        </w:rPr>
        <w:t>20</w:t>
      </w:r>
      <w:r>
        <w:rPr>
          <w:rFonts w:ascii="Times New Roman" w:hAnsi="Times New Roman" w:eastAsia="等线" w:cs="Times New Roman"/>
        </w:rPr>
        <w:t xml:space="preserve">g, revealing the formation of the β-GeSe phase. Enlarged views of the HAADF-STEM images before and after compression (Supplementary Fig. </w:t>
      </w:r>
      <w:r>
        <w:rPr>
          <w:rFonts w:hint="eastAsia" w:ascii="Times New Roman" w:hAnsi="Times New Roman" w:eastAsia="等线" w:cs="Times New Roman"/>
        </w:rPr>
        <w:t>20</w:t>
      </w:r>
      <w:r>
        <w:rPr>
          <w:rFonts w:ascii="Times New Roman" w:hAnsi="Times New Roman" w:eastAsia="等线" w:cs="Times New Roman"/>
        </w:rPr>
        <w:t xml:space="preserve">h,i), together with comparison to the corresponding atomic structure models of α-GeSe and β-GeSe (Supplementary Fig. </w:t>
      </w:r>
      <w:r>
        <w:rPr>
          <w:rFonts w:hint="eastAsia" w:ascii="Times New Roman" w:hAnsi="Times New Roman" w:eastAsia="等线" w:cs="Times New Roman"/>
        </w:rPr>
        <w:t>20</w:t>
      </w:r>
      <w:r>
        <w:rPr>
          <w:rFonts w:ascii="Times New Roman" w:hAnsi="Times New Roman" w:eastAsia="等线" w:cs="Times New Roman"/>
        </w:rPr>
        <w:t>j,k), provide strong evidence for an α-to-β phase transformation during zigzag-direction compression.</w:t>
      </w:r>
      <w:r>
        <w:rPr>
          <w:rFonts w:hint="eastAsia" w:ascii="Times New Roman" w:hAnsi="Times New Roman" w:eastAsia="等线" w:cs="Times New Roman"/>
        </w:rPr>
        <w:t xml:space="preserve"> </w:t>
      </w:r>
      <w:r>
        <w:rPr>
          <w:rFonts w:ascii="Times New Roman" w:hAnsi="Times New Roman" w:eastAsia="等线" w:cs="Times New Roman"/>
        </w:rPr>
        <w:t>The consistency of the structural evolution observed under different imaging geometries confirms that the chair–boat structural transition in GeSe nanopillars is robust and independent of the observation direction.</w:t>
      </w:r>
    </w:p>
    <w:p w14:paraId="07B8F41A">
      <w:pPr>
        <w:pStyle w:val="10"/>
        <w:spacing w:line="360" w:lineRule="auto"/>
        <w:jc w:val="both"/>
        <w:rPr>
          <w:rFonts w:ascii="Times New Roman" w:hAnsi="Times New Roman" w:eastAsia="等线" w:cs="Times New Roman"/>
          <w:kern w:val="2"/>
        </w:rPr>
      </w:pPr>
    </w:p>
    <w:p w14:paraId="5D794FBA">
      <w:pPr>
        <w:pStyle w:val="29"/>
        <w:ind w:left="0" w:firstLine="0"/>
      </w:pPr>
    </w:p>
    <w:bookmarkEnd w:id="52"/>
    <w:p w14:paraId="11F48953">
      <w:pPr>
        <w:spacing w:after="156" w:afterLines="50"/>
        <w:jc w:val="center"/>
        <w:rPr>
          <w:rFonts w:ascii="Times New Roman" w:hAnsi="Times New Roman" w:cs="Times New Roman"/>
        </w:rPr>
      </w:pPr>
      <w:bookmarkStart w:id="54" w:name="OLE_LINK24"/>
      <w:r>
        <w:rPr>
          <w:rFonts w:ascii="Times New Roman" w:hAnsi="Times New Roman" w:cs="Times New Roman"/>
        </w:rPr>
        <w:drawing>
          <wp:inline distT="0" distB="0" distL="0" distR="0">
            <wp:extent cx="5374640" cy="6258560"/>
            <wp:effectExtent l="0" t="0" r="0" b="8890"/>
            <wp:docPr id="9392147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214793" name="图片 1"/>
                    <pic:cNvPicPr>
                      <a:picLocks noChangeAspect="1"/>
                    </pic:cNvPicPr>
                  </pic:nvPicPr>
                  <pic:blipFill>
                    <a:blip r:embed="rId24"/>
                    <a:stretch>
                      <a:fillRect/>
                    </a:stretch>
                  </pic:blipFill>
                  <pic:spPr>
                    <a:xfrm>
                      <a:off x="0" y="0"/>
                      <a:ext cx="5383196" cy="6268590"/>
                    </a:xfrm>
                    <a:prstGeom prst="rect">
                      <a:avLst/>
                    </a:prstGeom>
                  </pic:spPr>
                </pic:pic>
              </a:graphicData>
            </a:graphic>
          </wp:inline>
        </w:drawing>
      </w:r>
    </w:p>
    <w:p w14:paraId="6D44FBE2">
      <w:pPr>
        <w:pStyle w:val="10"/>
        <w:tabs>
          <w:tab w:val="left" w:pos="2705"/>
        </w:tabs>
        <w:spacing w:before="0" w:beforeAutospacing="0" w:after="156" w:afterAutospacing="0" w:line="360" w:lineRule="auto"/>
        <w:jc w:val="both"/>
        <w:rPr>
          <w:rFonts w:ascii="Times New Roman" w:hAnsi="Times New Roman" w:eastAsia="微软雅黑" w:cs="Times New Roman"/>
          <w:color w:val="000000"/>
          <w:kern w:val="24"/>
        </w:rPr>
      </w:pPr>
      <w:bookmarkStart w:id="55" w:name="OLE_LINK59"/>
      <w:r>
        <w:rPr>
          <w:rFonts w:ascii="Times New Roman" w:hAnsi="Times New Roman" w:cs="Times New Roman"/>
          <w:b/>
          <w:bCs/>
        </w:rPr>
        <w:t xml:space="preserve">Supplementary Figure </w:t>
      </w:r>
      <w:r>
        <w:rPr>
          <w:rFonts w:hint="eastAsia" w:ascii="Times New Roman" w:hAnsi="Times New Roman" w:cs="Times New Roman"/>
          <w:b/>
          <w:bCs/>
        </w:rPr>
        <w:t>19</w:t>
      </w:r>
      <w:r>
        <w:rPr>
          <w:rFonts w:ascii="Times New Roman" w:hAnsi="Times New Roman" w:cs="Times New Roman"/>
          <w:b/>
          <w:bCs/>
        </w:rPr>
        <w:t xml:space="preserve">. </w:t>
      </w:r>
      <w:r>
        <w:rPr>
          <w:rFonts w:ascii="Times New Roman" w:hAnsi="Times New Roman" w:eastAsia="微软雅黑" w:cs="Times New Roman"/>
          <w:b/>
          <w:bCs/>
          <w:color w:val="000000"/>
          <w:kern w:val="2"/>
        </w:rPr>
        <w:t>In</w:t>
      </w:r>
      <w:r>
        <w:rPr>
          <w:rFonts w:hint="eastAsia" w:ascii="Times New Roman" w:hAnsi="Times New Roman" w:eastAsia="微软雅黑" w:cs="Times New Roman"/>
          <w:b/>
          <w:bCs/>
          <w:color w:val="000000"/>
          <w:kern w:val="2"/>
        </w:rPr>
        <w:t>-</w:t>
      </w:r>
      <w:r>
        <w:rPr>
          <w:rFonts w:ascii="Times New Roman" w:hAnsi="Times New Roman" w:eastAsia="微软雅黑" w:cs="Times New Roman"/>
          <w:b/>
          <w:bCs/>
          <w:color w:val="000000"/>
          <w:kern w:val="2"/>
        </w:rPr>
        <w:t xml:space="preserve">situ high-resolution TEM observation of a GeSe nanopillar under uniaxial compression along </w:t>
      </w:r>
      <w:r>
        <w:rPr>
          <w:rFonts w:hint="eastAsia" w:ascii="Times New Roman" w:hAnsi="Times New Roman" w:eastAsia="微软雅黑" w:cs="Times New Roman"/>
          <w:b/>
          <w:bCs/>
          <w:color w:val="000000"/>
          <w:kern w:val="2"/>
        </w:rPr>
        <w:t>[100] (</w:t>
      </w:r>
      <w:r>
        <w:rPr>
          <w:rFonts w:ascii="Times New Roman" w:hAnsi="Times New Roman" w:eastAsia="微软雅黑" w:cs="Times New Roman"/>
          <w:b/>
          <w:bCs/>
          <w:color w:val="000000"/>
          <w:kern w:val="2"/>
        </w:rPr>
        <w:t>zigzag</w:t>
      </w:r>
      <w:r>
        <w:rPr>
          <w:rFonts w:hint="eastAsia" w:ascii="Times New Roman" w:hAnsi="Times New Roman" w:eastAsia="微软雅黑" w:cs="Times New Roman"/>
          <w:b/>
          <w:bCs/>
          <w:color w:val="000000"/>
          <w:kern w:val="2"/>
        </w:rPr>
        <w:t>)</w:t>
      </w:r>
      <w:r>
        <w:rPr>
          <w:rFonts w:ascii="Times New Roman" w:hAnsi="Times New Roman" w:eastAsia="微软雅黑" w:cs="Times New Roman"/>
          <w:b/>
          <w:bCs/>
          <w:color w:val="000000"/>
          <w:kern w:val="2"/>
        </w:rPr>
        <w:t xml:space="preserve"> direction, imaged along </w:t>
      </w:r>
      <w:bookmarkStart w:id="56" w:name="OLE_LINK58"/>
      <w:r>
        <w:rPr>
          <w:rFonts w:hint="eastAsia" w:ascii="Times New Roman" w:hAnsi="Times New Roman" w:eastAsia="微软雅黑" w:cs="Times New Roman"/>
          <w:b/>
          <w:bCs/>
          <w:color w:val="000000"/>
          <w:kern w:val="2"/>
        </w:rPr>
        <w:t>[010] (</w:t>
      </w:r>
      <w:r>
        <w:rPr>
          <w:rFonts w:ascii="Times New Roman" w:hAnsi="Times New Roman" w:eastAsia="微软雅黑" w:cs="Times New Roman"/>
          <w:b/>
          <w:bCs/>
          <w:color w:val="000000"/>
          <w:kern w:val="2"/>
        </w:rPr>
        <w:t>armchair</w:t>
      </w:r>
      <w:r>
        <w:rPr>
          <w:rFonts w:hint="eastAsia" w:ascii="Times New Roman" w:hAnsi="Times New Roman" w:eastAsia="微软雅黑" w:cs="Times New Roman"/>
          <w:b/>
          <w:bCs/>
          <w:color w:val="000000"/>
          <w:kern w:val="2"/>
        </w:rPr>
        <w:t>)</w:t>
      </w:r>
      <w:r>
        <w:rPr>
          <w:rFonts w:ascii="Times New Roman" w:hAnsi="Times New Roman" w:eastAsia="微软雅黑" w:cs="Times New Roman"/>
          <w:b/>
          <w:bCs/>
          <w:color w:val="000000"/>
          <w:kern w:val="2"/>
        </w:rPr>
        <w:t xml:space="preserve"> direction</w:t>
      </w:r>
      <w:bookmarkEnd w:id="56"/>
      <w:r>
        <w:rPr>
          <w:rFonts w:ascii="Times New Roman" w:hAnsi="Times New Roman" w:cs="Times New Roman"/>
          <w:b/>
          <w:bCs/>
        </w:rPr>
        <w:t>.</w:t>
      </w:r>
      <w:bookmarkEnd w:id="54"/>
      <w:r>
        <w:rPr>
          <w:rFonts w:hint="eastAsia" w:ascii="Times New Roman" w:hAnsi="Times New Roman" w:cs="Times New Roman"/>
          <w:b/>
          <w:bCs/>
        </w:rPr>
        <w:t xml:space="preserve"> </w:t>
      </w:r>
      <w:r>
        <w:rPr>
          <w:rFonts w:ascii="Times New Roman" w:hAnsi="Times New Roman" w:eastAsia="微软雅黑" w:cs="Times New Roman"/>
          <w:b/>
          <w:bCs/>
          <w:color w:val="000000"/>
          <w:kern w:val="24"/>
        </w:rPr>
        <w:t>a</w:t>
      </w:r>
      <w:r>
        <w:rPr>
          <w:rFonts w:ascii="Times New Roman" w:hAnsi="Times New Roman" w:eastAsia="微软雅黑" w:cs="Times New Roman"/>
          <w:color w:val="000000"/>
          <w:kern w:val="24"/>
        </w:rPr>
        <w:t>–</w:t>
      </w:r>
      <w:r>
        <w:rPr>
          <w:rFonts w:ascii="Times New Roman" w:hAnsi="Times New Roman" w:eastAsia="微软雅黑" w:cs="Times New Roman"/>
          <w:b/>
          <w:bCs/>
          <w:color w:val="000000"/>
          <w:kern w:val="24"/>
        </w:rPr>
        <w:t>e</w:t>
      </w:r>
      <w:r>
        <w:rPr>
          <w:rFonts w:hint="eastAsia" w:ascii="Times New Roman" w:hAnsi="Times New Roman" w:eastAsia="微软雅黑" w:cs="Times New Roman"/>
          <w:color w:val="000000"/>
          <w:kern w:val="24"/>
        </w:rPr>
        <w:t>,</w:t>
      </w:r>
      <w:r>
        <w:rPr>
          <w:rFonts w:ascii="Times New Roman" w:hAnsi="Times New Roman" w:eastAsia="微软雅黑" w:cs="Times New Roman"/>
          <w:color w:val="000000"/>
          <w:kern w:val="24"/>
        </w:rPr>
        <w:t xml:space="preserve"> Time-resolved HRTEM images (top) and the corresponding FFT patterns (bottom) acquired during continuous compression at 0, 59, 73, 92 and 141 s.</w:t>
      </w:r>
      <w:bookmarkStart w:id="57" w:name="OLE_LINK60"/>
      <w:r>
        <w:rPr>
          <w:rFonts w:ascii="Times New Roman" w:hAnsi="Times New Roman" w:eastAsia="微软雅黑" w:cs="Times New Roman"/>
          <w:color w:val="000000"/>
          <w:kern w:val="24"/>
        </w:rPr>
        <w:t xml:space="preserve"> </w:t>
      </w:r>
      <w:bookmarkStart w:id="58" w:name="OLE_LINK55"/>
      <w:r>
        <w:rPr>
          <w:rFonts w:hint="eastAsia" w:ascii="Times New Roman" w:hAnsi="Times New Roman" w:eastAsia="微软雅黑" w:cs="Times New Roman"/>
          <w:b/>
          <w:bCs/>
          <w:color w:val="000000"/>
          <w:kern w:val="24"/>
        </w:rPr>
        <w:t>f</w:t>
      </w:r>
      <w:r>
        <w:rPr>
          <w:rFonts w:hint="eastAsia" w:ascii="Times New Roman" w:hAnsi="Times New Roman" w:eastAsia="微软雅黑" w:cs="Times New Roman"/>
          <w:color w:val="000000"/>
          <w:kern w:val="24"/>
        </w:rPr>
        <w:t xml:space="preserve">, </w:t>
      </w:r>
      <w:bookmarkStart w:id="59" w:name="OLE_LINK56"/>
      <w:r>
        <w:rPr>
          <w:rFonts w:ascii="Times New Roman" w:hAnsi="Times New Roman" w:eastAsia="微软雅黑" w:cs="Times New Roman"/>
          <w:color w:val="000000"/>
          <w:kern w:val="24"/>
        </w:rPr>
        <w:t>The atomic-resolution HAADF-STEM image of region highlighted by the yellow dashed box in (a).</w:t>
      </w:r>
      <w:bookmarkEnd w:id="59"/>
      <w:r>
        <w:rPr>
          <w:rFonts w:ascii="Times New Roman" w:hAnsi="Times New Roman" w:eastAsia="微软雅黑" w:cs="Times New Roman"/>
          <w:color w:val="000000"/>
          <w:kern w:val="24"/>
        </w:rPr>
        <w:t xml:space="preserve"> </w:t>
      </w:r>
      <w:bookmarkEnd w:id="58"/>
      <w:r>
        <w:rPr>
          <w:rFonts w:hint="eastAsia" w:ascii="Times New Roman" w:hAnsi="Times New Roman" w:eastAsia="微软雅黑" w:cs="Times New Roman"/>
          <w:b/>
          <w:bCs/>
          <w:color w:val="000000"/>
          <w:kern w:val="24"/>
        </w:rPr>
        <w:t>g</w:t>
      </w:r>
      <w:r>
        <w:rPr>
          <w:rFonts w:hint="eastAsia" w:ascii="Times New Roman" w:hAnsi="Times New Roman" w:eastAsia="微软雅黑" w:cs="Times New Roman"/>
          <w:color w:val="000000"/>
          <w:kern w:val="24"/>
        </w:rPr>
        <w:t>,</w:t>
      </w:r>
      <w:r>
        <w:rPr>
          <w:rFonts w:ascii="Times New Roman" w:hAnsi="Times New Roman" w:eastAsia="微软雅黑" w:cs="Times New Roman"/>
          <w:color w:val="000000"/>
          <w:kern w:val="24"/>
        </w:rPr>
        <w:t xml:space="preserve"> The atomic-resolution HAADF-STEM image of region highlighted by the </w:t>
      </w:r>
      <w:r>
        <w:rPr>
          <w:rFonts w:hint="eastAsia" w:ascii="Times New Roman" w:hAnsi="Times New Roman" w:eastAsia="微软雅黑" w:cs="Times New Roman"/>
          <w:color w:val="000000"/>
          <w:kern w:val="24"/>
        </w:rPr>
        <w:t>blue</w:t>
      </w:r>
      <w:r>
        <w:rPr>
          <w:rFonts w:ascii="Times New Roman" w:hAnsi="Times New Roman" w:eastAsia="微软雅黑" w:cs="Times New Roman"/>
          <w:color w:val="000000"/>
          <w:kern w:val="24"/>
        </w:rPr>
        <w:t xml:space="preserve"> dashed box in (</w:t>
      </w:r>
      <w:r>
        <w:rPr>
          <w:rFonts w:hint="eastAsia" w:ascii="Times New Roman" w:hAnsi="Times New Roman" w:eastAsia="微软雅黑" w:cs="Times New Roman"/>
          <w:color w:val="000000"/>
          <w:kern w:val="24"/>
        </w:rPr>
        <w:t>e</w:t>
      </w:r>
      <w:r>
        <w:rPr>
          <w:rFonts w:ascii="Times New Roman" w:hAnsi="Times New Roman" w:eastAsia="微软雅黑" w:cs="Times New Roman"/>
          <w:color w:val="000000"/>
          <w:kern w:val="24"/>
        </w:rPr>
        <w:t>).</w:t>
      </w:r>
      <w:r>
        <w:rPr>
          <w:rFonts w:hint="eastAsia" w:ascii="Times New Roman" w:hAnsi="Times New Roman" w:eastAsia="微软雅黑" w:cs="Times New Roman"/>
          <w:color w:val="000000"/>
          <w:kern w:val="24"/>
        </w:rPr>
        <w:t xml:space="preserve"> </w:t>
      </w:r>
      <w:r>
        <w:rPr>
          <w:rFonts w:ascii="Times New Roman" w:hAnsi="Times New Roman" w:eastAsia="微软雅黑" w:cs="Times New Roman"/>
          <w:b/>
          <w:bCs/>
          <w:color w:val="000000"/>
          <w:kern w:val="24"/>
        </w:rPr>
        <w:t>h</w:t>
      </w:r>
      <w:r>
        <w:rPr>
          <w:rFonts w:ascii="Times New Roman" w:hAnsi="Times New Roman" w:eastAsia="微软雅黑" w:cs="Times New Roman"/>
          <w:color w:val="000000"/>
          <w:kern w:val="24"/>
        </w:rPr>
        <w:t>,</w:t>
      </w:r>
      <w:r>
        <w:rPr>
          <w:rFonts w:ascii="Times New Roman" w:hAnsi="Times New Roman" w:eastAsia="微软雅黑" w:cs="Times New Roman"/>
          <w:b/>
          <w:bCs/>
          <w:color w:val="000000"/>
          <w:kern w:val="24"/>
        </w:rPr>
        <w:t>i</w:t>
      </w:r>
      <w:r>
        <w:rPr>
          <w:rFonts w:hint="eastAsia" w:ascii="Times New Roman" w:hAnsi="Times New Roman" w:eastAsia="微软雅黑" w:cs="Times New Roman"/>
          <w:color w:val="000000"/>
          <w:kern w:val="24"/>
        </w:rPr>
        <w:t>,</w:t>
      </w:r>
      <w:r>
        <w:rPr>
          <w:rFonts w:ascii="Times New Roman" w:hAnsi="Times New Roman" w:eastAsia="微软雅黑" w:cs="Times New Roman"/>
          <w:color w:val="000000"/>
          <w:kern w:val="24"/>
        </w:rPr>
        <w:t xml:space="preserve"> Enlarged views of the HAADF-STEM images in (f) and (g).</w:t>
      </w:r>
      <w:r>
        <w:rPr>
          <w:rFonts w:hint="eastAsia" w:ascii="Times New Roman" w:hAnsi="Times New Roman" w:eastAsia="微软雅黑" w:cs="Times New Roman"/>
          <w:color w:val="000000"/>
          <w:kern w:val="24"/>
        </w:rPr>
        <w:t xml:space="preserve"> </w:t>
      </w:r>
      <w:r>
        <w:rPr>
          <w:rFonts w:ascii="Times New Roman" w:hAnsi="Times New Roman" w:eastAsia="微软雅黑" w:cs="Times New Roman"/>
          <w:b/>
          <w:bCs/>
          <w:color w:val="000000"/>
          <w:kern w:val="24"/>
        </w:rPr>
        <w:t>j</w:t>
      </w:r>
      <w:r>
        <w:rPr>
          <w:rFonts w:ascii="Times New Roman" w:hAnsi="Times New Roman" w:eastAsia="微软雅黑" w:cs="Times New Roman"/>
          <w:color w:val="000000"/>
          <w:kern w:val="24"/>
        </w:rPr>
        <w:t>,</w:t>
      </w:r>
      <w:r>
        <w:rPr>
          <w:rFonts w:ascii="Times New Roman" w:hAnsi="Times New Roman" w:eastAsia="微软雅黑" w:cs="Times New Roman"/>
          <w:b/>
          <w:bCs/>
          <w:color w:val="000000"/>
          <w:kern w:val="24"/>
        </w:rPr>
        <w:t>k</w:t>
      </w:r>
      <w:r>
        <w:rPr>
          <w:rFonts w:hint="eastAsia" w:ascii="Times New Roman" w:hAnsi="Times New Roman" w:eastAsia="微软雅黑" w:cs="Times New Roman"/>
          <w:color w:val="000000"/>
          <w:kern w:val="24"/>
        </w:rPr>
        <w:t>,</w:t>
      </w:r>
      <w:r>
        <w:rPr>
          <w:rFonts w:ascii="Times New Roman" w:hAnsi="Times New Roman" w:eastAsia="微软雅黑" w:cs="Times New Roman"/>
          <w:color w:val="000000"/>
          <w:kern w:val="24"/>
        </w:rPr>
        <w:t xml:space="preserve"> Corresponding atomic structure models for the α-GeSe and β</w:t>
      </w:r>
      <w:bookmarkStart w:id="60" w:name="OLE_LINK57"/>
      <w:r>
        <w:rPr>
          <w:rFonts w:ascii="Times New Roman" w:hAnsi="Times New Roman" w:eastAsia="微软雅黑" w:cs="Times New Roman"/>
          <w:color w:val="000000"/>
          <w:kern w:val="24"/>
        </w:rPr>
        <w:t>-GeSe</w:t>
      </w:r>
      <w:bookmarkEnd w:id="60"/>
      <w:r>
        <w:rPr>
          <w:rFonts w:hint="eastAsia" w:ascii="Times New Roman" w:hAnsi="Times New Roman" w:eastAsia="微软雅黑" w:cs="Times New Roman"/>
          <w:color w:val="000000"/>
          <w:kern w:val="24"/>
        </w:rPr>
        <w:t xml:space="preserve"> viewed along </w:t>
      </w:r>
      <w:r>
        <w:rPr>
          <w:rFonts w:hint="eastAsia" w:ascii="Times New Roman" w:hAnsi="Times New Roman" w:eastAsia="微软雅黑" w:cs="Times New Roman"/>
          <w:color w:val="000000"/>
          <w:kern w:val="2"/>
        </w:rPr>
        <w:t>[010]</w:t>
      </w:r>
      <w:r>
        <w:rPr>
          <w:rFonts w:ascii="Times New Roman" w:hAnsi="Times New Roman" w:eastAsia="微软雅黑" w:cs="Times New Roman"/>
          <w:color w:val="000000"/>
          <w:kern w:val="2"/>
        </w:rPr>
        <w:t xml:space="preserve"> direction</w:t>
      </w:r>
      <w:r>
        <w:rPr>
          <w:rFonts w:ascii="Times New Roman" w:hAnsi="Times New Roman" w:eastAsia="微软雅黑" w:cs="Times New Roman"/>
          <w:color w:val="000000"/>
          <w:kern w:val="24"/>
        </w:rPr>
        <w:t>.</w:t>
      </w:r>
      <w:bookmarkEnd w:id="55"/>
      <w:bookmarkEnd w:id="57"/>
    </w:p>
    <w:p w14:paraId="0A7FF8ED">
      <w:pPr>
        <w:widowControl/>
        <w:spacing w:after="156" w:afterLines="50" w:line="360" w:lineRule="auto"/>
        <w:jc w:val="center"/>
        <w:rPr>
          <w:rFonts w:ascii="Times New Roman" w:hAnsi="Times New Roman" w:cs="Times New Roman"/>
          <w:b/>
          <w:bCs/>
          <w:sz w:val="24"/>
          <w:szCs w:val="24"/>
        </w:rPr>
      </w:pPr>
      <w:r>
        <w:rPr>
          <w:rFonts w:ascii="Times New Roman" w:hAnsi="Times New Roman" w:cs="Times New Roman"/>
          <w:b/>
          <w:bCs/>
          <w:sz w:val="24"/>
          <w:szCs w:val="24"/>
        </w:rPr>
        <w:drawing>
          <wp:inline distT="0" distB="0" distL="0" distR="0">
            <wp:extent cx="5473065" cy="6036310"/>
            <wp:effectExtent l="0" t="0" r="0" b="254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25"/>
                    <a:stretch>
                      <a:fillRect/>
                    </a:stretch>
                  </pic:blipFill>
                  <pic:spPr>
                    <a:xfrm>
                      <a:off x="0" y="0"/>
                      <a:ext cx="5478918" cy="6042836"/>
                    </a:xfrm>
                    <a:prstGeom prst="rect">
                      <a:avLst/>
                    </a:prstGeom>
                  </pic:spPr>
                </pic:pic>
              </a:graphicData>
            </a:graphic>
          </wp:inline>
        </w:drawing>
      </w:r>
    </w:p>
    <w:p w14:paraId="52A87B77">
      <w:pPr>
        <w:widowControl/>
        <w:spacing w:after="156" w:afterLines="50" w:line="360" w:lineRule="auto"/>
        <w:rPr>
          <w:rFonts w:ascii="Times New Roman" w:hAnsi="Times New Roman" w:cs="Times New Roman"/>
          <w:sz w:val="24"/>
          <w:szCs w:val="24"/>
        </w:rPr>
      </w:pPr>
      <w:r>
        <w:rPr>
          <w:rFonts w:ascii="Times New Roman" w:hAnsi="Times New Roman" w:cs="Times New Roman"/>
          <w:b/>
          <w:bCs/>
          <w:sz w:val="24"/>
          <w:szCs w:val="24"/>
        </w:rPr>
        <w:t xml:space="preserve">Supplementary Figure </w:t>
      </w:r>
      <w:r>
        <w:rPr>
          <w:rFonts w:hint="eastAsia" w:ascii="Times New Roman" w:hAnsi="Times New Roman" w:cs="Times New Roman"/>
          <w:b/>
          <w:bCs/>
          <w:sz w:val="24"/>
          <w:szCs w:val="24"/>
        </w:rPr>
        <w:t>20</w:t>
      </w:r>
      <w:r>
        <w:rPr>
          <w:rFonts w:ascii="Times New Roman" w:hAnsi="Times New Roman" w:cs="Times New Roman"/>
          <w:b/>
          <w:bCs/>
          <w:sz w:val="24"/>
          <w:szCs w:val="24"/>
        </w:rPr>
        <w:t xml:space="preserve">. </w:t>
      </w:r>
      <w:r>
        <w:rPr>
          <w:rFonts w:ascii="Times New Roman" w:hAnsi="Times New Roman" w:eastAsia="微软雅黑" w:cs="Times New Roman"/>
          <w:b/>
          <w:bCs/>
          <w:color w:val="000000"/>
          <w:sz w:val="24"/>
          <w:szCs w:val="24"/>
        </w:rPr>
        <w:t xml:space="preserve">In situ high-resolution TEM observation of a GeSe nanopillar during uniaxial compression along </w:t>
      </w:r>
      <w:r>
        <w:rPr>
          <w:rFonts w:hint="eastAsia" w:ascii="Times New Roman" w:hAnsi="Times New Roman" w:eastAsia="微软雅黑" w:cs="Times New Roman"/>
          <w:b/>
          <w:bCs/>
          <w:color w:val="000000"/>
          <w:sz w:val="24"/>
          <w:szCs w:val="24"/>
        </w:rPr>
        <w:t>[100]</w:t>
      </w:r>
      <w:r>
        <w:rPr>
          <w:rFonts w:ascii="Times New Roman" w:hAnsi="Times New Roman" w:eastAsia="微软雅黑" w:cs="Times New Roman"/>
          <w:b/>
          <w:bCs/>
          <w:color w:val="000000"/>
          <w:sz w:val="24"/>
          <w:szCs w:val="24"/>
        </w:rPr>
        <w:t xml:space="preserve"> </w:t>
      </w:r>
      <w:r>
        <w:rPr>
          <w:rFonts w:hint="eastAsia" w:ascii="Times New Roman" w:hAnsi="Times New Roman" w:eastAsia="微软雅黑" w:cs="Times New Roman"/>
          <w:b/>
          <w:bCs/>
          <w:color w:val="000000"/>
          <w:sz w:val="24"/>
          <w:szCs w:val="24"/>
        </w:rPr>
        <w:t>(</w:t>
      </w:r>
      <w:r>
        <w:rPr>
          <w:rFonts w:ascii="Times New Roman" w:hAnsi="Times New Roman" w:eastAsia="微软雅黑" w:cs="Times New Roman"/>
          <w:b/>
          <w:bCs/>
          <w:color w:val="000000"/>
          <w:sz w:val="24"/>
          <w:szCs w:val="24"/>
        </w:rPr>
        <w:t>zigzag</w:t>
      </w:r>
      <w:r>
        <w:rPr>
          <w:rFonts w:hint="eastAsia" w:ascii="Times New Roman" w:hAnsi="Times New Roman" w:eastAsia="微软雅黑" w:cs="Times New Roman"/>
          <w:b/>
          <w:bCs/>
          <w:color w:val="000000"/>
          <w:sz w:val="24"/>
          <w:szCs w:val="24"/>
        </w:rPr>
        <w:t>)</w:t>
      </w:r>
      <w:r>
        <w:rPr>
          <w:rFonts w:ascii="Times New Roman" w:hAnsi="Times New Roman" w:eastAsia="微软雅黑" w:cs="Times New Roman"/>
          <w:b/>
          <w:bCs/>
          <w:color w:val="000000"/>
          <w:sz w:val="24"/>
          <w:szCs w:val="24"/>
        </w:rPr>
        <w:t xml:space="preserve"> direction, imaged along </w:t>
      </w:r>
      <w:r>
        <w:rPr>
          <w:rFonts w:hint="eastAsia" w:ascii="Times New Roman" w:hAnsi="Times New Roman" w:eastAsia="微软雅黑" w:cs="Times New Roman"/>
          <w:b/>
          <w:bCs/>
          <w:color w:val="000000"/>
          <w:sz w:val="24"/>
          <w:szCs w:val="24"/>
        </w:rPr>
        <w:t>[001]</w:t>
      </w:r>
      <w:r>
        <w:rPr>
          <w:rFonts w:ascii="Times New Roman" w:hAnsi="Times New Roman" w:eastAsia="微软雅黑" w:cs="Times New Roman"/>
          <w:b/>
          <w:bCs/>
          <w:color w:val="000000"/>
          <w:sz w:val="24"/>
          <w:szCs w:val="24"/>
        </w:rPr>
        <w:t xml:space="preserve"> </w:t>
      </w:r>
      <w:r>
        <w:rPr>
          <w:rFonts w:hint="eastAsia" w:ascii="Times New Roman" w:hAnsi="Times New Roman" w:eastAsia="微软雅黑" w:cs="Times New Roman"/>
          <w:b/>
          <w:bCs/>
          <w:color w:val="000000"/>
          <w:sz w:val="24"/>
          <w:szCs w:val="24"/>
        </w:rPr>
        <w:t>(out-of-plane) direction</w:t>
      </w:r>
      <w:r>
        <w:rPr>
          <w:rFonts w:ascii="Times New Roman" w:hAnsi="Times New Roman" w:eastAsia="微软雅黑" w:cs="Times New Roman"/>
          <w:b/>
          <w:bCs/>
          <w:color w:val="000000"/>
          <w:sz w:val="24"/>
          <w:szCs w:val="24"/>
        </w:rPr>
        <w:t>.</w:t>
      </w:r>
      <w:r>
        <w:rPr>
          <w:rFonts w:ascii="Times New Roman" w:hAnsi="Times New Roman" w:cs="Times New Roman"/>
          <w:sz w:val="24"/>
          <w:szCs w:val="24"/>
        </w:rPr>
        <w:t xml:space="preserve"> </w:t>
      </w:r>
      <w:r>
        <w:rPr>
          <w:rFonts w:ascii="Times New Roman" w:hAnsi="Times New Roman" w:cs="Times New Roman"/>
          <w:b/>
          <w:bCs/>
          <w:sz w:val="24"/>
          <w:szCs w:val="24"/>
        </w:rPr>
        <w:t>a</w:t>
      </w:r>
      <w:r>
        <w:rPr>
          <w:rFonts w:ascii="Times New Roman" w:hAnsi="Times New Roman" w:cs="Times New Roman"/>
          <w:sz w:val="24"/>
          <w:szCs w:val="24"/>
        </w:rPr>
        <w:t>–</w:t>
      </w:r>
      <w:r>
        <w:rPr>
          <w:rFonts w:ascii="Times New Roman" w:hAnsi="Times New Roman" w:cs="Times New Roman"/>
          <w:b/>
          <w:bCs/>
          <w:sz w:val="24"/>
          <w:szCs w:val="24"/>
        </w:rPr>
        <w:t>e</w:t>
      </w:r>
      <w:r>
        <w:rPr>
          <w:rFonts w:hint="eastAsia" w:ascii="Times New Roman" w:hAnsi="Times New Roman" w:cs="Times New Roman"/>
          <w:sz w:val="24"/>
          <w:szCs w:val="24"/>
        </w:rPr>
        <w:t>,</w:t>
      </w:r>
      <w:r>
        <w:rPr>
          <w:rFonts w:ascii="Times New Roman" w:hAnsi="Times New Roman" w:cs="Times New Roman"/>
          <w:sz w:val="24"/>
          <w:szCs w:val="24"/>
        </w:rPr>
        <w:t xml:space="preserve"> Time-resolved HRTEM images (top row) and the corresponding FFT patterns (bottom row) acquired during continuous compression at 0, 95, 136, 157 and 166 s, respectively.</w:t>
      </w:r>
      <w:r>
        <w:rPr>
          <w:rFonts w:hint="eastAsia" w:ascii="Times New Roman" w:hAnsi="Times New Roman" w:cs="Times New Roman"/>
          <w:sz w:val="24"/>
          <w:szCs w:val="24"/>
        </w:rPr>
        <w:t xml:space="preserve"> </w:t>
      </w:r>
      <w:r>
        <w:rPr>
          <w:rFonts w:hint="eastAsia" w:ascii="Times New Roman" w:hAnsi="Times New Roman" w:cs="Times New Roman"/>
          <w:b/>
          <w:bCs/>
          <w:sz w:val="24"/>
          <w:szCs w:val="24"/>
        </w:rPr>
        <w:t>f</w:t>
      </w:r>
      <w:r>
        <w:rPr>
          <w:rFonts w:hint="eastAsia" w:ascii="Times New Roman" w:hAnsi="Times New Roman" w:cs="Times New Roman"/>
          <w:sz w:val="24"/>
          <w:szCs w:val="24"/>
        </w:rPr>
        <w:t xml:space="preserve">, The atomic-resolution HAADF-STEM image of region highlighted by the yellow dashed box in (a). </w:t>
      </w:r>
      <w:r>
        <w:rPr>
          <w:rFonts w:hint="eastAsia" w:ascii="Times New Roman" w:hAnsi="Times New Roman" w:cs="Times New Roman"/>
          <w:b/>
          <w:bCs/>
          <w:sz w:val="24"/>
          <w:szCs w:val="24"/>
        </w:rPr>
        <w:t>g</w:t>
      </w:r>
      <w:r>
        <w:rPr>
          <w:rFonts w:hint="eastAsia" w:ascii="Times New Roman" w:hAnsi="Times New Roman" w:cs="Times New Roman"/>
          <w:sz w:val="24"/>
          <w:szCs w:val="24"/>
        </w:rPr>
        <w:t xml:space="preserve">, The atomic-resolution HAADF-STEM image of region highlighted by the blue dashed box in (e). </w:t>
      </w:r>
      <w:r>
        <w:rPr>
          <w:rFonts w:hint="eastAsia" w:ascii="Times New Roman" w:hAnsi="Times New Roman" w:cs="Times New Roman"/>
          <w:b/>
          <w:bCs/>
          <w:sz w:val="24"/>
          <w:szCs w:val="24"/>
        </w:rPr>
        <w:t>h</w:t>
      </w:r>
      <w:r>
        <w:rPr>
          <w:rFonts w:hint="eastAsia" w:ascii="Times New Roman" w:hAnsi="Times New Roman" w:cs="Times New Roman"/>
          <w:sz w:val="24"/>
          <w:szCs w:val="24"/>
        </w:rPr>
        <w:t>,</w:t>
      </w:r>
      <w:r>
        <w:rPr>
          <w:rFonts w:hint="eastAsia" w:ascii="Times New Roman" w:hAnsi="Times New Roman" w:cs="Times New Roman"/>
          <w:b/>
          <w:bCs/>
          <w:sz w:val="24"/>
          <w:szCs w:val="24"/>
        </w:rPr>
        <w:t>i</w:t>
      </w:r>
      <w:r>
        <w:rPr>
          <w:rFonts w:hint="eastAsia" w:ascii="Times New Roman" w:hAnsi="Times New Roman" w:cs="Times New Roman"/>
          <w:sz w:val="24"/>
          <w:szCs w:val="24"/>
        </w:rPr>
        <w:t xml:space="preserve">, Enlarged views of the HAADF-STEM images in (f) and (g). </w:t>
      </w:r>
      <w:r>
        <w:rPr>
          <w:rFonts w:hint="eastAsia" w:ascii="Times New Roman" w:hAnsi="Times New Roman" w:cs="Times New Roman"/>
          <w:b/>
          <w:bCs/>
          <w:sz w:val="24"/>
          <w:szCs w:val="24"/>
        </w:rPr>
        <w:t>j</w:t>
      </w:r>
      <w:r>
        <w:rPr>
          <w:rFonts w:hint="eastAsia" w:ascii="Times New Roman" w:hAnsi="Times New Roman" w:cs="Times New Roman"/>
          <w:sz w:val="24"/>
          <w:szCs w:val="24"/>
        </w:rPr>
        <w:t>,</w:t>
      </w:r>
      <w:r>
        <w:rPr>
          <w:rFonts w:hint="eastAsia" w:ascii="Times New Roman" w:hAnsi="Times New Roman" w:cs="Times New Roman"/>
          <w:b/>
          <w:bCs/>
          <w:sz w:val="24"/>
          <w:szCs w:val="24"/>
        </w:rPr>
        <w:t>k</w:t>
      </w:r>
      <w:r>
        <w:rPr>
          <w:rFonts w:hint="eastAsia" w:ascii="Times New Roman" w:hAnsi="Times New Roman" w:cs="Times New Roman"/>
          <w:sz w:val="24"/>
          <w:szCs w:val="24"/>
        </w:rPr>
        <w:t>, Corresponding atomic structure models for th</w:t>
      </w:r>
      <w:r>
        <w:rPr>
          <w:rFonts w:ascii="Times New Roman" w:hAnsi="Times New Roman" w:cs="Times New Roman"/>
          <w:sz w:val="24"/>
          <w:szCs w:val="24"/>
        </w:rPr>
        <w:t>e α-GeSe and β-GeSe viewed alo</w:t>
      </w:r>
      <w:r>
        <w:rPr>
          <w:rFonts w:hint="eastAsia" w:ascii="Times New Roman" w:hAnsi="Times New Roman" w:cs="Times New Roman"/>
          <w:sz w:val="24"/>
          <w:szCs w:val="24"/>
        </w:rPr>
        <w:t>ng [001] direction.</w:t>
      </w:r>
    </w:p>
    <w:p w14:paraId="4A337466">
      <w:pPr>
        <w:pStyle w:val="29"/>
        <w:numPr>
          <w:ilvl w:val="0"/>
          <w:numId w:val="3"/>
        </w:numPr>
      </w:pPr>
      <w:bookmarkStart w:id="61" w:name="_Hlk183277067"/>
      <w:bookmarkStart w:id="62" w:name="_Hlk217299593"/>
      <w:r>
        <w:t>Anisotropic mechanical property of GeSe</w:t>
      </w:r>
      <w:bookmarkEnd w:id="61"/>
    </w:p>
    <w:bookmarkEnd w:id="62"/>
    <w:p w14:paraId="387D3D9E">
      <w:pPr>
        <w:spacing w:line="360" w:lineRule="auto"/>
        <w:rPr>
          <w:rFonts w:ascii="Times New Roman" w:hAnsi="Times New Roman" w:cs="Times New Roman"/>
          <w:sz w:val="24"/>
        </w:rPr>
      </w:pPr>
      <w:r>
        <w:rPr>
          <w:rFonts w:ascii="Times New Roman" w:hAnsi="Times New Roman" w:cs="Times New Roman"/>
          <w:sz w:val="24"/>
        </w:rPr>
        <w:t xml:space="preserve">As illustrated in </w:t>
      </w:r>
      <w:bookmarkStart w:id="63" w:name="OLE_LINK61"/>
      <w:r>
        <w:rPr>
          <w:rFonts w:ascii="Times New Roman" w:hAnsi="Times New Roman" w:cs="Times New Roman"/>
          <w:sz w:val="24"/>
        </w:rPr>
        <w:t>Supplementary Fig</w:t>
      </w:r>
      <w:r>
        <w:rPr>
          <w:rFonts w:hint="eastAsia" w:ascii="Times New Roman" w:hAnsi="Times New Roman" w:cs="Times New Roman"/>
          <w:sz w:val="24"/>
        </w:rPr>
        <w:t>.</w:t>
      </w:r>
      <w:r>
        <w:rPr>
          <w:rFonts w:ascii="Times New Roman" w:hAnsi="Times New Roman" w:cs="Times New Roman"/>
          <w:sz w:val="24"/>
        </w:rPr>
        <w:t xml:space="preserve"> </w:t>
      </w:r>
      <w:bookmarkEnd w:id="63"/>
      <w:r>
        <w:rPr>
          <w:rFonts w:hint="eastAsia" w:ascii="Times New Roman" w:hAnsi="Times New Roman" w:cs="Times New Roman"/>
          <w:sz w:val="24"/>
        </w:rPr>
        <w:t>21</w:t>
      </w:r>
      <w:r>
        <w:rPr>
          <w:rFonts w:ascii="Times New Roman" w:hAnsi="Times New Roman" w:cs="Times New Roman"/>
          <w:sz w:val="24"/>
        </w:rPr>
        <w:t>a, the unit cell α-GeSe in the (</w:t>
      </w:r>
      <w:r>
        <w:rPr>
          <w:rFonts w:hint="eastAsia" w:ascii="Times New Roman" w:hAnsi="Times New Roman" w:cs="Times New Roman"/>
          <w:sz w:val="24"/>
        </w:rPr>
        <w:t>10</w:t>
      </w:r>
      <w:r>
        <w:rPr>
          <w:rFonts w:ascii="Times New Roman" w:hAnsi="Times New Roman" w:cs="Times New Roman"/>
          <w:sz w:val="24"/>
        </w:rPr>
        <w:t>0)–(001) plane exhibits a characteristic puckered layered structure. The green and purple spheres represent Se and Ge atoms, respectively, forming the distinct "chair" conformation. This specific atomic arrangement is the structural origin of the material's pronounced mechanical anisotropy, as the bonding strength and lattice responses differ significantly along the [</w:t>
      </w:r>
      <w:r>
        <w:rPr>
          <w:rFonts w:hint="eastAsia" w:ascii="Times New Roman" w:hAnsi="Times New Roman" w:cs="Times New Roman"/>
          <w:sz w:val="24"/>
        </w:rPr>
        <w:t>1</w:t>
      </w:r>
      <w:r>
        <w:rPr>
          <w:rFonts w:ascii="Times New Roman" w:hAnsi="Times New Roman" w:cs="Times New Roman"/>
          <w:sz w:val="24"/>
        </w:rPr>
        <w:t>00] (zigzag) and [</w:t>
      </w:r>
      <w:r>
        <w:rPr>
          <w:rFonts w:hint="eastAsia" w:ascii="Times New Roman" w:hAnsi="Times New Roman" w:cs="Times New Roman"/>
          <w:sz w:val="24"/>
        </w:rPr>
        <w:t>010</w:t>
      </w:r>
      <w:r>
        <w:rPr>
          <w:rFonts w:ascii="Times New Roman" w:hAnsi="Times New Roman" w:cs="Times New Roman"/>
          <w:sz w:val="24"/>
        </w:rPr>
        <w:t xml:space="preserve">] (armchair) directions. The elastic properties of α-GeSe are highly orientation-dependent, as quantitatively depicted in the polar plots of </w:t>
      </w:r>
      <w:bookmarkStart w:id="64" w:name="OLE_LINK70"/>
      <w:r>
        <w:rPr>
          <w:rFonts w:ascii="Times New Roman" w:hAnsi="Times New Roman" w:cs="Times New Roman"/>
          <w:sz w:val="24"/>
        </w:rPr>
        <w:t>Supplementary</w:t>
      </w:r>
      <w:bookmarkEnd w:id="64"/>
      <w:r>
        <w:rPr>
          <w:rFonts w:ascii="Times New Roman" w:hAnsi="Times New Roman" w:cs="Times New Roman"/>
          <w:sz w:val="24"/>
        </w:rPr>
        <w:t xml:space="preserve"> Fig</w:t>
      </w:r>
      <w:r>
        <w:rPr>
          <w:rFonts w:hint="eastAsia" w:ascii="Times New Roman" w:hAnsi="Times New Roman" w:cs="Times New Roman"/>
          <w:sz w:val="24"/>
        </w:rPr>
        <w:t>.</w:t>
      </w:r>
      <w:r>
        <w:rPr>
          <w:rFonts w:ascii="Times New Roman" w:hAnsi="Times New Roman" w:cs="Times New Roman"/>
          <w:sz w:val="24"/>
        </w:rPr>
        <w:t xml:space="preserve"> </w:t>
      </w:r>
      <w:r>
        <w:rPr>
          <w:rFonts w:hint="eastAsia" w:ascii="Times New Roman" w:hAnsi="Times New Roman" w:cs="Times New Roman"/>
          <w:sz w:val="24"/>
        </w:rPr>
        <w:t>21</w:t>
      </w:r>
      <w:r>
        <w:rPr>
          <w:rFonts w:ascii="Times New Roman" w:hAnsi="Times New Roman" w:cs="Times New Roman"/>
          <w:sz w:val="24"/>
        </w:rPr>
        <w:t xml:space="preserve">b–d. Poisson’s Ratio: The polar plot of Poisson’s ratio </w:t>
      </w:r>
      <w:r>
        <w:rPr>
          <w:rFonts w:ascii="Times New Roman" w:hAnsi="Times New Roman" w:eastAsia="微软雅黑" w:cs="Times New Roman"/>
          <w:sz w:val="24"/>
        </w:rPr>
        <w:t>ν</w:t>
      </w:r>
      <w:r>
        <w:rPr>
          <w:rFonts w:ascii="Times New Roman" w:hAnsi="Times New Roman" w:cs="Times New Roman"/>
          <w:sz w:val="24"/>
        </w:rPr>
        <w:t xml:space="preserve"> exhibits a distinct four-fold symmetric distribution with significant orientation dependence</w:t>
      </w:r>
      <w:r>
        <w:rPr>
          <w:rFonts w:hint="eastAsia" w:ascii="Times New Roman" w:hAnsi="Times New Roman" w:cs="Times New Roman"/>
          <w:sz w:val="24"/>
        </w:rPr>
        <w:t xml:space="preserve"> </w:t>
      </w:r>
      <w:r>
        <w:rPr>
          <w:rFonts w:ascii="Times New Roman" w:hAnsi="Times New Roman" w:cs="Times New Roman"/>
          <w:sz w:val="24"/>
        </w:rPr>
        <w:t xml:space="preserve">(Supplementary Fig. </w:t>
      </w:r>
      <w:r>
        <w:rPr>
          <w:rFonts w:hint="eastAsia" w:ascii="Times New Roman" w:hAnsi="Times New Roman" w:cs="Times New Roman"/>
          <w:sz w:val="24"/>
        </w:rPr>
        <w:t>21</w:t>
      </w:r>
      <w:r>
        <w:rPr>
          <w:rFonts w:ascii="Times New Roman" w:hAnsi="Times New Roman" w:cs="Times New Roman"/>
          <w:sz w:val="24"/>
        </w:rPr>
        <w:t>b). The maxima reached along directions offset from the principal axes indicate regions of enhanced transverse coupling. This implies that uniaxial compression along a specific in-plane direction triggers a disproportionately large expansion in the orthogonal direction, providing the necessary geometric flexibility for the 'opening up' of the puckered structure during the chair-to-boat transition. Young’s modulus shows a prominent two-fold (appearing four-fold symmetric) distribution with a maximum along the 90°/270° axis (corresponding to the out-of-plane direction) and a significantly lower value along the 0°/180° armchair direction</w:t>
      </w:r>
      <w:r>
        <w:rPr>
          <w:rFonts w:hint="eastAsia" w:ascii="Times New Roman" w:hAnsi="Times New Roman" w:cs="Times New Roman"/>
          <w:sz w:val="24"/>
        </w:rPr>
        <w:t xml:space="preserve"> </w:t>
      </w:r>
      <w:r>
        <w:rPr>
          <w:rFonts w:ascii="Times New Roman" w:hAnsi="Times New Roman" w:cs="Times New Roman"/>
          <w:sz w:val="24"/>
        </w:rPr>
        <w:t>(Supplementary Fig</w:t>
      </w:r>
      <w:r>
        <w:rPr>
          <w:rFonts w:hint="eastAsia" w:ascii="Times New Roman" w:hAnsi="Times New Roman" w:cs="Times New Roman"/>
          <w:sz w:val="24"/>
        </w:rPr>
        <w:t>.</w:t>
      </w:r>
      <w:r>
        <w:rPr>
          <w:rFonts w:ascii="Times New Roman" w:hAnsi="Times New Roman" w:cs="Times New Roman"/>
          <w:sz w:val="24"/>
        </w:rPr>
        <w:t xml:space="preserve"> </w:t>
      </w:r>
      <w:r>
        <w:rPr>
          <w:rFonts w:hint="eastAsia" w:ascii="Times New Roman" w:hAnsi="Times New Roman" w:cs="Times New Roman"/>
          <w:sz w:val="24"/>
        </w:rPr>
        <w:t>21</w:t>
      </w:r>
      <w:r>
        <w:rPr>
          <w:rFonts w:ascii="Times New Roman" w:hAnsi="Times New Roman" w:cs="Times New Roman"/>
          <w:sz w:val="24"/>
        </w:rPr>
        <w:t>d). This indicates that the lattice is much stiffer when compressed along the [001] direction compared to the [</w:t>
      </w:r>
      <w:r>
        <w:rPr>
          <w:rFonts w:hint="eastAsia" w:ascii="Times New Roman" w:hAnsi="Times New Roman" w:cs="Times New Roman"/>
          <w:sz w:val="24"/>
        </w:rPr>
        <w:t>10</w:t>
      </w:r>
      <w:r>
        <w:rPr>
          <w:rFonts w:ascii="Times New Roman" w:hAnsi="Times New Roman" w:cs="Times New Roman"/>
          <w:sz w:val="24"/>
        </w:rPr>
        <w:t>0] direction. Shear Modulus: Similar anisotropy is observed in the shear modulus, with maxima at specific orientations (Supplementary Fig</w:t>
      </w:r>
      <w:r>
        <w:rPr>
          <w:rFonts w:hint="eastAsia" w:ascii="Times New Roman" w:hAnsi="Times New Roman" w:cs="Times New Roman"/>
          <w:sz w:val="24"/>
        </w:rPr>
        <w:t>.</w:t>
      </w:r>
      <w:r>
        <w:rPr>
          <w:rFonts w:ascii="Times New Roman" w:hAnsi="Times New Roman" w:cs="Times New Roman"/>
          <w:sz w:val="24"/>
        </w:rPr>
        <w:t xml:space="preserve"> </w:t>
      </w:r>
      <w:r>
        <w:rPr>
          <w:rFonts w:hint="eastAsia" w:ascii="Times New Roman" w:hAnsi="Times New Roman" w:cs="Times New Roman"/>
          <w:sz w:val="24"/>
        </w:rPr>
        <w:t>21</w:t>
      </w:r>
      <w:r>
        <w:rPr>
          <w:rFonts w:ascii="Times New Roman" w:hAnsi="Times New Roman" w:cs="Times New Roman"/>
          <w:sz w:val="24"/>
        </w:rPr>
        <w:t>c). This variability suggests that the resistance to shear deformation—the primary driver for the chair-to-boat transition—is highly sensitive to the direction of the applied load.</w:t>
      </w:r>
    </w:p>
    <w:p w14:paraId="0CEF1C1D">
      <w:pPr>
        <w:spacing w:line="360" w:lineRule="auto"/>
        <w:rPr>
          <w:rFonts w:ascii="Times New Roman" w:hAnsi="Times New Roman" w:cs="Times New Roman"/>
          <w:sz w:val="24"/>
        </w:rPr>
      </w:pPr>
      <w:r>
        <w:rPr>
          <w:rFonts w:ascii="Times New Roman" w:hAnsi="Times New Roman" w:cs="Times New Roman"/>
          <w:sz w:val="24"/>
        </w:rPr>
        <w:t xml:space="preserve">The mechanical anisotropy revealed in these plots directly governs the phase transformation behavior observed under strain. The lower Young’s modulus along </w:t>
      </w:r>
      <w:r>
        <w:rPr>
          <w:rFonts w:hint="eastAsia" w:ascii="Times New Roman" w:hAnsi="Times New Roman" w:cs="Times New Roman"/>
          <w:sz w:val="24"/>
        </w:rPr>
        <w:t xml:space="preserve">[010] </w:t>
      </w:r>
      <w:r>
        <w:rPr>
          <w:rFonts w:ascii="Times New Roman" w:hAnsi="Times New Roman" w:cs="Times New Roman"/>
          <w:sz w:val="24"/>
        </w:rPr>
        <w:t xml:space="preserve">directions explains why uniaxial compression along the </w:t>
      </w:r>
      <w:r>
        <w:rPr>
          <w:rFonts w:hint="eastAsia" w:ascii="Times New Roman" w:hAnsi="Times New Roman" w:cs="Times New Roman"/>
          <w:sz w:val="24"/>
        </w:rPr>
        <w:t>[001]</w:t>
      </w:r>
      <w:r>
        <w:rPr>
          <w:rFonts w:ascii="Times New Roman" w:hAnsi="Times New Roman" w:cs="Times New Roman"/>
          <w:sz w:val="24"/>
        </w:rPr>
        <w:t xml:space="preserve"> direction, coupled with shear strain </w:t>
      </w:r>
      <m:oMath>
        <m:sSub>
          <m:sSubPr>
            <m:ctrlPr>
              <w:rPr>
                <w:rFonts w:ascii="Cambria Math" w:hAnsi="Cambria Math" w:cs="Times New Roman"/>
                <w:i/>
                <w:sz w:val="24"/>
              </w:rPr>
            </m:ctrlPr>
          </m:sSubPr>
          <m:e>
            <m:r>
              <m:rPr/>
              <w:rPr>
                <w:rFonts w:ascii="Cambria Math" w:hAnsi="Cambria Math" w:cs="Times New Roman"/>
                <w:sz w:val="24"/>
              </w:rPr>
              <m:t>ε</m:t>
            </m:r>
            <m:ctrlPr>
              <w:rPr>
                <w:rFonts w:ascii="Cambria Math" w:hAnsi="Cambria Math" w:cs="Times New Roman"/>
                <w:i/>
                <w:sz w:val="24"/>
              </w:rPr>
            </m:ctrlPr>
          </m:e>
          <m:sub>
            <m:r>
              <m:rPr/>
              <w:rPr>
                <w:rFonts w:ascii="Cambria Math" w:hAnsi="Cambria Math" w:cs="Times New Roman"/>
                <w:sz w:val="24"/>
              </w:rPr>
              <m:t>yz</m:t>
            </m:r>
            <m:ctrlPr>
              <w:rPr>
                <w:rFonts w:ascii="Cambria Math" w:hAnsi="Cambria Math" w:cs="Times New Roman"/>
                <w:i/>
                <w:sz w:val="24"/>
              </w:rPr>
            </m:ctrlPr>
          </m:sub>
        </m:sSub>
      </m:oMath>
      <w:r>
        <w:rPr>
          <w:rFonts w:ascii="Times New Roman" w:hAnsi="Times New Roman" w:cs="Times New Roman"/>
          <w:sz w:val="24"/>
        </w:rPr>
        <w:t xml:space="preserve"> (which induces the (010) plane shift along the [001] direction), can so effectively trigger the structural deformation. The highly directional Poisson’s ratio acts as a “geometric governor”, determining how the lattice reshapes itself to accommodate external strain before the ultimate transition into the boat phase. These results provide a fundamental explanation for the anisotropic deformation observed in GeSe nanopillars (previously discussed in Supplementary Fig</w:t>
      </w:r>
      <w:r>
        <w:rPr>
          <w:rFonts w:hint="eastAsia" w:ascii="Times New Roman" w:hAnsi="Times New Roman" w:cs="Times New Roman"/>
          <w:sz w:val="24"/>
        </w:rPr>
        <w:t>. 15</w:t>
      </w:r>
      <w:r>
        <w:rPr>
          <w:rFonts w:ascii="Times New Roman" w:hAnsi="Times New Roman" w:cs="Times New Roman"/>
          <w:sz w:val="24"/>
        </w:rPr>
        <w:t xml:space="preserve">). Because the Young's modulus is lower and the Poisson's coupling is specific along the </w:t>
      </w:r>
      <w:r>
        <w:rPr>
          <w:rFonts w:hint="eastAsia" w:ascii="Times New Roman" w:hAnsi="Times New Roman" w:cs="Times New Roman"/>
          <w:sz w:val="24"/>
        </w:rPr>
        <w:t>[010]</w:t>
      </w:r>
      <w:r>
        <w:rPr>
          <w:rFonts w:ascii="Times New Roman" w:hAnsi="Times New Roman" w:cs="Times New Roman"/>
          <w:sz w:val="24"/>
        </w:rPr>
        <w:t xml:space="preserve"> (armchair) direction, the nanopillar exhibits much larger lateral expansion along </w:t>
      </w:r>
      <w:r>
        <w:rPr>
          <w:rFonts w:hint="eastAsia" w:ascii="Times New Roman" w:hAnsi="Times New Roman" w:cs="Times New Roman"/>
          <w:sz w:val="24"/>
        </w:rPr>
        <w:t>[010] direction</w:t>
      </w:r>
      <w:r>
        <w:rPr>
          <w:rFonts w:ascii="Times New Roman" w:hAnsi="Times New Roman" w:cs="Times New Roman"/>
          <w:sz w:val="24"/>
        </w:rPr>
        <w:t xml:space="preserve"> during the chair-to-boat transition. The directional minima in the shear modulus (Supplementary Fig</w:t>
      </w:r>
      <w:r>
        <w:rPr>
          <w:rFonts w:hint="eastAsia" w:ascii="Times New Roman" w:hAnsi="Times New Roman" w:cs="Times New Roman"/>
          <w:sz w:val="24"/>
        </w:rPr>
        <w:t>.</w:t>
      </w:r>
      <w:r>
        <w:rPr>
          <w:rFonts w:ascii="Times New Roman" w:hAnsi="Times New Roman" w:cs="Times New Roman"/>
          <w:sz w:val="24"/>
        </w:rPr>
        <w:t xml:space="preserve"> </w:t>
      </w:r>
      <w:r>
        <w:rPr>
          <w:rFonts w:hint="eastAsia" w:ascii="Times New Roman" w:hAnsi="Times New Roman" w:cs="Times New Roman"/>
          <w:sz w:val="24"/>
        </w:rPr>
        <w:t>21</w:t>
      </w:r>
      <w:r>
        <w:rPr>
          <w:rFonts w:ascii="Times New Roman" w:hAnsi="Times New Roman" w:cs="Times New Roman"/>
          <w:sz w:val="24"/>
        </w:rPr>
        <w:t>c) correlate with the facilitated "bond-flopping" mechanism. When external shear strain aligns with these low-resistance directions, the kinetic barrier for the dihedral angle shift (from 120° to 180°) is minimized, promoting the rapid propagation of the β-GeSe phase.</w:t>
      </w:r>
    </w:p>
    <w:p w14:paraId="252E7F7B">
      <w:pPr>
        <w:widowControl/>
        <w:spacing w:line="360" w:lineRule="auto"/>
        <w:rPr>
          <w:rFonts w:ascii="Times New Roman" w:hAnsi="Times New Roman" w:cs="Times New Roman"/>
          <w:sz w:val="24"/>
        </w:rPr>
      </w:pPr>
      <w:r>
        <w:rPr>
          <w:rFonts w:ascii="Times New Roman" w:hAnsi="Times New Roman" w:eastAsia="宋体"/>
          <w:sz w:val="24"/>
          <w:szCs w:val="24"/>
        </w:rPr>
        <w:t>T</w:t>
      </w:r>
      <w:r>
        <w:rPr>
          <w:rFonts w:ascii="Times New Roman" w:hAnsi="Times New Roman" w:cs="Times New Roman"/>
          <w:sz w:val="24"/>
        </w:rPr>
        <w:t>o understand the propagation of phase transition, we investigate the electron resonance during chair to boat transformation transition. Here, we only investigate the first reaction step that only one Se atom flopping to saddle point of chair</w:t>
      </w:r>
      <w:r>
        <w:rPr>
          <w:rFonts w:hint="eastAsia" w:ascii="Times New Roman" w:hAnsi="Times New Roman" w:cs="Times New Roman"/>
          <w:sz w:val="24"/>
        </w:rPr>
        <w:t xml:space="preserve"> </w:t>
      </w:r>
      <w:r>
        <w:rPr>
          <w:rFonts w:ascii="Times New Roman" w:hAnsi="Times New Roman" w:cs="Times New Roman"/>
          <w:sz w:val="24"/>
        </w:rPr>
        <w:t xml:space="preserve">to boat transformation. The position of the Se atom is shown in </w:t>
      </w:r>
      <w:bookmarkStart w:id="65" w:name="OLE_LINK67"/>
      <w:r>
        <w:rPr>
          <w:rFonts w:ascii="Times New Roman" w:hAnsi="Times New Roman" w:eastAsia="等线" w:cs="Times New Roman"/>
          <w:sz w:val="24"/>
          <w:szCs w:val="24"/>
        </w:rPr>
        <w:t>Supplementary Fig</w:t>
      </w:r>
      <w:r>
        <w:rPr>
          <w:rFonts w:hint="eastAsia" w:ascii="Times New Roman" w:hAnsi="Times New Roman" w:eastAsia="等线" w:cs="Times New Roman"/>
          <w:sz w:val="24"/>
          <w:szCs w:val="24"/>
        </w:rPr>
        <w:t>.</w:t>
      </w:r>
      <w:r>
        <w:rPr>
          <w:rFonts w:ascii="Times New Roman" w:hAnsi="Times New Roman" w:eastAsia="等线" w:cs="Times New Roman"/>
          <w:sz w:val="24"/>
          <w:szCs w:val="24"/>
        </w:rPr>
        <w:t xml:space="preserve"> </w:t>
      </w:r>
      <w:r>
        <w:rPr>
          <w:rFonts w:hint="eastAsia" w:ascii="Times New Roman" w:hAnsi="Times New Roman" w:eastAsia="等线" w:cs="Times New Roman"/>
          <w:sz w:val="24"/>
          <w:szCs w:val="24"/>
        </w:rPr>
        <w:t>22</w:t>
      </w:r>
      <w:r>
        <w:rPr>
          <w:rFonts w:ascii="Times New Roman" w:hAnsi="Times New Roman" w:cs="Times New Roman"/>
          <w:sz w:val="24"/>
        </w:rPr>
        <w:t>a-c</w:t>
      </w:r>
      <w:bookmarkEnd w:id="65"/>
      <w:r>
        <w:rPr>
          <w:rFonts w:ascii="Times New Roman" w:hAnsi="Times New Roman" w:cs="Times New Roman"/>
          <w:sz w:val="24"/>
        </w:rPr>
        <w:t xml:space="preserve">. The corresponding charge density difference indicates electron accumulation and dissipation. The charge density difference reveals that the direction exhibiting a more significant change in electron density with increasing distance corresponds to the direction of electron resonance, highlighting a stronger electronic response. Supplementary Fig. </w:t>
      </w:r>
      <w:r>
        <w:rPr>
          <w:rFonts w:hint="eastAsia" w:ascii="Times New Roman" w:hAnsi="Times New Roman" w:cs="Times New Roman"/>
          <w:sz w:val="24"/>
        </w:rPr>
        <w:t>22</w:t>
      </w:r>
      <w:r>
        <w:rPr>
          <w:rFonts w:ascii="Times New Roman" w:hAnsi="Times New Roman" w:cs="Times New Roman"/>
          <w:sz w:val="24"/>
        </w:rPr>
        <w:t>d-f show</w:t>
      </w:r>
      <w:r>
        <w:rPr>
          <w:rFonts w:hint="eastAsia" w:ascii="Times New Roman" w:hAnsi="Times New Roman" w:cs="Times New Roman"/>
          <w:sz w:val="24"/>
        </w:rPr>
        <w:t>s</w:t>
      </w:r>
      <w:r>
        <w:rPr>
          <w:rFonts w:ascii="Times New Roman" w:hAnsi="Times New Roman" w:cs="Times New Roman"/>
          <w:sz w:val="24"/>
        </w:rPr>
        <w:t xml:space="preserve"> that the electron resonant directions are along &lt;021&gt; and &lt;</w:t>
      </w:r>
      <w:r>
        <w:rPr>
          <w:rFonts w:hint="eastAsia" w:ascii="Times New Roman" w:hAnsi="Times New Roman" w:cs="Times New Roman"/>
          <w:sz w:val="24"/>
        </w:rPr>
        <w:t>01</w:t>
      </w:r>
      <w:r>
        <w:rPr>
          <w:rFonts w:ascii="Times New Roman" w:hAnsi="Times New Roman" w:cs="Times New Roman"/>
          <w:sz w:val="24"/>
        </w:rPr>
        <w:t>0&gt;</w:t>
      </w:r>
      <w:r>
        <w:rPr>
          <w:rFonts w:hint="eastAsia" w:ascii="Times New Roman" w:hAnsi="Times New Roman" w:cs="Times New Roman"/>
          <w:sz w:val="24"/>
        </w:rPr>
        <w:t xml:space="preserve"> directions</w:t>
      </w:r>
      <w:r>
        <w:rPr>
          <w:rFonts w:ascii="Times New Roman" w:hAnsi="Times New Roman" w:cs="Times New Roman"/>
          <w:sz w:val="24"/>
        </w:rPr>
        <w:t>. Therefore, the fast directions of chair to boat transformation transition are along &lt;021&gt; and &lt;0</w:t>
      </w:r>
      <w:r>
        <w:rPr>
          <w:rFonts w:hint="eastAsia" w:ascii="Times New Roman" w:hAnsi="Times New Roman" w:cs="Times New Roman"/>
          <w:sz w:val="24"/>
        </w:rPr>
        <w:t>10</w:t>
      </w:r>
      <w:r>
        <w:rPr>
          <w:rFonts w:ascii="Times New Roman" w:hAnsi="Times New Roman" w:cs="Times New Roman"/>
          <w:sz w:val="24"/>
        </w:rPr>
        <w:t>&gt;</w:t>
      </w:r>
      <w:r>
        <w:rPr>
          <w:rFonts w:hint="eastAsia" w:ascii="Times New Roman" w:hAnsi="Times New Roman" w:cs="Times New Roman"/>
          <w:sz w:val="24"/>
        </w:rPr>
        <w:t xml:space="preserve"> directions</w:t>
      </w:r>
      <w:r>
        <w:rPr>
          <w:rFonts w:ascii="Times New Roman" w:hAnsi="Times New Roman" w:cs="Times New Roman"/>
          <w:sz w:val="24"/>
        </w:rPr>
        <w:t>, which are consistent with experimental observation.</w:t>
      </w:r>
    </w:p>
    <w:p w14:paraId="0F61CA63">
      <w:pPr>
        <w:rPr>
          <w:rFonts w:ascii="Times New Roman" w:hAnsi="Times New Roman" w:cs="Times New Roman"/>
          <w:sz w:val="24"/>
        </w:rPr>
      </w:pPr>
    </w:p>
    <w:p w14:paraId="46FEB404">
      <w:pPr>
        <w:jc w:val="center"/>
        <w:rPr>
          <w:rFonts w:ascii="Times New Roman" w:hAnsi="Times New Roman" w:cs="Times New Roman"/>
          <w:sz w:val="24"/>
        </w:rPr>
      </w:pPr>
      <w:r>
        <w:rPr>
          <w:rFonts w:ascii="Times New Roman" w:hAnsi="Times New Roman" w:cs="Times New Roman"/>
          <w:sz w:val="24"/>
        </w:rPr>
        <w:drawing>
          <wp:inline distT="0" distB="0" distL="0" distR="0">
            <wp:extent cx="5605780" cy="4378960"/>
            <wp:effectExtent l="0" t="0" r="0" b="2540"/>
            <wp:docPr id="2483840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384026" name="图片 1"/>
                    <pic:cNvPicPr>
                      <a:picLocks noChangeAspect="1"/>
                    </pic:cNvPicPr>
                  </pic:nvPicPr>
                  <pic:blipFill>
                    <a:blip r:embed="rId26"/>
                    <a:stretch>
                      <a:fillRect/>
                    </a:stretch>
                  </pic:blipFill>
                  <pic:spPr>
                    <a:xfrm>
                      <a:off x="0" y="0"/>
                      <a:ext cx="5607205" cy="4380006"/>
                    </a:xfrm>
                    <a:prstGeom prst="rect">
                      <a:avLst/>
                    </a:prstGeom>
                  </pic:spPr>
                </pic:pic>
              </a:graphicData>
            </a:graphic>
          </wp:inline>
        </w:drawing>
      </w:r>
    </w:p>
    <w:p w14:paraId="344CC60F">
      <w:pPr>
        <w:spacing w:line="360" w:lineRule="auto"/>
        <w:rPr>
          <w:rFonts w:ascii="Times New Roman" w:hAnsi="Times New Roman" w:cs="Times New Roman"/>
          <w:sz w:val="24"/>
        </w:rPr>
      </w:pPr>
      <w:r>
        <w:rPr>
          <w:rFonts w:ascii="Times New Roman" w:hAnsi="Times New Roman" w:eastAsia="等线"/>
          <w:b/>
          <w:bCs/>
          <w:color w:val="000000"/>
          <w:sz w:val="24"/>
          <w:szCs w:val="28"/>
        </w:rPr>
        <w:t xml:space="preserve">Supplementary Figure </w:t>
      </w:r>
      <w:r>
        <w:rPr>
          <w:rFonts w:hint="eastAsia" w:ascii="Times New Roman" w:hAnsi="Times New Roman" w:eastAsia="等线"/>
          <w:b/>
          <w:bCs/>
          <w:color w:val="000000"/>
          <w:sz w:val="24"/>
          <w:szCs w:val="28"/>
        </w:rPr>
        <w:t>21</w:t>
      </w:r>
      <w:r>
        <w:rPr>
          <w:rFonts w:ascii="Times New Roman" w:hAnsi="Times New Roman" w:eastAsia="等线"/>
          <w:b/>
          <w:bCs/>
          <w:color w:val="000000"/>
          <w:sz w:val="24"/>
          <w:szCs w:val="28"/>
        </w:rPr>
        <w:t xml:space="preserve">. </w:t>
      </w:r>
      <w:bookmarkStart w:id="66" w:name="OLE_LINK12"/>
      <w:r>
        <w:rPr>
          <w:rFonts w:hint="eastAsia" w:ascii="Times New Roman" w:hAnsi="Times New Roman" w:cs="Times New Roman"/>
          <w:b/>
          <w:bCs/>
          <w:sz w:val="24"/>
        </w:rPr>
        <w:t>a</w:t>
      </w:r>
      <w:r>
        <w:rPr>
          <w:rFonts w:hint="eastAsia" w:ascii="Times New Roman" w:hAnsi="Times New Roman" w:cs="Times New Roman"/>
          <w:sz w:val="24"/>
        </w:rPr>
        <w:t>,</w:t>
      </w:r>
      <w:bookmarkEnd w:id="66"/>
      <w:r>
        <w:rPr>
          <w:rFonts w:hint="eastAsia" w:ascii="Times New Roman" w:hAnsi="Times New Roman" w:cs="Times New Roman"/>
          <w:sz w:val="24"/>
        </w:rPr>
        <w:t xml:space="preserve"> Schematic of the crystal structure of GeSe viewed along [100] direction with Se and Ge atoms represented by green and purple spheres, respectively. The unit cell is outlined by a gray rectangle. </w:t>
      </w:r>
      <m:oMath>
        <m:r>
          <m:rPr/>
          <w:rPr>
            <w:rFonts w:ascii="Cambria Math" w:hAnsi="Cambria Math" w:eastAsia="宋体"/>
            <w:color w:val="000000" w:themeColor="text1"/>
            <w:sz w:val="24"/>
            <w:szCs w:val="24"/>
            <w14:textFill>
              <w14:solidFill>
                <w14:schemeClr w14:val="tx1"/>
              </w14:solidFill>
            </w14:textFill>
          </w:rPr>
          <m:t>θ</m:t>
        </m:r>
      </m:oMath>
      <w:r>
        <w:rPr>
          <w:rFonts w:ascii="Times New Roman" w:hAnsi="Times New Roman" w:eastAsia="宋体"/>
          <w:color w:val="000000" w:themeColor="text1"/>
          <w:sz w:val="24"/>
          <w:szCs w:val="24"/>
          <w14:textFill>
            <w14:solidFill>
              <w14:schemeClr w14:val="tx1"/>
            </w14:solidFill>
          </w14:textFill>
        </w:rPr>
        <w:t xml:space="preserve"> is denoted as the angle between the loading direction</w:t>
      </w:r>
      <w:r>
        <w:rPr>
          <w:rFonts w:hint="eastAsia" w:ascii="Times New Roman" w:hAnsi="Times New Roman" w:eastAsia="宋体"/>
          <w:color w:val="000000" w:themeColor="text1"/>
          <w:sz w:val="24"/>
          <w:szCs w:val="24"/>
          <w14:textFill>
            <w14:solidFill>
              <w14:schemeClr w14:val="tx1"/>
            </w14:solidFill>
          </w14:textFill>
        </w:rPr>
        <w:t xml:space="preserve"> </w:t>
      </w:r>
      <w:r>
        <w:rPr>
          <w:rFonts w:ascii="Times New Roman" w:hAnsi="Times New Roman" w:eastAsia="宋体"/>
          <w:color w:val="000000" w:themeColor="text1"/>
          <w:sz w:val="24"/>
          <w:szCs w:val="24"/>
          <w14:textFill>
            <w14:solidFill>
              <w14:schemeClr w14:val="tx1"/>
            </w14:solidFill>
          </w14:textFill>
        </w:rPr>
        <w:t>and</w:t>
      </w:r>
      <w:r>
        <w:rPr>
          <w:rFonts w:hint="eastAsia" w:ascii="Times New Roman" w:hAnsi="Times New Roman" w:eastAsia="宋体"/>
          <w:color w:val="000000" w:themeColor="text1"/>
          <w:sz w:val="24"/>
          <w:szCs w:val="24"/>
          <w14:textFill>
            <w14:solidFill>
              <w14:schemeClr w14:val="tx1"/>
            </w14:solidFill>
          </w14:textFill>
        </w:rPr>
        <w:t xml:space="preserve"> armchair </w:t>
      </w:r>
      <w:r>
        <w:rPr>
          <w:rFonts w:ascii="Times New Roman" w:hAnsi="Times New Roman" w:eastAsia="宋体"/>
          <w:color w:val="000000" w:themeColor="text1"/>
          <w:sz w:val="24"/>
          <w:szCs w:val="24"/>
          <w14:textFill>
            <w14:solidFill>
              <w14:schemeClr w14:val="tx1"/>
            </w14:solidFill>
          </w14:textFill>
        </w:rPr>
        <w:t>direction</w:t>
      </w:r>
      <w:r>
        <w:rPr>
          <w:rFonts w:hint="eastAsia" w:ascii="Times New Roman" w:hAnsi="Times New Roman" w:eastAsia="宋体"/>
          <w:color w:val="000000" w:themeColor="text1"/>
          <w:sz w:val="24"/>
          <w:szCs w:val="24"/>
          <w14:textFill>
            <w14:solidFill>
              <w14:schemeClr w14:val="tx1"/>
            </w14:solidFill>
          </w14:textFill>
        </w:rPr>
        <w:t xml:space="preserve"> of GeSe.</w:t>
      </w:r>
      <w:r>
        <w:rPr>
          <w:rFonts w:hint="eastAsia" w:ascii="Times New Roman" w:hAnsi="Times New Roman" w:cs="Times New Roman"/>
          <w:sz w:val="24"/>
        </w:rPr>
        <w:t xml:space="preserve"> </w:t>
      </w:r>
      <w:r>
        <w:rPr>
          <w:rFonts w:hint="eastAsia" w:ascii="Times New Roman" w:hAnsi="Times New Roman" w:cs="Times New Roman"/>
          <w:b/>
          <w:bCs/>
          <w:sz w:val="24"/>
        </w:rPr>
        <w:t>b</w:t>
      </w:r>
      <w:r>
        <w:rPr>
          <w:rFonts w:hint="eastAsia" w:ascii="Times New Roman" w:hAnsi="Times New Roman" w:cs="Times New Roman"/>
          <w:sz w:val="24"/>
        </w:rPr>
        <w:t>, Polar plots of Poisson</w:t>
      </w:r>
      <w:r>
        <w:rPr>
          <w:rFonts w:ascii="Times New Roman" w:hAnsi="Times New Roman" w:cs="Times New Roman"/>
          <w:sz w:val="24"/>
        </w:rPr>
        <w:t>’</w:t>
      </w:r>
      <w:r>
        <w:rPr>
          <w:rFonts w:hint="eastAsia" w:ascii="Times New Roman" w:hAnsi="Times New Roman" w:cs="Times New Roman"/>
          <w:sz w:val="24"/>
        </w:rPr>
        <w:t xml:space="preserve">s ratio, </w:t>
      </w:r>
      <w:bookmarkStart w:id="67" w:name="OLE_LINK13"/>
      <w:r>
        <w:rPr>
          <w:rFonts w:hint="eastAsia" w:ascii="Times New Roman" w:hAnsi="Times New Roman" w:cs="Times New Roman"/>
          <w:b/>
          <w:bCs/>
          <w:sz w:val="24"/>
        </w:rPr>
        <w:t>c</w:t>
      </w:r>
      <w:r>
        <w:rPr>
          <w:rFonts w:hint="eastAsia" w:ascii="Times New Roman" w:hAnsi="Times New Roman" w:cs="Times New Roman"/>
          <w:sz w:val="24"/>
        </w:rPr>
        <w:t>,</w:t>
      </w:r>
      <w:bookmarkEnd w:id="67"/>
      <w:r>
        <w:rPr>
          <w:rFonts w:hint="eastAsia" w:ascii="Times New Roman" w:hAnsi="Times New Roman" w:cs="Times New Roman"/>
          <w:sz w:val="24"/>
        </w:rPr>
        <w:t xml:space="preserve"> shear modulus, and </w:t>
      </w:r>
      <w:r>
        <w:rPr>
          <w:rFonts w:hint="eastAsia" w:ascii="Times New Roman" w:hAnsi="Times New Roman" w:cs="Times New Roman"/>
          <w:b/>
          <w:bCs/>
          <w:sz w:val="24"/>
        </w:rPr>
        <w:t>d</w:t>
      </w:r>
      <w:r>
        <w:rPr>
          <w:rFonts w:hint="eastAsia" w:ascii="Times New Roman" w:hAnsi="Times New Roman" w:cs="Times New Roman"/>
          <w:sz w:val="24"/>
        </w:rPr>
        <w:t>, Young</w:t>
      </w:r>
      <w:r>
        <w:rPr>
          <w:rFonts w:ascii="Times New Roman" w:hAnsi="Times New Roman" w:cs="Times New Roman"/>
          <w:sz w:val="24"/>
        </w:rPr>
        <w:t>’</w:t>
      </w:r>
      <w:r>
        <w:rPr>
          <w:rFonts w:hint="eastAsia" w:ascii="Times New Roman" w:hAnsi="Times New Roman" w:cs="Times New Roman"/>
          <w:sz w:val="24"/>
        </w:rPr>
        <w:t>s modulus as a function of orientation. Each plot shows a fourfold symmetric distribution with maxima and minima at specific angles.</w:t>
      </w:r>
    </w:p>
    <w:p w14:paraId="5C8E51D0">
      <w:pPr>
        <w:spacing w:line="360" w:lineRule="auto"/>
        <w:rPr>
          <w:rFonts w:ascii="Times New Roman" w:hAnsi="Times New Roman" w:cs="Times New Roman"/>
          <w:sz w:val="24"/>
        </w:rPr>
      </w:pPr>
    </w:p>
    <w:p w14:paraId="3F010B4C">
      <w:pPr>
        <w:widowControl/>
        <w:spacing w:line="360" w:lineRule="auto"/>
        <w:rPr>
          <w:rFonts w:ascii="Times New Roman" w:hAnsi="Times New Roman" w:cs="Times New Roman"/>
          <w:sz w:val="24"/>
        </w:rPr>
      </w:pPr>
    </w:p>
    <w:p w14:paraId="45E1CFC9">
      <w:pPr>
        <w:widowControl/>
        <w:jc w:val="center"/>
        <w:rPr>
          <w:rFonts w:ascii="Times New Roman" w:hAnsi="Times New Roman" w:eastAsia="宋体"/>
          <w:sz w:val="24"/>
          <w:szCs w:val="24"/>
        </w:rPr>
      </w:pPr>
      <w:r>
        <w:rPr>
          <w:rFonts w:ascii="Times New Roman" w:hAnsi="Times New Roman" w:eastAsia="宋体"/>
          <w:sz w:val="24"/>
          <w:szCs w:val="24"/>
        </w:rPr>
        <w:drawing>
          <wp:inline distT="0" distB="0" distL="0" distR="0">
            <wp:extent cx="5661025" cy="3618230"/>
            <wp:effectExtent l="0" t="0" r="0" b="1270"/>
            <wp:docPr id="8327959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795915" name="图片 2"/>
                    <pic:cNvPicPr>
                      <a:picLocks noChangeAspect="1"/>
                    </pic:cNvPicPr>
                  </pic:nvPicPr>
                  <pic:blipFill>
                    <a:blip r:embed="rId27"/>
                    <a:stretch>
                      <a:fillRect/>
                    </a:stretch>
                  </pic:blipFill>
                  <pic:spPr>
                    <a:xfrm>
                      <a:off x="0" y="0"/>
                      <a:ext cx="5675358" cy="3627427"/>
                    </a:xfrm>
                    <a:prstGeom prst="rect">
                      <a:avLst/>
                    </a:prstGeom>
                  </pic:spPr>
                </pic:pic>
              </a:graphicData>
            </a:graphic>
          </wp:inline>
        </w:drawing>
      </w:r>
    </w:p>
    <w:p w14:paraId="61D3BE13">
      <w:pPr>
        <w:widowControl/>
        <w:spacing w:line="360" w:lineRule="auto"/>
        <w:rPr>
          <w:rFonts w:ascii="Times New Roman" w:hAnsi="Times New Roman" w:eastAsia="宋体"/>
          <w:sz w:val="24"/>
          <w:szCs w:val="24"/>
        </w:rPr>
      </w:pPr>
      <w:bookmarkStart w:id="68" w:name="OLE_LINK66"/>
      <w:r>
        <w:rPr>
          <w:rFonts w:ascii="Times New Roman" w:hAnsi="Times New Roman" w:eastAsia="等线" w:cs="Times New Roman"/>
          <w:b/>
          <w:bCs/>
          <w:sz w:val="24"/>
          <w:szCs w:val="24"/>
        </w:rPr>
        <w:t xml:space="preserve">Supplementary Figure </w:t>
      </w:r>
      <w:r>
        <w:rPr>
          <w:rFonts w:hint="eastAsia" w:ascii="Times New Roman" w:hAnsi="Times New Roman" w:eastAsia="等线" w:cs="Times New Roman"/>
          <w:b/>
          <w:bCs/>
          <w:sz w:val="24"/>
          <w:szCs w:val="24"/>
        </w:rPr>
        <w:t>22</w:t>
      </w:r>
      <w:r>
        <w:rPr>
          <w:rFonts w:ascii="Times New Roman" w:hAnsi="Times New Roman" w:eastAsia="等线" w:cs="Times New Roman"/>
          <w:b/>
          <w:bCs/>
          <w:sz w:val="24"/>
          <w:szCs w:val="24"/>
        </w:rPr>
        <w:t>.</w:t>
      </w:r>
      <w:bookmarkEnd w:id="68"/>
      <w:r>
        <w:rPr>
          <w:rFonts w:ascii="Times New Roman" w:hAnsi="Times New Roman" w:eastAsia="宋体"/>
          <w:sz w:val="24"/>
          <w:szCs w:val="24"/>
        </w:rPr>
        <w:t xml:space="preserve"> </w:t>
      </w:r>
      <w:r>
        <w:rPr>
          <w:rFonts w:ascii="Times New Roman" w:hAnsi="Times New Roman" w:eastAsia="宋体"/>
          <w:b/>
          <w:bCs/>
          <w:sz w:val="24"/>
          <w:szCs w:val="24"/>
        </w:rPr>
        <w:t>Electron resonance during chair</w:t>
      </w:r>
      <w:r>
        <w:rPr>
          <w:rFonts w:hint="eastAsia" w:ascii="Times New Roman" w:hAnsi="Times New Roman" w:eastAsia="宋体"/>
          <w:b/>
          <w:bCs/>
          <w:sz w:val="24"/>
          <w:szCs w:val="24"/>
        </w:rPr>
        <w:t>-</w:t>
      </w:r>
      <w:r>
        <w:rPr>
          <w:rFonts w:ascii="Times New Roman" w:hAnsi="Times New Roman" w:eastAsia="宋体"/>
          <w:b/>
          <w:bCs/>
          <w:sz w:val="24"/>
          <w:szCs w:val="24"/>
        </w:rPr>
        <w:t xml:space="preserve">boat </w:t>
      </w:r>
      <w:r>
        <w:rPr>
          <w:rFonts w:hint="eastAsia" w:ascii="Times New Roman" w:hAnsi="Times New Roman" w:eastAsia="宋体"/>
          <w:b/>
          <w:bCs/>
          <w:sz w:val="24"/>
          <w:szCs w:val="24"/>
        </w:rPr>
        <w:t>con</w:t>
      </w:r>
      <w:r>
        <w:rPr>
          <w:rFonts w:ascii="Times New Roman" w:hAnsi="Times New Roman" w:eastAsia="宋体"/>
          <w:b/>
          <w:bCs/>
          <w:sz w:val="24"/>
          <w:szCs w:val="24"/>
        </w:rPr>
        <w:t>formation transition.</w:t>
      </w:r>
      <w:r>
        <w:rPr>
          <w:rFonts w:ascii="Times New Roman" w:hAnsi="Times New Roman" w:eastAsia="宋体"/>
          <w:sz w:val="24"/>
          <w:szCs w:val="24"/>
        </w:rPr>
        <w:t xml:space="preserve"> </w:t>
      </w:r>
      <w:r>
        <w:rPr>
          <w:rFonts w:ascii="Times New Roman" w:hAnsi="Times New Roman" w:eastAsia="宋体"/>
          <w:b/>
          <w:bCs/>
          <w:sz w:val="24"/>
          <w:szCs w:val="24"/>
        </w:rPr>
        <w:t>a</w:t>
      </w:r>
      <w:r>
        <w:rPr>
          <w:rFonts w:ascii="Times New Roman" w:hAnsi="Times New Roman" w:eastAsia="宋体"/>
          <w:sz w:val="24"/>
          <w:szCs w:val="24"/>
        </w:rPr>
        <w:t>-</w:t>
      </w:r>
      <w:r>
        <w:rPr>
          <w:rFonts w:ascii="Times New Roman" w:hAnsi="Times New Roman" w:eastAsia="宋体"/>
          <w:b/>
          <w:bCs/>
          <w:sz w:val="24"/>
          <w:szCs w:val="24"/>
        </w:rPr>
        <w:t>c</w:t>
      </w:r>
      <w:r>
        <w:rPr>
          <w:rFonts w:hint="eastAsia" w:ascii="Times New Roman" w:hAnsi="Times New Roman" w:eastAsia="宋体"/>
          <w:sz w:val="24"/>
          <w:szCs w:val="24"/>
        </w:rPr>
        <w:t>,</w:t>
      </w:r>
      <w:r>
        <w:rPr>
          <w:rFonts w:ascii="Times New Roman" w:hAnsi="Times New Roman" w:eastAsia="宋体"/>
          <w:sz w:val="24"/>
          <w:szCs w:val="24"/>
        </w:rPr>
        <w:t xml:space="preserve"> Atomic structures of bulk GeSe with one Se atom at saddle point of </w:t>
      </w:r>
      <w:bookmarkStart w:id="69" w:name="OLE_LINK14"/>
      <w:r>
        <w:rPr>
          <w:rFonts w:ascii="Times New Roman" w:hAnsi="Times New Roman" w:eastAsia="宋体"/>
          <w:sz w:val="24"/>
          <w:szCs w:val="24"/>
        </w:rPr>
        <w:t>chair</w:t>
      </w:r>
      <w:r>
        <w:rPr>
          <w:rFonts w:hint="eastAsia" w:ascii="Times New Roman" w:hAnsi="Times New Roman" w:eastAsia="宋体"/>
          <w:sz w:val="24"/>
          <w:szCs w:val="24"/>
        </w:rPr>
        <w:t>-</w:t>
      </w:r>
      <w:r>
        <w:rPr>
          <w:rFonts w:ascii="Times New Roman" w:hAnsi="Times New Roman" w:eastAsia="宋体"/>
          <w:sz w:val="24"/>
          <w:szCs w:val="24"/>
        </w:rPr>
        <w:t xml:space="preserve">boat </w:t>
      </w:r>
      <w:r>
        <w:rPr>
          <w:rFonts w:hint="eastAsia" w:ascii="Times New Roman" w:hAnsi="Times New Roman" w:eastAsia="宋体"/>
          <w:sz w:val="24"/>
          <w:szCs w:val="24"/>
        </w:rPr>
        <w:t>con</w:t>
      </w:r>
      <w:r>
        <w:rPr>
          <w:rFonts w:ascii="Times New Roman" w:hAnsi="Times New Roman" w:eastAsia="宋体"/>
          <w:sz w:val="24"/>
          <w:szCs w:val="24"/>
        </w:rPr>
        <w:t>formation</w:t>
      </w:r>
      <w:bookmarkEnd w:id="69"/>
      <w:r>
        <w:rPr>
          <w:rFonts w:ascii="Times New Roman" w:hAnsi="Times New Roman" w:eastAsia="宋体"/>
          <w:sz w:val="24"/>
          <w:szCs w:val="24"/>
        </w:rPr>
        <w:t xml:space="preserve"> transition viewed along </w:t>
      </w:r>
      <w:r>
        <w:rPr>
          <w:rFonts w:hint="eastAsia" w:ascii="Times New Roman" w:hAnsi="Times New Roman" w:eastAsia="宋体"/>
          <w:sz w:val="24"/>
          <w:szCs w:val="24"/>
        </w:rPr>
        <w:t xml:space="preserve">[100], [010] and [001] </w:t>
      </w:r>
      <w:r>
        <w:rPr>
          <w:rFonts w:ascii="Times New Roman" w:hAnsi="Times New Roman" w:eastAsia="宋体"/>
          <w:sz w:val="24"/>
          <w:szCs w:val="24"/>
        </w:rPr>
        <w:t xml:space="preserve">directions. </w:t>
      </w:r>
      <w:r>
        <w:rPr>
          <w:rFonts w:ascii="Times New Roman" w:hAnsi="Times New Roman" w:eastAsia="宋体"/>
          <w:b/>
          <w:bCs/>
          <w:sz w:val="24"/>
          <w:szCs w:val="24"/>
        </w:rPr>
        <w:t>d</w:t>
      </w:r>
      <w:r>
        <w:rPr>
          <w:rFonts w:ascii="Times New Roman" w:hAnsi="Times New Roman" w:eastAsia="宋体"/>
          <w:sz w:val="24"/>
          <w:szCs w:val="24"/>
        </w:rPr>
        <w:t>-</w:t>
      </w:r>
      <w:r>
        <w:rPr>
          <w:rFonts w:ascii="Times New Roman" w:hAnsi="Times New Roman" w:eastAsia="宋体"/>
          <w:b/>
          <w:bCs/>
          <w:sz w:val="24"/>
          <w:szCs w:val="24"/>
        </w:rPr>
        <w:t>f</w:t>
      </w:r>
      <w:r>
        <w:rPr>
          <w:rFonts w:hint="eastAsia" w:ascii="Times New Roman" w:hAnsi="Times New Roman" w:eastAsia="宋体"/>
          <w:sz w:val="24"/>
          <w:szCs w:val="24"/>
        </w:rPr>
        <w:t>,</w:t>
      </w:r>
      <w:r>
        <w:rPr>
          <w:rFonts w:ascii="Times New Roman" w:hAnsi="Times New Roman" w:eastAsia="宋体"/>
          <w:sz w:val="24"/>
          <w:szCs w:val="24"/>
        </w:rPr>
        <w:t xml:space="preserve"> Charge density difference between GeSe with one Se atom at addle point of chair-boat conformation transition and that without bond rotation. Ge and Se atoms are coloured in purple and green. The red and cyan isosurfaces indicate the increase and decrease of the charge density, respectively. The value of isosurface is 10</w:t>
      </w:r>
      <w:r>
        <w:rPr>
          <w:rFonts w:ascii="Times New Roman" w:hAnsi="Times New Roman" w:eastAsia="宋体"/>
          <w:sz w:val="24"/>
          <w:szCs w:val="24"/>
          <w:vertAlign w:val="superscript"/>
        </w:rPr>
        <w:t>-4</w:t>
      </w:r>
      <w:r>
        <w:rPr>
          <w:rFonts w:ascii="Times New Roman" w:hAnsi="Times New Roman" w:eastAsia="宋体"/>
          <w:sz w:val="24"/>
          <w:szCs w:val="24"/>
        </w:rPr>
        <w:t xml:space="preserve"> e/bohr</w:t>
      </w:r>
      <w:r>
        <w:rPr>
          <w:rFonts w:ascii="Times New Roman" w:hAnsi="Times New Roman" w:eastAsia="宋体"/>
          <w:sz w:val="24"/>
          <w:szCs w:val="24"/>
          <w:vertAlign w:val="superscript"/>
        </w:rPr>
        <w:t>3</w:t>
      </w:r>
      <w:r>
        <w:rPr>
          <w:rFonts w:ascii="Times New Roman" w:hAnsi="Times New Roman" w:eastAsia="宋体"/>
          <w:sz w:val="24"/>
          <w:szCs w:val="24"/>
        </w:rPr>
        <w:t>.</w:t>
      </w:r>
      <w:r>
        <w:rPr>
          <w:rFonts w:hint="eastAsia" w:ascii="Times New Roman" w:hAnsi="Times New Roman" w:eastAsia="宋体"/>
          <w:sz w:val="24"/>
          <w:szCs w:val="24"/>
        </w:rPr>
        <w:t xml:space="preserve"> Note that panel (d) is also given in Fig. 4 in main text.</w:t>
      </w:r>
    </w:p>
    <w:p w14:paraId="7D02138F">
      <w:pPr>
        <w:widowControl/>
        <w:jc w:val="left"/>
        <w:rPr>
          <w:rFonts w:ascii="Times New Roman" w:hAnsi="Times New Roman" w:eastAsia="宋体"/>
          <w:sz w:val="24"/>
          <w:szCs w:val="24"/>
        </w:rPr>
      </w:pPr>
      <w:r>
        <w:rPr>
          <w:rFonts w:ascii="Times New Roman" w:hAnsi="Times New Roman" w:eastAsia="宋体"/>
          <w:sz w:val="24"/>
          <w:szCs w:val="24"/>
        </w:rPr>
        <w:br w:type="page"/>
      </w:r>
    </w:p>
    <w:p w14:paraId="3BC6147F">
      <w:pPr>
        <w:pStyle w:val="29"/>
        <w:numPr>
          <w:ilvl w:val="0"/>
          <w:numId w:val="3"/>
        </w:numPr>
        <w:jc w:val="both"/>
      </w:pPr>
      <w:r>
        <w:t>Comparison of ultimate engineering stress and strain</w:t>
      </w:r>
      <w:r>
        <w:rPr>
          <w:rFonts w:hint="eastAsia"/>
        </w:rPr>
        <w:t xml:space="preserve"> </w:t>
      </w:r>
      <w:r>
        <w:t>of GeSe and other materials</w:t>
      </w:r>
    </w:p>
    <w:p w14:paraId="11B63725">
      <w:pPr>
        <w:spacing w:line="360" w:lineRule="auto"/>
        <w:rPr>
          <w:rFonts w:ascii="Times New Roman" w:hAnsi="Times New Roman" w:cs="Times New Roman"/>
          <w:sz w:val="24"/>
        </w:rPr>
      </w:pPr>
      <w:r>
        <w:rPr>
          <w:rFonts w:ascii="Times New Roman" w:hAnsi="Times New Roman" w:cs="Times New Roman"/>
          <w:sz w:val="24"/>
        </w:rPr>
        <w:t xml:space="preserve">Supplementary Table </w:t>
      </w:r>
      <w:r>
        <w:rPr>
          <w:rFonts w:hint="eastAsia" w:ascii="Times New Roman" w:hAnsi="Times New Roman" w:cs="Times New Roman"/>
          <w:sz w:val="24"/>
        </w:rPr>
        <w:t>4</w:t>
      </w:r>
      <w:r>
        <w:rPr>
          <w:rFonts w:ascii="Times New Roman" w:hAnsi="Times New Roman" w:cs="Times New Roman"/>
          <w:sz w:val="24"/>
        </w:rPr>
        <w:t xml:space="preserve"> summarizes a comparison of the ultimate engineering stress and ultimate engineering strain of GeSe with those of a broad range of representative material systems, including bulk and nanoscale metallic glasses, high-entropy alloys, conventional structural alloys, and low-dimensional semiconductors. The compiled data highlight that GeSe exhibits an uncommon combination of a high ultimate engineering stress together with a large attainable engineering strain. In contrast, bulk metallic glasses typically achieve relatively high strength at the expense of limited plastic deformability, whereas many low-dimensional semiconductors and van der Waals materials display large strains but sustain only low stresses. The comparison places GeSe in a distinct regime of the strength–strain space, underscoring its ability to sustain both high stress and large deformation relative to other material classes.</w:t>
      </w:r>
    </w:p>
    <w:p w14:paraId="1D0E4905">
      <w:pPr>
        <w:spacing w:line="360" w:lineRule="auto"/>
        <w:rPr>
          <w:rFonts w:ascii="Times New Roman" w:hAnsi="Times New Roman" w:cs="Times New Roman"/>
          <w:sz w:val="24"/>
        </w:rPr>
      </w:pPr>
    </w:p>
    <w:p w14:paraId="4CE7C1F1">
      <w:pPr>
        <w:spacing w:line="360" w:lineRule="auto"/>
        <w:rPr>
          <w:rFonts w:ascii="Times New Roman" w:hAnsi="Times New Roman" w:cs="Times New Roman"/>
          <w:sz w:val="24"/>
        </w:rPr>
      </w:pPr>
    </w:p>
    <w:p w14:paraId="0A3D6DDD">
      <w:pPr>
        <w:spacing w:line="360" w:lineRule="auto"/>
        <w:rPr>
          <w:rFonts w:ascii="Times New Roman" w:hAnsi="Times New Roman" w:cs="Times New Roman"/>
          <w:sz w:val="24"/>
        </w:rPr>
      </w:pPr>
    </w:p>
    <w:p w14:paraId="2AACDFF6">
      <w:pPr>
        <w:spacing w:line="360" w:lineRule="auto"/>
        <w:rPr>
          <w:rFonts w:ascii="Times New Roman" w:hAnsi="Times New Roman" w:cs="Times New Roman"/>
          <w:sz w:val="24"/>
        </w:rPr>
      </w:pPr>
    </w:p>
    <w:p w14:paraId="5752AF7D">
      <w:pPr>
        <w:spacing w:line="360" w:lineRule="auto"/>
        <w:rPr>
          <w:rFonts w:ascii="Times New Roman" w:hAnsi="Times New Roman" w:cs="Times New Roman"/>
          <w:sz w:val="24"/>
        </w:rPr>
      </w:pPr>
    </w:p>
    <w:p w14:paraId="3663CE56">
      <w:pPr>
        <w:spacing w:line="360" w:lineRule="auto"/>
        <w:rPr>
          <w:rFonts w:ascii="Times New Roman" w:hAnsi="Times New Roman" w:cs="Times New Roman"/>
          <w:sz w:val="24"/>
        </w:rPr>
      </w:pPr>
    </w:p>
    <w:p w14:paraId="334E2807">
      <w:pPr>
        <w:spacing w:line="360" w:lineRule="auto"/>
        <w:rPr>
          <w:rFonts w:ascii="Times New Roman" w:hAnsi="Times New Roman" w:cs="Times New Roman"/>
          <w:sz w:val="24"/>
        </w:rPr>
      </w:pPr>
    </w:p>
    <w:p w14:paraId="2502BC8F">
      <w:pPr>
        <w:spacing w:line="360" w:lineRule="auto"/>
        <w:rPr>
          <w:rFonts w:ascii="Times New Roman" w:hAnsi="Times New Roman" w:cs="Times New Roman"/>
          <w:sz w:val="24"/>
        </w:rPr>
      </w:pPr>
    </w:p>
    <w:p w14:paraId="595C8643">
      <w:pPr>
        <w:spacing w:line="360" w:lineRule="auto"/>
        <w:rPr>
          <w:rFonts w:ascii="Times New Roman" w:hAnsi="Times New Roman" w:cs="Times New Roman"/>
          <w:sz w:val="24"/>
        </w:rPr>
      </w:pPr>
    </w:p>
    <w:p w14:paraId="1F519009">
      <w:pPr>
        <w:spacing w:line="360" w:lineRule="auto"/>
        <w:rPr>
          <w:rFonts w:ascii="Times New Roman" w:hAnsi="Times New Roman" w:cs="Times New Roman"/>
          <w:sz w:val="24"/>
        </w:rPr>
      </w:pPr>
    </w:p>
    <w:p w14:paraId="30D3DAFA">
      <w:pPr>
        <w:spacing w:line="360" w:lineRule="auto"/>
        <w:rPr>
          <w:rFonts w:ascii="Times New Roman" w:hAnsi="Times New Roman" w:cs="Times New Roman"/>
          <w:sz w:val="24"/>
        </w:rPr>
      </w:pPr>
    </w:p>
    <w:p w14:paraId="09EABB55">
      <w:pPr>
        <w:spacing w:line="360" w:lineRule="auto"/>
        <w:rPr>
          <w:rFonts w:ascii="Times New Roman" w:hAnsi="Times New Roman" w:cs="Times New Roman"/>
          <w:sz w:val="24"/>
        </w:rPr>
      </w:pPr>
    </w:p>
    <w:p w14:paraId="4C9786EC">
      <w:pPr>
        <w:spacing w:line="360" w:lineRule="auto"/>
        <w:rPr>
          <w:rFonts w:ascii="Times New Roman" w:hAnsi="Times New Roman" w:cs="Times New Roman"/>
          <w:sz w:val="24"/>
        </w:rPr>
      </w:pPr>
    </w:p>
    <w:p w14:paraId="3A1525C2">
      <w:pPr>
        <w:spacing w:line="360" w:lineRule="auto"/>
        <w:rPr>
          <w:rFonts w:ascii="Times New Roman" w:hAnsi="Times New Roman" w:cs="Times New Roman"/>
          <w:sz w:val="24"/>
        </w:rPr>
      </w:pPr>
    </w:p>
    <w:p w14:paraId="6DA065D3">
      <w:pPr>
        <w:spacing w:line="360" w:lineRule="auto"/>
        <w:rPr>
          <w:rFonts w:ascii="Times New Roman" w:hAnsi="Times New Roman" w:cs="Times New Roman"/>
          <w:sz w:val="24"/>
        </w:rPr>
      </w:pPr>
    </w:p>
    <w:p w14:paraId="0C5243A8">
      <w:pPr>
        <w:spacing w:line="360" w:lineRule="auto"/>
        <w:rPr>
          <w:rFonts w:ascii="Times New Roman" w:hAnsi="Times New Roman" w:cs="Times New Roman"/>
          <w:sz w:val="24"/>
        </w:rPr>
      </w:pPr>
    </w:p>
    <w:p w14:paraId="5446BD71">
      <w:pPr>
        <w:spacing w:line="360" w:lineRule="auto"/>
        <w:rPr>
          <w:rFonts w:ascii="Times New Roman" w:hAnsi="Times New Roman" w:cs="Times New Roman"/>
          <w:sz w:val="24"/>
        </w:rPr>
      </w:pPr>
    </w:p>
    <w:p w14:paraId="7A4CC93C">
      <w:pPr>
        <w:spacing w:line="360" w:lineRule="auto"/>
        <w:rPr>
          <w:rFonts w:ascii="Times New Roman" w:hAnsi="Times New Roman" w:cs="Times New Roman"/>
          <w:sz w:val="24"/>
        </w:rPr>
      </w:pPr>
    </w:p>
    <w:p w14:paraId="4223C6DC">
      <w:pPr>
        <w:widowControl/>
        <w:rPr>
          <w:rFonts w:ascii="Times New Roman" w:hAnsi="Times New Roman" w:cs="Times New Roman"/>
          <w:b/>
          <w:bCs/>
          <w:sz w:val="24"/>
          <w:szCs w:val="24"/>
        </w:rPr>
      </w:pPr>
      <w:r>
        <w:rPr>
          <w:rFonts w:ascii="Times New Roman" w:hAnsi="Times New Roman" w:cs="Times New Roman"/>
          <w:b/>
          <w:bCs/>
          <w:sz w:val="24"/>
          <w:szCs w:val="24"/>
        </w:rPr>
        <w:t xml:space="preserve">Supplementary Table </w:t>
      </w:r>
      <w:r>
        <w:rPr>
          <w:rFonts w:hint="eastAsia" w:ascii="Times New Roman" w:hAnsi="Times New Roman" w:cs="Times New Roman"/>
          <w:b/>
          <w:bCs/>
          <w:sz w:val="24"/>
          <w:szCs w:val="24"/>
        </w:rPr>
        <w:t>4</w:t>
      </w:r>
      <w:r>
        <w:rPr>
          <w:rFonts w:ascii="Times New Roman" w:hAnsi="Times New Roman" w:cs="Times New Roman"/>
          <w:b/>
          <w:bCs/>
          <w:sz w:val="24"/>
          <w:szCs w:val="24"/>
        </w:rPr>
        <w:t>.</w:t>
      </w:r>
      <w:bookmarkStart w:id="70" w:name="OLE_LINK3"/>
      <w:r>
        <w:rPr>
          <w:rFonts w:ascii="Times New Roman" w:hAnsi="Times New Roman" w:cs="Times New Roman"/>
          <w:b/>
          <w:bCs/>
          <w:sz w:val="24"/>
          <w:szCs w:val="24"/>
        </w:rPr>
        <w:t xml:space="preserve"> Comparison of ultimate engineering stress and strain for GeSe and other materials</w:t>
      </w:r>
      <w:r>
        <w:rPr>
          <w:rFonts w:hint="eastAsia" w:ascii="Times New Roman" w:hAnsi="Times New Roman" w:cs="Times New Roman"/>
          <w:b/>
          <w:bCs/>
          <w:sz w:val="24"/>
          <w:szCs w:val="24"/>
        </w:rPr>
        <w:t>.</w:t>
      </w:r>
      <w:bookmarkEnd w:id="70"/>
    </w:p>
    <w:tbl>
      <w:tblPr>
        <w:tblStyle w:val="13"/>
        <w:tblpPr w:leftFromText="180" w:rightFromText="180" w:vertAnchor="text" w:horzAnchor="margin" w:tblpXSpec="center" w:tblpY="253"/>
        <w:tblOverlap w:val="never"/>
        <w:tblW w:w="4935" w:type="pct"/>
        <w:tblInd w:w="0" w:type="dxa"/>
        <w:tblLayout w:type="autofit"/>
        <w:tblCellMar>
          <w:top w:w="0" w:type="dxa"/>
          <w:left w:w="0" w:type="dxa"/>
          <w:bottom w:w="0" w:type="dxa"/>
          <w:right w:w="0" w:type="dxa"/>
        </w:tblCellMar>
      </w:tblPr>
      <w:tblGrid>
        <w:gridCol w:w="3630"/>
        <w:gridCol w:w="2175"/>
        <w:gridCol w:w="2034"/>
        <w:gridCol w:w="1283"/>
      </w:tblGrid>
      <w:tr w14:paraId="6BF4CF3D">
        <w:tblPrEx>
          <w:tblCellMar>
            <w:top w:w="0" w:type="dxa"/>
            <w:left w:w="0" w:type="dxa"/>
            <w:bottom w:w="0" w:type="dxa"/>
            <w:right w:w="0" w:type="dxa"/>
          </w:tblCellMar>
        </w:tblPrEx>
        <w:trPr>
          <w:trHeight w:val="891" w:hRule="exact"/>
        </w:trPr>
        <w:tc>
          <w:tcPr>
            <w:tcW w:w="1990" w:type="pct"/>
            <w:tcBorders>
              <w:top w:val="single" w:color="auto" w:sz="4" w:space="0"/>
              <w:left w:val="nil"/>
              <w:bottom w:val="single" w:color="auto" w:sz="4" w:space="0"/>
              <w:right w:val="nil"/>
            </w:tcBorders>
            <w:tcMar>
              <w:top w:w="15" w:type="dxa"/>
              <w:left w:w="108" w:type="dxa"/>
              <w:bottom w:w="0" w:type="dxa"/>
              <w:right w:w="108" w:type="dxa"/>
            </w:tcMar>
            <w:vAlign w:val="center"/>
          </w:tcPr>
          <w:p w14:paraId="7190AF33">
            <w:pPr>
              <w:adjustRightInd w:val="0"/>
              <w:snapToGrid w:val="0"/>
              <w:jc w:val="center"/>
              <w:rPr>
                <w:rFonts w:ascii="Times New Roman" w:hAnsi="Times New Roman" w:cs="Times New Roman"/>
                <w:sz w:val="22"/>
              </w:rPr>
            </w:pPr>
            <w:r>
              <w:rPr>
                <w:rFonts w:hint="eastAsia" w:ascii="Times New Roman" w:hAnsi="Times New Roman" w:cs="Times New Roman"/>
                <w:sz w:val="22"/>
              </w:rPr>
              <w:t>Materials</w:t>
            </w:r>
          </w:p>
        </w:tc>
        <w:tc>
          <w:tcPr>
            <w:tcW w:w="1192" w:type="pct"/>
            <w:tcBorders>
              <w:top w:val="single" w:color="auto" w:sz="4" w:space="0"/>
              <w:left w:val="nil"/>
              <w:bottom w:val="single" w:color="auto" w:sz="4" w:space="0"/>
              <w:right w:val="nil"/>
            </w:tcBorders>
            <w:tcMar>
              <w:top w:w="15" w:type="dxa"/>
              <w:left w:w="108" w:type="dxa"/>
              <w:bottom w:w="0" w:type="dxa"/>
              <w:right w:w="108" w:type="dxa"/>
            </w:tcMar>
            <w:vAlign w:val="center"/>
          </w:tcPr>
          <w:p w14:paraId="569E2A17">
            <w:pPr>
              <w:adjustRightInd w:val="0"/>
              <w:snapToGrid w:val="0"/>
              <w:jc w:val="center"/>
              <w:rPr>
                <w:rFonts w:ascii="Times New Roman" w:hAnsi="Times New Roman" w:cs="Times New Roman"/>
                <w:sz w:val="22"/>
              </w:rPr>
            </w:pPr>
            <w:r>
              <w:rPr>
                <w:rFonts w:ascii="Times New Roman" w:hAnsi="Times New Roman" w:cs="Times New Roman"/>
                <w:sz w:val="22"/>
              </w:rPr>
              <w:t>Ultimate engineering stress (GPa)</w:t>
            </w:r>
          </w:p>
        </w:tc>
        <w:tc>
          <w:tcPr>
            <w:tcW w:w="1115" w:type="pct"/>
            <w:tcBorders>
              <w:top w:val="single" w:color="auto" w:sz="4" w:space="0"/>
              <w:left w:val="nil"/>
              <w:bottom w:val="single" w:color="auto" w:sz="4" w:space="0"/>
              <w:right w:val="nil"/>
            </w:tcBorders>
            <w:vAlign w:val="center"/>
          </w:tcPr>
          <w:p w14:paraId="0CC1AA39">
            <w:pPr>
              <w:adjustRightInd w:val="0"/>
              <w:snapToGrid w:val="0"/>
              <w:jc w:val="center"/>
              <w:rPr>
                <w:rFonts w:ascii="Times New Roman" w:hAnsi="Times New Roman" w:cs="Times New Roman"/>
                <w:sz w:val="22"/>
              </w:rPr>
            </w:pPr>
            <w:r>
              <w:rPr>
                <w:rFonts w:ascii="Times New Roman" w:hAnsi="Times New Roman" w:cs="Times New Roman"/>
                <w:sz w:val="22"/>
              </w:rPr>
              <w:t>Ultimate</w:t>
            </w:r>
            <w:r>
              <w:rPr>
                <w:rFonts w:hint="eastAsia" w:ascii="Times New Roman" w:hAnsi="Times New Roman" w:cs="Times New Roman"/>
                <w:sz w:val="22"/>
              </w:rPr>
              <w:t xml:space="preserve"> </w:t>
            </w:r>
            <w:r>
              <w:rPr>
                <w:rFonts w:ascii="Times New Roman" w:hAnsi="Times New Roman" w:cs="Times New Roman"/>
                <w:sz w:val="22"/>
              </w:rPr>
              <w:t>engineering strain (%)</w:t>
            </w:r>
          </w:p>
        </w:tc>
        <w:tc>
          <w:tcPr>
            <w:tcW w:w="703" w:type="pct"/>
            <w:tcBorders>
              <w:top w:val="single" w:color="auto" w:sz="4" w:space="0"/>
              <w:left w:val="nil"/>
              <w:bottom w:val="single" w:color="auto" w:sz="4" w:space="0"/>
              <w:right w:val="nil"/>
            </w:tcBorders>
            <w:tcMar>
              <w:top w:w="15" w:type="dxa"/>
              <w:left w:w="108" w:type="dxa"/>
              <w:bottom w:w="0" w:type="dxa"/>
              <w:right w:w="108" w:type="dxa"/>
            </w:tcMar>
            <w:vAlign w:val="center"/>
          </w:tcPr>
          <w:p w14:paraId="7CABF577">
            <w:pPr>
              <w:adjustRightInd w:val="0"/>
              <w:snapToGrid w:val="0"/>
              <w:jc w:val="center"/>
              <w:rPr>
                <w:rFonts w:ascii="Times New Roman" w:hAnsi="Times New Roman" w:cs="Times New Roman"/>
                <w:sz w:val="22"/>
              </w:rPr>
            </w:pPr>
            <w:r>
              <w:rPr>
                <w:rFonts w:ascii="Times New Roman" w:hAnsi="Times New Roman" w:cs="Times New Roman"/>
                <w:sz w:val="22"/>
              </w:rPr>
              <w:t>Ref</w:t>
            </w:r>
            <w:r>
              <w:rPr>
                <w:rFonts w:hint="eastAsia" w:ascii="Times New Roman" w:hAnsi="Times New Roman" w:cs="Times New Roman"/>
                <w:sz w:val="22"/>
              </w:rPr>
              <w:t>s.</w:t>
            </w:r>
          </w:p>
        </w:tc>
      </w:tr>
      <w:tr w14:paraId="5D7ABB67">
        <w:tblPrEx>
          <w:tblCellMar>
            <w:top w:w="0" w:type="dxa"/>
            <w:left w:w="0" w:type="dxa"/>
            <w:bottom w:w="0" w:type="dxa"/>
            <w:right w:w="0" w:type="dxa"/>
          </w:tblCellMar>
        </w:tblPrEx>
        <w:trPr>
          <w:trHeight w:val="397" w:hRule="exact"/>
        </w:trPr>
        <w:tc>
          <w:tcPr>
            <w:tcW w:w="1990" w:type="pct"/>
            <w:tcBorders>
              <w:top w:val="single" w:color="auto" w:sz="4" w:space="0"/>
              <w:left w:val="nil"/>
              <w:right w:val="nil"/>
            </w:tcBorders>
            <w:tcMar>
              <w:top w:w="15" w:type="dxa"/>
              <w:left w:w="108" w:type="dxa"/>
              <w:bottom w:w="0" w:type="dxa"/>
              <w:right w:w="108" w:type="dxa"/>
            </w:tcMar>
            <w:vAlign w:val="center"/>
          </w:tcPr>
          <w:p w14:paraId="48840CB8">
            <w:pPr>
              <w:adjustRightInd w:val="0"/>
              <w:snapToGrid w:val="0"/>
              <w:jc w:val="center"/>
              <w:rPr>
                <w:rFonts w:ascii="Times New Roman" w:hAnsi="Times New Roman" w:cs="Times New Roman"/>
                <w:sz w:val="22"/>
              </w:rPr>
            </w:pPr>
            <w:r>
              <w:rPr>
                <w:rFonts w:ascii="Times New Roman" w:hAnsi="Times New Roman" w:cs="Times New Roman"/>
                <w:sz w:val="22"/>
              </w:rPr>
              <w:t xml:space="preserve">GeSe </w:t>
            </w:r>
          </w:p>
        </w:tc>
        <w:tc>
          <w:tcPr>
            <w:tcW w:w="1192" w:type="pct"/>
            <w:tcBorders>
              <w:top w:val="single" w:color="auto" w:sz="4" w:space="0"/>
              <w:left w:val="nil"/>
              <w:right w:val="nil"/>
            </w:tcBorders>
            <w:tcMar>
              <w:top w:w="15" w:type="dxa"/>
              <w:left w:w="108" w:type="dxa"/>
              <w:bottom w:w="0" w:type="dxa"/>
              <w:right w:w="108" w:type="dxa"/>
            </w:tcMar>
            <w:vAlign w:val="center"/>
          </w:tcPr>
          <w:p w14:paraId="0CE8D32D">
            <w:pPr>
              <w:adjustRightInd w:val="0"/>
              <w:snapToGrid w:val="0"/>
              <w:jc w:val="center"/>
              <w:rPr>
                <w:rFonts w:ascii="Times New Roman" w:hAnsi="Times New Roman" w:cs="Times New Roman"/>
                <w:sz w:val="22"/>
              </w:rPr>
            </w:pPr>
            <w:r>
              <w:rPr>
                <w:rFonts w:ascii="Times New Roman" w:hAnsi="Times New Roman" w:cs="Times New Roman"/>
                <w:sz w:val="22"/>
              </w:rPr>
              <w:t>7.5</w:t>
            </w:r>
          </w:p>
        </w:tc>
        <w:tc>
          <w:tcPr>
            <w:tcW w:w="1115" w:type="pct"/>
            <w:tcBorders>
              <w:top w:val="single" w:color="auto" w:sz="4" w:space="0"/>
              <w:left w:val="nil"/>
              <w:right w:val="nil"/>
            </w:tcBorders>
            <w:vAlign w:val="center"/>
          </w:tcPr>
          <w:p w14:paraId="5AFA2124">
            <w:pPr>
              <w:adjustRightInd w:val="0"/>
              <w:snapToGrid w:val="0"/>
              <w:jc w:val="center"/>
              <w:rPr>
                <w:rFonts w:ascii="Times New Roman" w:hAnsi="Times New Roman" w:cs="Times New Roman"/>
                <w:sz w:val="22"/>
              </w:rPr>
            </w:pPr>
            <w:r>
              <w:rPr>
                <w:rFonts w:ascii="Times New Roman" w:hAnsi="Times New Roman" w:cs="Times New Roman"/>
                <w:sz w:val="22"/>
              </w:rPr>
              <w:t>93</w:t>
            </w:r>
          </w:p>
        </w:tc>
        <w:tc>
          <w:tcPr>
            <w:tcW w:w="703" w:type="pct"/>
            <w:tcBorders>
              <w:top w:val="single" w:color="auto" w:sz="4" w:space="0"/>
              <w:left w:val="nil"/>
              <w:right w:val="nil"/>
            </w:tcBorders>
            <w:tcMar>
              <w:top w:w="15" w:type="dxa"/>
              <w:left w:w="108" w:type="dxa"/>
              <w:bottom w:w="0" w:type="dxa"/>
              <w:right w:w="108" w:type="dxa"/>
            </w:tcMar>
            <w:vAlign w:val="center"/>
          </w:tcPr>
          <w:p w14:paraId="48D639F8">
            <w:pPr>
              <w:adjustRightInd w:val="0"/>
              <w:snapToGrid w:val="0"/>
              <w:jc w:val="center"/>
              <w:rPr>
                <w:rFonts w:ascii="Times New Roman" w:hAnsi="Times New Roman" w:cs="Times New Roman"/>
                <w:sz w:val="22"/>
              </w:rPr>
            </w:pPr>
            <w:r>
              <w:rPr>
                <w:rFonts w:ascii="Times New Roman" w:hAnsi="Times New Roman" w:cs="Times New Roman"/>
                <w:sz w:val="22"/>
              </w:rPr>
              <w:t>This work</w:t>
            </w:r>
          </w:p>
        </w:tc>
      </w:tr>
      <w:tr w14:paraId="6E860E51">
        <w:tblPrEx>
          <w:tblCellMar>
            <w:top w:w="0" w:type="dxa"/>
            <w:left w:w="0" w:type="dxa"/>
            <w:bottom w:w="0" w:type="dxa"/>
            <w:right w:w="0" w:type="dxa"/>
          </w:tblCellMar>
        </w:tblPrEx>
        <w:trPr>
          <w:trHeight w:val="397" w:hRule="exact"/>
        </w:trPr>
        <w:tc>
          <w:tcPr>
            <w:tcW w:w="1990" w:type="pct"/>
            <w:tcBorders>
              <w:left w:val="nil"/>
              <w:bottom w:val="nil"/>
              <w:right w:val="nil"/>
            </w:tcBorders>
            <w:tcMar>
              <w:top w:w="15" w:type="dxa"/>
              <w:left w:w="108" w:type="dxa"/>
              <w:bottom w:w="0" w:type="dxa"/>
              <w:right w:w="108" w:type="dxa"/>
            </w:tcMar>
            <w:vAlign w:val="center"/>
          </w:tcPr>
          <w:p w14:paraId="29BF3E7D">
            <w:pPr>
              <w:adjustRightInd w:val="0"/>
              <w:snapToGrid w:val="0"/>
              <w:jc w:val="center"/>
              <w:rPr>
                <w:rFonts w:ascii="Times New Roman" w:hAnsi="Times New Roman" w:cs="Times New Roman"/>
                <w:sz w:val="22"/>
              </w:rPr>
            </w:pPr>
            <w:r>
              <w:rPr>
                <w:rFonts w:ascii="Times New Roman" w:hAnsi="Times New Roman" w:cs="Times New Roman"/>
                <w:sz w:val="22"/>
              </w:rPr>
              <w:t>Al-based bulk metallic glass</w:t>
            </w:r>
          </w:p>
        </w:tc>
        <w:tc>
          <w:tcPr>
            <w:tcW w:w="1192" w:type="pct"/>
            <w:tcBorders>
              <w:left w:val="nil"/>
              <w:bottom w:val="nil"/>
              <w:right w:val="nil"/>
            </w:tcBorders>
            <w:tcMar>
              <w:top w:w="15" w:type="dxa"/>
              <w:left w:w="108" w:type="dxa"/>
              <w:bottom w:w="0" w:type="dxa"/>
              <w:right w:w="108" w:type="dxa"/>
            </w:tcMar>
            <w:vAlign w:val="center"/>
          </w:tcPr>
          <w:p w14:paraId="28CD0778">
            <w:pPr>
              <w:adjustRightInd w:val="0"/>
              <w:snapToGrid w:val="0"/>
              <w:jc w:val="center"/>
              <w:rPr>
                <w:rFonts w:ascii="Times New Roman" w:hAnsi="Times New Roman" w:cs="Times New Roman"/>
                <w:sz w:val="22"/>
              </w:rPr>
            </w:pPr>
            <w:r>
              <w:rPr>
                <w:rFonts w:ascii="Times New Roman" w:hAnsi="Times New Roman" w:cs="Times New Roman"/>
                <w:sz w:val="22"/>
              </w:rPr>
              <w:t>1.53</w:t>
            </w:r>
          </w:p>
        </w:tc>
        <w:tc>
          <w:tcPr>
            <w:tcW w:w="1115" w:type="pct"/>
            <w:tcBorders>
              <w:left w:val="nil"/>
              <w:bottom w:val="nil"/>
              <w:right w:val="nil"/>
            </w:tcBorders>
            <w:vAlign w:val="center"/>
          </w:tcPr>
          <w:p w14:paraId="5CA45A10">
            <w:pPr>
              <w:adjustRightInd w:val="0"/>
              <w:snapToGrid w:val="0"/>
              <w:jc w:val="center"/>
              <w:rPr>
                <w:rFonts w:ascii="Times New Roman" w:hAnsi="Times New Roman" w:cs="Times New Roman"/>
                <w:sz w:val="22"/>
              </w:rPr>
            </w:pPr>
            <w:r>
              <w:rPr>
                <w:rFonts w:ascii="Times New Roman" w:hAnsi="Times New Roman" w:cs="Times New Roman"/>
                <w:sz w:val="22"/>
              </w:rPr>
              <w:t>11</w:t>
            </w:r>
          </w:p>
        </w:tc>
        <w:tc>
          <w:tcPr>
            <w:tcW w:w="703" w:type="pct"/>
            <w:tcBorders>
              <w:left w:val="nil"/>
              <w:bottom w:val="nil"/>
              <w:right w:val="nil"/>
            </w:tcBorders>
            <w:tcMar>
              <w:top w:w="15" w:type="dxa"/>
              <w:left w:w="108" w:type="dxa"/>
              <w:bottom w:w="0" w:type="dxa"/>
              <w:right w:w="108" w:type="dxa"/>
            </w:tcMar>
            <w:vAlign w:val="center"/>
          </w:tcPr>
          <w:p w14:paraId="281FFEFE">
            <w:pPr>
              <w:adjustRightInd w:val="0"/>
              <w:snapToGrid w:val="0"/>
              <w:jc w:val="center"/>
              <w:rPr>
                <w:rFonts w:ascii="Times New Roman" w:hAnsi="Times New Roman" w:cs="Times New Roman"/>
                <w:sz w:val="22"/>
              </w:rPr>
            </w:pPr>
            <w:r>
              <w:rPr>
                <w:rFonts w:ascii="Times New Roman" w:hAnsi="Times New Roman" w:cs="Times New Roman"/>
                <w:sz w:val="22"/>
              </w:rPr>
              <w:fldChar w:fldCharType="begin"/>
            </w:r>
            <w:r>
              <w:rPr>
                <w:rFonts w:ascii="Times New Roman" w:hAnsi="Times New Roman" w:cs="Times New Roman"/>
                <w:sz w:val="22"/>
              </w:rPr>
              <w:instrText xml:space="preserve"> ADDIN EN.CITE &lt;EndNote&gt;&lt;Cite&gt;&lt;Author&gt;Yin&lt;/Author&gt;&lt;Year&gt;2015&lt;/Year&gt;&lt;RecNum&gt;3003&lt;/RecNum&gt;&lt;DisplayText&gt;&lt;style face="superscript"&gt;5&lt;/style&gt;&lt;/DisplayText&gt;&lt;record&gt;&lt;rec-number&gt;3003&lt;/rec-number&gt;&lt;foreign-keys&gt;&lt;key app="EN" db-id="zs2fp5r2f2x2e2esxe75ap2k2dx05tep55zx" timestamp="1767496745"&gt;3003&lt;/key&gt;&lt;/foreign-keys&gt;&lt;ref-type name="Journal Article"&gt;17&lt;/ref-type&gt;&lt;contributors&gt;&lt;authors&gt;&lt;author&gt;Yin, Jiaming&lt;/author&gt;&lt;author&gt;Cai, Hongnian&lt;/author&gt;&lt;author&gt;Cheng, Xingwang&lt;/author&gt;&lt;author&gt;Zhang, Xinqiang&lt;/author&gt;&lt;/authors&gt;&lt;/contributors&gt;&lt;titles&gt;&lt;title&gt;Al-based bulk metallic glass with large plasticity and ultrahigh strength&lt;/title&gt;&lt;secondary-title&gt;Journal of Alloys and Compounds&lt;/secondary-title&gt;&lt;/titles&gt;&lt;periodical&gt;&lt;full-title&gt;Journal of Alloys and Compounds&lt;/full-title&gt;&lt;/periodical&gt;&lt;pages&gt;276-279&lt;/pages&gt;&lt;volume&gt;648&lt;/volume&gt;&lt;keywords&gt;&lt;keyword&gt;Metallic glass&lt;/keyword&gt;&lt;keyword&gt;Mechanical properties&lt;/keyword&gt;&lt;keyword&gt;TEM&lt;/keyword&gt;&lt;keyword&gt;SEM&lt;/keyword&gt;&lt;/keywords&gt;&lt;dates&gt;&lt;year&gt;2015&lt;/year&gt;&lt;pub-dates&gt;&lt;date&gt;2015/11/05/&lt;/date&gt;&lt;/pub-dates&gt;&lt;/dates&gt;&lt;isbn&gt;0925-8388&lt;/isbn&gt;&lt;urls&gt;&lt;related-urls&gt;&lt;url&gt;https://www.sciencedirect.com/science/article/pii/S0925838815015431&lt;/url&gt;&lt;/related-urls&gt;&lt;/urls&gt;&lt;electronic-resource-num&gt;https://doi.org/10.1016/j.jallcom.2015.05.285&lt;/electronic-resource-num&gt;&lt;/record&gt;&lt;/Cite&gt;&lt;/EndNote&gt;</w:instrText>
            </w:r>
            <w:r>
              <w:rPr>
                <w:rFonts w:ascii="Times New Roman" w:hAnsi="Times New Roman" w:cs="Times New Roman"/>
                <w:sz w:val="22"/>
              </w:rPr>
              <w:fldChar w:fldCharType="separate"/>
            </w:r>
            <w:r>
              <w:rPr>
                <w:rFonts w:ascii="Times New Roman" w:hAnsi="Times New Roman" w:cs="Times New Roman"/>
                <w:sz w:val="22"/>
              </w:rPr>
              <w:t>5</w:t>
            </w:r>
            <w:r>
              <w:rPr>
                <w:rFonts w:ascii="Times New Roman" w:hAnsi="Times New Roman" w:cs="Times New Roman"/>
                <w:sz w:val="22"/>
              </w:rPr>
              <w:fldChar w:fldCharType="end"/>
            </w:r>
          </w:p>
        </w:tc>
      </w:tr>
      <w:tr w14:paraId="42C63D40">
        <w:tblPrEx>
          <w:tblCellMar>
            <w:top w:w="0" w:type="dxa"/>
            <w:left w:w="0" w:type="dxa"/>
            <w:bottom w:w="0" w:type="dxa"/>
            <w:right w:w="0" w:type="dxa"/>
          </w:tblCellMar>
        </w:tblPrEx>
        <w:trPr>
          <w:trHeight w:val="397" w:hRule="exact"/>
        </w:trPr>
        <w:tc>
          <w:tcPr>
            <w:tcW w:w="1990" w:type="pct"/>
            <w:tcMar>
              <w:top w:w="15" w:type="dxa"/>
              <w:left w:w="108" w:type="dxa"/>
              <w:bottom w:w="0" w:type="dxa"/>
              <w:right w:w="108" w:type="dxa"/>
            </w:tcMar>
            <w:vAlign w:val="center"/>
          </w:tcPr>
          <w:p w14:paraId="27E03489">
            <w:pPr>
              <w:adjustRightInd w:val="0"/>
              <w:snapToGrid w:val="0"/>
              <w:jc w:val="center"/>
              <w:rPr>
                <w:rFonts w:ascii="Times New Roman" w:hAnsi="Times New Roman" w:cs="Times New Roman"/>
                <w:sz w:val="22"/>
              </w:rPr>
            </w:pPr>
            <w:r>
              <w:rPr>
                <w:rFonts w:ascii="Times New Roman" w:hAnsi="Times New Roman" w:cs="Times New Roman"/>
                <w:sz w:val="22"/>
              </w:rPr>
              <w:t>Fe-based bulk metallic glass</w:t>
            </w:r>
          </w:p>
        </w:tc>
        <w:tc>
          <w:tcPr>
            <w:tcW w:w="1192" w:type="pct"/>
            <w:tcMar>
              <w:top w:w="15" w:type="dxa"/>
              <w:left w:w="108" w:type="dxa"/>
              <w:bottom w:w="0" w:type="dxa"/>
              <w:right w:w="108" w:type="dxa"/>
            </w:tcMar>
            <w:vAlign w:val="center"/>
          </w:tcPr>
          <w:p w14:paraId="5F4C3007">
            <w:pPr>
              <w:adjustRightInd w:val="0"/>
              <w:snapToGrid w:val="0"/>
              <w:jc w:val="center"/>
              <w:rPr>
                <w:rFonts w:ascii="Times New Roman" w:hAnsi="Times New Roman" w:cs="Times New Roman"/>
                <w:sz w:val="22"/>
              </w:rPr>
            </w:pPr>
            <w:r>
              <w:rPr>
                <w:rFonts w:ascii="Times New Roman" w:hAnsi="Times New Roman" w:cs="Times New Roman"/>
                <w:sz w:val="22"/>
              </w:rPr>
              <w:t>3</w:t>
            </w:r>
          </w:p>
        </w:tc>
        <w:tc>
          <w:tcPr>
            <w:tcW w:w="1115" w:type="pct"/>
            <w:vAlign w:val="center"/>
          </w:tcPr>
          <w:p w14:paraId="08DB6898">
            <w:pPr>
              <w:adjustRightInd w:val="0"/>
              <w:snapToGrid w:val="0"/>
              <w:jc w:val="center"/>
              <w:rPr>
                <w:rFonts w:ascii="Times New Roman" w:hAnsi="Times New Roman" w:cs="Times New Roman"/>
                <w:sz w:val="22"/>
              </w:rPr>
            </w:pPr>
            <w:r>
              <w:rPr>
                <w:rFonts w:ascii="Times New Roman" w:hAnsi="Times New Roman" w:cs="Times New Roman"/>
                <w:sz w:val="22"/>
              </w:rPr>
              <w:t>30</w:t>
            </w:r>
          </w:p>
        </w:tc>
        <w:tc>
          <w:tcPr>
            <w:tcW w:w="703" w:type="pct"/>
            <w:tcMar>
              <w:top w:w="15" w:type="dxa"/>
              <w:left w:w="108" w:type="dxa"/>
              <w:bottom w:w="0" w:type="dxa"/>
              <w:right w:w="108" w:type="dxa"/>
            </w:tcMar>
            <w:vAlign w:val="center"/>
          </w:tcPr>
          <w:p w14:paraId="64483FD8">
            <w:pPr>
              <w:adjustRightInd w:val="0"/>
              <w:snapToGrid w:val="0"/>
              <w:jc w:val="center"/>
              <w:rPr>
                <w:rFonts w:ascii="Times New Roman" w:hAnsi="Times New Roman" w:cs="Times New Roman"/>
                <w:sz w:val="22"/>
              </w:rPr>
            </w:pPr>
            <w:r>
              <w:rPr>
                <w:rFonts w:ascii="Times New Roman" w:hAnsi="Times New Roman" w:cs="Times New Roman"/>
                <w:sz w:val="22"/>
              </w:rPr>
              <w:fldChar w:fldCharType="begin"/>
            </w:r>
            <w:r>
              <w:rPr>
                <w:rFonts w:ascii="Times New Roman" w:hAnsi="Times New Roman" w:cs="Times New Roman"/>
                <w:sz w:val="22"/>
              </w:rPr>
              <w:instrText xml:space="preserve"> ADDIN EN.CITE &lt;EndNote&gt;&lt;Cite&gt;&lt;Author&gt;Guo&lt;/Author&gt;&lt;Year&gt;2010&lt;/Year&gt;&lt;RecNum&gt;3005&lt;/RecNum&gt;&lt;DisplayText&gt;&lt;style face="superscript"&gt;6&lt;/style&gt;&lt;/DisplayText&gt;&lt;record&gt;&lt;rec-number&gt;3005&lt;/rec-number&gt;&lt;foreign-keys&gt;&lt;key app="EN" db-id="zs2fp5r2f2x2e2esxe75ap2k2dx05tep55zx" timestamp="1767496858"&gt;3005&lt;/key&gt;&lt;/foreign-keys&gt;&lt;ref-type name="Journal Article"&gt;17&lt;/ref-type&gt;&lt;contributors&gt;&lt;authors&gt;&lt;author&gt;Guo, S. F.&lt;/author&gt;&lt;author&gt;Liu, L.&lt;/author&gt;&lt;author&gt;Li, N.&lt;/author&gt;&lt;author&gt;Li, Y.&lt;/author&gt;&lt;/authors&gt;&lt;/contributors&gt;&lt;titles&gt;&lt;title&gt;Fe-based bulk metallic glass matrix composite with large plasticity&lt;/title&gt;&lt;secondary-title&gt;Scripta Materialia&lt;/secondary-title&gt;&lt;/titles&gt;&lt;periodical&gt;&lt;full-title&gt;Scripta Materialia&lt;/full-title&gt;&lt;/periodical&gt;&lt;pages&gt;329-332&lt;/pages&gt;&lt;volume&gt;62&lt;/volume&gt;&lt;number&gt;6&lt;/number&gt;&lt;keywords&gt;&lt;keyword&gt;Suck casting&lt;/keyword&gt;&lt;keyword&gt;Scanning electron microscopy&lt;/keyword&gt;&lt;keyword&gt;Bulk metallic glass&lt;/keyword&gt;&lt;keyword&gt;Plastic deformation&lt;/keyword&gt;&lt;/keywords&gt;&lt;dates&gt;&lt;year&gt;2010&lt;/year&gt;&lt;pub-dates&gt;&lt;date&gt;2010/03/01/&lt;/date&gt;&lt;/pub-dates&gt;&lt;/dates&gt;&lt;isbn&gt;1359-6462&lt;/isbn&gt;&lt;urls&gt;&lt;related-urls&gt;&lt;url&gt;https://www.sciencedirect.com/science/article/pii/S1359646209006654&lt;/url&gt;&lt;/related-urls&gt;&lt;/urls&gt;&lt;electronic-resource-num&gt;https://doi.org/10.1016/j.scriptamat.2009.10.024&lt;/electronic-resource-num&gt;&lt;/record&gt;&lt;/Cite&gt;&lt;/EndNote&gt;</w:instrText>
            </w:r>
            <w:r>
              <w:rPr>
                <w:rFonts w:ascii="Times New Roman" w:hAnsi="Times New Roman" w:cs="Times New Roman"/>
                <w:sz w:val="22"/>
              </w:rPr>
              <w:fldChar w:fldCharType="separate"/>
            </w:r>
            <w:r>
              <w:rPr>
                <w:rFonts w:ascii="Times New Roman" w:hAnsi="Times New Roman" w:cs="Times New Roman"/>
                <w:sz w:val="22"/>
              </w:rPr>
              <w:t>6</w:t>
            </w:r>
            <w:r>
              <w:rPr>
                <w:rFonts w:ascii="Times New Roman" w:hAnsi="Times New Roman" w:cs="Times New Roman"/>
                <w:sz w:val="22"/>
              </w:rPr>
              <w:fldChar w:fldCharType="end"/>
            </w:r>
          </w:p>
        </w:tc>
      </w:tr>
      <w:tr w14:paraId="6677A5C2">
        <w:tblPrEx>
          <w:tblCellMar>
            <w:top w:w="0" w:type="dxa"/>
            <w:left w:w="0" w:type="dxa"/>
            <w:bottom w:w="0" w:type="dxa"/>
            <w:right w:w="0" w:type="dxa"/>
          </w:tblCellMar>
        </w:tblPrEx>
        <w:trPr>
          <w:trHeight w:val="397" w:hRule="exact"/>
        </w:trPr>
        <w:tc>
          <w:tcPr>
            <w:tcW w:w="1990" w:type="pct"/>
            <w:tcMar>
              <w:top w:w="15" w:type="dxa"/>
              <w:left w:w="108" w:type="dxa"/>
              <w:bottom w:w="0" w:type="dxa"/>
              <w:right w:w="108" w:type="dxa"/>
            </w:tcMar>
            <w:vAlign w:val="center"/>
          </w:tcPr>
          <w:p w14:paraId="4A289CC9">
            <w:pPr>
              <w:adjustRightInd w:val="0"/>
              <w:snapToGrid w:val="0"/>
              <w:jc w:val="center"/>
              <w:rPr>
                <w:rFonts w:ascii="Times New Roman" w:hAnsi="Times New Roman" w:cs="Times New Roman"/>
                <w:sz w:val="22"/>
              </w:rPr>
            </w:pPr>
            <w:r>
              <w:rPr>
                <w:rFonts w:ascii="Times New Roman" w:hAnsi="Times New Roman" w:cs="Times New Roman"/>
                <w:sz w:val="22"/>
              </w:rPr>
              <w:t>Fe-based Bulk metallic glass</w:t>
            </w:r>
          </w:p>
        </w:tc>
        <w:tc>
          <w:tcPr>
            <w:tcW w:w="1192" w:type="pct"/>
            <w:tcMar>
              <w:top w:w="15" w:type="dxa"/>
              <w:left w:w="108" w:type="dxa"/>
              <w:bottom w:w="0" w:type="dxa"/>
              <w:right w:w="108" w:type="dxa"/>
            </w:tcMar>
            <w:vAlign w:val="center"/>
          </w:tcPr>
          <w:p w14:paraId="1313B160">
            <w:pPr>
              <w:adjustRightInd w:val="0"/>
              <w:snapToGrid w:val="0"/>
              <w:jc w:val="center"/>
              <w:rPr>
                <w:rFonts w:ascii="Times New Roman" w:hAnsi="Times New Roman" w:cs="Times New Roman"/>
                <w:sz w:val="22"/>
              </w:rPr>
            </w:pPr>
            <w:r>
              <w:rPr>
                <w:rFonts w:ascii="Times New Roman" w:hAnsi="Times New Roman" w:cs="Times New Roman"/>
                <w:sz w:val="22"/>
              </w:rPr>
              <w:t>3.1</w:t>
            </w:r>
          </w:p>
        </w:tc>
        <w:tc>
          <w:tcPr>
            <w:tcW w:w="1115" w:type="pct"/>
            <w:vAlign w:val="center"/>
          </w:tcPr>
          <w:p w14:paraId="758867FE">
            <w:pPr>
              <w:adjustRightInd w:val="0"/>
              <w:snapToGrid w:val="0"/>
              <w:jc w:val="center"/>
              <w:rPr>
                <w:rFonts w:ascii="Times New Roman" w:hAnsi="Times New Roman" w:cs="Times New Roman"/>
                <w:sz w:val="22"/>
              </w:rPr>
            </w:pPr>
            <w:r>
              <w:rPr>
                <w:rFonts w:ascii="Times New Roman" w:hAnsi="Times New Roman" w:cs="Times New Roman"/>
                <w:sz w:val="22"/>
              </w:rPr>
              <w:t>6.6</w:t>
            </w:r>
          </w:p>
        </w:tc>
        <w:tc>
          <w:tcPr>
            <w:tcW w:w="703" w:type="pct"/>
            <w:tcMar>
              <w:top w:w="15" w:type="dxa"/>
              <w:left w:w="108" w:type="dxa"/>
              <w:bottom w:w="0" w:type="dxa"/>
              <w:right w:w="108" w:type="dxa"/>
            </w:tcMar>
            <w:vAlign w:val="center"/>
          </w:tcPr>
          <w:p w14:paraId="0D0A7D5A">
            <w:pPr>
              <w:adjustRightInd w:val="0"/>
              <w:snapToGrid w:val="0"/>
              <w:jc w:val="center"/>
              <w:rPr>
                <w:rFonts w:ascii="Times New Roman" w:hAnsi="Times New Roman" w:cs="Times New Roman"/>
                <w:sz w:val="22"/>
              </w:rPr>
            </w:pPr>
            <w:r>
              <w:rPr>
                <w:rFonts w:ascii="Times New Roman" w:hAnsi="Times New Roman" w:cs="Times New Roman"/>
                <w:sz w:val="22"/>
              </w:rPr>
              <w:fldChar w:fldCharType="begin"/>
            </w:r>
            <w:r>
              <w:rPr>
                <w:rFonts w:ascii="Times New Roman" w:hAnsi="Times New Roman" w:cs="Times New Roman"/>
                <w:sz w:val="22"/>
              </w:rPr>
              <w:instrText xml:space="preserve"> ADDIN EN.CITE &lt;EndNote&gt;&lt;Cite&gt;&lt;Author&gt;Guo&lt;/Author&gt;&lt;Year&gt;2017&lt;/Year&gt;&lt;RecNum&gt;3007&lt;/RecNum&gt;&lt;DisplayText&gt;&lt;style face="superscript"&gt;7&lt;/style&gt;&lt;/DisplayText&gt;&lt;record&gt;&lt;rec-number&gt;3007&lt;/rec-number&gt;&lt;foreign-keys&gt;&lt;key app="EN" db-id="zs2fp5r2f2x2e2esxe75ap2k2dx05tep55zx" timestamp="1767496940"&gt;3007&lt;/key&gt;&lt;/foreign-keys&gt;&lt;ref-type name="Journal Article"&gt;17&lt;/ref-type&gt;&lt;contributors&gt;&lt;authors&gt;&lt;author&gt;Guo, Shengfeng&lt;/author&gt;&lt;author&gt;Su, Chen&lt;/author&gt;&lt;/authors&gt;&lt;/contributors&gt;&lt;titles&gt;&lt;title&gt;Micro/nano ductile-phases reinforced Fe-based bulk metallic glass matrix composite with large plasticity&lt;/title&gt;&lt;secondary-title&gt;Materials Science and Engineering: A&lt;/secondary-title&gt;&lt;/titles&gt;&lt;periodical&gt;&lt;full-title&gt;Materials Science and Engineering: A&lt;/full-title&gt;&lt;/periodical&gt;&lt;pages&gt;44-50&lt;/pages&gt;&lt;volume&gt;707&lt;/volume&gt;&lt;keywords&gt;&lt;keyword&gt;Fe-based bulk metallic glass&lt;/keyword&gt;&lt;keyword&gt;Composite&lt;/keyword&gt;&lt;keyword&gt;Plasticity&lt;/keyword&gt;&lt;/keywords&gt;&lt;dates&gt;&lt;year&gt;2017&lt;/year&gt;&lt;pub-dates&gt;&lt;date&gt;2017/11/07/&lt;/date&gt;&lt;/pub-dates&gt;&lt;/dates&gt;&lt;isbn&gt;0921-5093&lt;/isbn&gt;&lt;urls&gt;&lt;related-urls&gt;&lt;url&gt;https://www.sciencedirect.com/science/article/pii/S0921509317311930&lt;/url&gt;&lt;/related-urls&gt;&lt;/urls&gt;&lt;electronic-resource-num&gt;https://doi.org/10.1016/j.msea.2017.09.036&lt;/electronic-resource-num&gt;&lt;/record&gt;&lt;/Cite&gt;&lt;/EndNote&gt;</w:instrText>
            </w:r>
            <w:r>
              <w:rPr>
                <w:rFonts w:ascii="Times New Roman" w:hAnsi="Times New Roman" w:cs="Times New Roman"/>
                <w:sz w:val="22"/>
              </w:rPr>
              <w:fldChar w:fldCharType="separate"/>
            </w:r>
            <w:r>
              <w:rPr>
                <w:rFonts w:ascii="Times New Roman" w:hAnsi="Times New Roman" w:cs="Times New Roman"/>
                <w:sz w:val="22"/>
              </w:rPr>
              <w:t>7</w:t>
            </w:r>
            <w:r>
              <w:rPr>
                <w:rFonts w:ascii="Times New Roman" w:hAnsi="Times New Roman" w:cs="Times New Roman"/>
                <w:sz w:val="22"/>
              </w:rPr>
              <w:fldChar w:fldCharType="end"/>
            </w:r>
          </w:p>
        </w:tc>
      </w:tr>
      <w:tr w14:paraId="5994FB05">
        <w:tblPrEx>
          <w:tblCellMar>
            <w:top w:w="0" w:type="dxa"/>
            <w:left w:w="0" w:type="dxa"/>
            <w:bottom w:w="0" w:type="dxa"/>
            <w:right w:w="0" w:type="dxa"/>
          </w:tblCellMar>
        </w:tblPrEx>
        <w:trPr>
          <w:trHeight w:val="397" w:hRule="exact"/>
        </w:trPr>
        <w:tc>
          <w:tcPr>
            <w:tcW w:w="1990" w:type="pct"/>
            <w:tcMar>
              <w:top w:w="15" w:type="dxa"/>
              <w:left w:w="108" w:type="dxa"/>
              <w:bottom w:w="0" w:type="dxa"/>
              <w:right w:w="108" w:type="dxa"/>
            </w:tcMar>
            <w:vAlign w:val="center"/>
          </w:tcPr>
          <w:p w14:paraId="171EE8EF">
            <w:pPr>
              <w:adjustRightInd w:val="0"/>
              <w:snapToGrid w:val="0"/>
              <w:jc w:val="center"/>
              <w:rPr>
                <w:rFonts w:ascii="Times New Roman" w:hAnsi="Times New Roman" w:cs="Times New Roman"/>
                <w:sz w:val="22"/>
              </w:rPr>
            </w:pPr>
            <w:r>
              <w:rPr>
                <w:rFonts w:ascii="Times New Roman" w:hAnsi="Times New Roman" w:cs="Times New Roman"/>
                <w:sz w:val="22"/>
              </w:rPr>
              <w:t>Ta</w:t>
            </w:r>
            <w:r>
              <w:rPr>
                <w:rFonts w:ascii="Times New Roman" w:hAnsi="Times New Roman" w:cs="Times New Roman"/>
                <w:sz w:val="22"/>
                <w:vertAlign w:val="subscript"/>
              </w:rPr>
              <w:t>80</w:t>
            </w:r>
            <w:r>
              <w:rPr>
                <w:rFonts w:ascii="Times New Roman" w:hAnsi="Times New Roman" w:cs="Times New Roman"/>
                <w:sz w:val="22"/>
              </w:rPr>
              <w:t>Co</w:t>
            </w:r>
            <w:r>
              <w:rPr>
                <w:rFonts w:ascii="Times New Roman" w:hAnsi="Times New Roman" w:cs="Times New Roman"/>
                <w:sz w:val="22"/>
                <w:vertAlign w:val="subscript"/>
              </w:rPr>
              <w:t>20</w:t>
            </w:r>
            <w:r>
              <w:rPr>
                <w:rFonts w:ascii="Times New Roman" w:hAnsi="Times New Roman" w:cs="Times New Roman"/>
                <w:sz w:val="22"/>
              </w:rPr>
              <w:t xml:space="preserve"> nanoscale metallic glass</w:t>
            </w:r>
          </w:p>
        </w:tc>
        <w:tc>
          <w:tcPr>
            <w:tcW w:w="1192" w:type="pct"/>
            <w:tcMar>
              <w:top w:w="15" w:type="dxa"/>
              <w:left w:w="108" w:type="dxa"/>
              <w:bottom w:w="0" w:type="dxa"/>
              <w:right w:w="108" w:type="dxa"/>
            </w:tcMar>
            <w:vAlign w:val="center"/>
          </w:tcPr>
          <w:p w14:paraId="17DACA0E">
            <w:pPr>
              <w:adjustRightInd w:val="0"/>
              <w:snapToGrid w:val="0"/>
              <w:jc w:val="center"/>
              <w:rPr>
                <w:rFonts w:ascii="Times New Roman" w:hAnsi="Times New Roman" w:cs="Times New Roman"/>
                <w:sz w:val="22"/>
              </w:rPr>
            </w:pPr>
            <w:r>
              <w:rPr>
                <w:rFonts w:ascii="Times New Roman" w:hAnsi="Times New Roman" w:cs="Times New Roman"/>
                <w:sz w:val="22"/>
              </w:rPr>
              <w:t>4.5</w:t>
            </w:r>
          </w:p>
        </w:tc>
        <w:tc>
          <w:tcPr>
            <w:tcW w:w="1115" w:type="pct"/>
            <w:vAlign w:val="center"/>
          </w:tcPr>
          <w:p w14:paraId="3F863B86">
            <w:pPr>
              <w:adjustRightInd w:val="0"/>
              <w:snapToGrid w:val="0"/>
              <w:jc w:val="center"/>
              <w:rPr>
                <w:rFonts w:ascii="Times New Roman" w:hAnsi="Times New Roman" w:cs="Times New Roman"/>
                <w:sz w:val="22"/>
              </w:rPr>
            </w:pPr>
            <w:r>
              <w:rPr>
                <w:rFonts w:ascii="Times New Roman" w:hAnsi="Times New Roman" w:cs="Times New Roman"/>
                <w:sz w:val="22"/>
              </w:rPr>
              <w:t>80</w:t>
            </w:r>
          </w:p>
        </w:tc>
        <w:tc>
          <w:tcPr>
            <w:tcW w:w="703" w:type="pct"/>
            <w:tcMar>
              <w:top w:w="15" w:type="dxa"/>
              <w:left w:w="108" w:type="dxa"/>
              <w:bottom w:w="0" w:type="dxa"/>
              <w:right w:w="108" w:type="dxa"/>
            </w:tcMar>
            <w:vAlign w:val="center"/>
          </w:tcPr>
          <w:p w14:paraId="1BA6659D">
            <w:pPr>
              <w:adjustRightInd w:val="0"/>
              <w:snapToGrid w:val="0"/>
              <w:jc w:val="center"/>
              <w:rPr>
                <w:rFonts w:ascii="Times New Roman" w:hAnsi="Times New Roman" w:cs="Times New Roman"/>
                <w:sz w:val="22"/>
              </w:rPr>
            </w:pPr>
            <w:r>
              <w:rPr>
                <w:rFonts w:ascii="Times New Roman" w:hAnsi="Times New Roman" w:cs="Times New Roman"/>
                <w:sz w:val="22"/>
              </w:rPr>
              <w:fldChar w:fldCharType="begin"/>
            </w:r>
            <w:r>
              <w:rPr>
                <w:rFonts w:ascii="Times New Roman" w:hAnsi="Times New Roman" w:cs="Times New Roman"/>
                <w:sz w:val="22"/>
              </w:rPr>
              <w:instrText xml:space="preserve"> ADDIN EN.CITE &lt;EndNote&gt;&lt;Cite&gt;&lt;Author&gt;Liu&lt;/Author&gt;&lt;Year&gt;2024&lt;/Year&gt;&lt;RecNum&gt;3009&lt;/RecNum&gt;&lt;DisplayText&gt;&lt;style face="superscript"&gt;8&lt;/style&gt;&lt;/DisplayText&gt;&lt;record&gt;&lt;rec-number&gt;3009&lt;/rec-number&gt;&lt;foreign-keys&gt;&lt;key app="EN" db-id="zs2fp5r2f2x2e2esxe75ap2k2dx05tep55zx" timestamp="1767497030"&gt;3009&lt;/key&gt;&lt;/foreign-keys&gt;&lt;ref-type name="Journal Article"&gt;17&lt;/ref-type&gt;&lt;contributors&gt;&lt;authors&gt;&lt;author&gt;Liu, Xiao&lt;/author&gt;&lt;author&gt;Di, Si-Yi&lt;/author&gt;&lt;author&gt;Zhou, Jing&lt;/author&gt;&lt;author&gt;Miao, Fang&lt;/author&gt;&lt;author&gt;Wang, Hong-Ze&lt;/author&gt;&lt;author&gt;Wu, Yi&lt;/author&gt;&lt;author&gt;Wang, Hao-Wei&lt;/author&gt;&lt;author&gt;Ke, Hai-Bo&lt;/author&gt;&lt;author&gt;Li, Qiang&lt;/author&gt;&lt;/authors&gt;&lt;/contributors&gt;&lt;titles&gt;&lt;title&gt;Multi-scale inhomogeneity and anomalous mechanical response of nanoscale metallic glass pillar by cryogenic thermal cycling&lt;/title&gt;&lt;secondary-title&gt;Rare Metals&lt;/secondary-title&gt;&lt;/titles&gt;&lt;periodical&gt;&lt;full-title&gt;Rare Metals&lt;/full-title&gt;&lt;/periodical&gt;&lt;pages&gt;6771-6780&lt;/pages&gt;&lt;volume&gt;43&lt;/volume&gt;&lt;number&gt;12&lt;/number&gt;&lt;dates&gt;&lt;year&gt;2024&lt;/year&gt;&lt;pub-dates&gt;&lt;date&gt;2024/12/01&lt;/date&gt;&lt;/pub-dates&gt;&lt;/dates&gt;&lt;publisher&gt;John Wiley &amp;amp; Sons, Ltd&lt;/publisher&gt;&lt;isbn&gt;1001-0521&lt;/isbn&gt;&lt;urls&gt;&lt;related-urls&gt;&lt;url&gt;https://doi.org/10.1007/s12598-024-02964-7&lt;/url&gt;&lt;/related-urls&gt;&lt;/urls&gt;&lt;electronic-resource-num&gt;https://doi.org/10.1007/s12598-024-02964-7&lt;/electronic-resource-num&gt;&lt;access-date&gt;2026/01/03&lt;/access-date&gt;&lt;/record&gt;&lt;/Cite&gt;&lt;/EndNote&gt;</w:instrText>
            </w:r>
            <w:r>
              <w:rPr>
                <w:rFonts w:ascii="Times New Roman" w:hAnsi="Times New Roman" w:cs="Times New Roman"/>
                <w:sz w:val="22"/>
              </w:rPr>
              <w:fldChar w:fldCharType="separate"/>
            </w:r>
            <w:r>
              <w:rPr>
                <w:rFonts w:ascii="Times New Roman" w:hAnsi="Times New Roman" w:cs="Times New Roman"/>
                <w:sz w:val="22"/>
              </w:rPr>
              <w:t>8</w:t>
            </w:r>
            <w:r>
              <w:rPr>
                <w:rFonts w:ascii="Times New Roman" w:hAnsi="Times New Roman" w:cs="Times New Roman"/>
                <w:sz w:val="22"/>
              </w:rPr>
              <w:fldChar w:fldCharType="end"/>
            </w:r>
          </w:p>
        </w:tc>
      </w:tr>
      <w:tr w14:paraId="09E84AEB">
        <w:tblPrEx>
          <w:tblCellMar>
            <w:top w:w="0" w:type="dxa"/>
            <w:left w:w="0" w:type="dxa"/>
            <w:bottom w:w="0" w:type="dxa"/>
            <w:right w:w="0" w:type="dxa"/>
          </w:tblCellMar>
        </w:tblPrEx>
        <w:trPr>
          <w:trHeight w:val="397" w:hRule="exact"/>
        </w:trPr>
        <w:tc>
          <w:tcPr>
            <w:tcW w:w="1990" w:type="pct"/>
            <w:tcMar>
              <w:top w:w="15" w:type="dxa"/>
              <w:left w:w="108" w:type="dxa"/>
              <w:bottom w:w="0" w:type="dxa"/>
              <w:right w:w="108" w:type="dxa"/>
            </w:tcMar>
            <w:vAlign w:val="center"/>
          </w:tcPr>
          <w:p w14:paraId="436ED77E">
            <w:pPr>
              <w:adjustRightInd w:val="0"/>
              <w:snapToGrid w:val="0"/>
              <w:jc w:val="center"/>
              <w:rPr>
                <w:rFonts w:ascii="Times New Roman" w:hAnsi="Times New Roman" w:cs="Times New Roman"/>
                <w:sz w:val="22"/>
              </w:rPr>
            </w:pPr>
            <w:r>
              <w:rPr>
                <w:rFonts w:ascii="Times New Roman" w:hAnsi="Times New Roman" w:cs="Times New Roman"/>
                <w:sz w:val="22"/>
              </w:rPr>
              <w:t>Mg–Zn–Ca bulk metallic glass</w:t>
            </w:r>
          </w:p>
        </w:tc>
        <w:tc>
          <w:tcPr>
            <w:tcW w:w="1192" w:type="pct"/>
            <w:tcMar>
              <w:top w:w="15" w:type="dxa"/>
              <w:left w:w="108" w:type="dxa"/>
              <w:bottom w:w="0" w:type="dxa"/>
              <w:right w:w="108" w:type="dxa"/>
            </w:tcMar>
            <w:vAlign w:val="center"/>
          </w:tcPr>
          <w:p w14:paraId="0E4DCD1A">
            <w:pPr>
              <w:adjustRightInd w:val="0"/>
              <w:snapToGrid w:val="0"/>
              <w:jc w:val="center"/>
              <w:rPr>
                <w:rFonts w:ascii="Times New Roman" w:hAnsi="Times New Roman" w:cs="Times New Roman"/>
                <w:sz w:val="22"/>
              </w:rPr>
            </w:pPr>
            <w:r>
              <w:rPr>
                <w:rFonts w:ascii="Times New Roman" w:hAnsi="Times New Roman" w:cs="Times New Roman"/>
                <w:sz w:val="22"/>
              </w:rPr>
              <w:t>0.23</w:t>
            </w:r>
          </w:p>
        </w:tc>
        <w:tc>
          <w:tcPr>
            <w:tcW w:w="1115" w:type="pct"/>
            <w:vAlign w:val="center"/>
          </w:tcPr>
          <w:p w14:paraId="59C20721">
            <w:pPr>
              <w:adjustRightInd w:val="0"/>
              <w:snapToGrid w:val="0"/>
              <w:jc w:val="center"/>
              <w:rPr>
                <w:rFonts w:ascii="Times New Roman" w:hAnsi="Times New Roman" w:cs="Times New Roman"/>
                <w:sz w:val="22"/>
              </w:rPr>
            </w:pPr>
            <w:r>
              <w:rPr>
                <w:rFonts w:ascii="Times New Roman" w:hAnsi="Times New Roman" w:cs="Times New Roman"/>
                <w:sz w:val="22"/>
              </w:rPr>
              <w:t>17</w:t>
            </w:r>
          </w:p>
        </w:tc>
        <w:tc>
          <w:tcPr>
            <w:tcW w:w="703" w:type="pct"/>
            <w:tcMar>
              <w:top w:w="15" w:type="dxa"/>
              <w:left w:w="108" w:type="dxa"/>
              <w:bottom w:w="0" w:type="dxa"/>
              <w:right w:w="108" w:type="dxa"/>
            </w:tcMar>
            <w:vAlign w:val="center"/>
          </w:tcPr>
          <w:p w14:paraId="03986F08">
            <w:pPr>
              <w:adjustRightInd w:val="0"/>
              <w:snapToGrid w:val="0"/>
              <w:jc w:val="center"/>
              <w:rPr>
                <w:rFonts w:ascii="Times New Roman" w:hAnsi="Times New Roman" w:cs="Times New Roman"/>
                <w:sz w:val="22"/>
              </w:rPr>
            </w:pPr>
            <w:r>
              <w:rPr>
                <w:rFonts w:ascii="Times New Roman" w:hAnsi="Times New Roman" w:cs="Times New Roman"/>
                <w:sz w:val="22"/>
              </w:rPr>
              <w:fldChar w:fldCharType="begin"/>
            </w:r>
            <w:r>
              <w:rPr>
                <w:rFonts w:ascii="Times New Roman" w:hAnsi="Times New Roman" w:cs="Times New Roman"/>
                <w:sz w:val="22"/>
              </w:rPr>
              <w:instrText xml:space="preserve"> ADDIN EN.CITE &lt;EndNote&gt;&lt;Cite&gt;&lt;Author&gt;Li&lt;/Author&gt;&lt;Year&gt;2023&lt;/Year&gt;&lt;RecNum&gt;3011&lt;/RecNum&gt;&lt;DisplayText&gt;&lt;style face="superscript"&gt;9&lt;/style&gt;&lt;/DisplayText&gt;&lt;record&gt;&lt;rec-number&gt;3011&lt;/rec-number&gt;&lt;foreign-keys&gt;&lt;key app="EN" db-id="zs2fp5r2f2x2e2esxe75ap2k2dx05tep55zx" timestamp="1767497091"&gt;3011&lt;/key&gt;&lt;/foreign-keys&gt;&lt;ref-type name="Journal Article"&gt;17&lt;/ref-type&gt;&lt;contributors&gt;&lt;authors&gt;&lt;author&gt;Li, Kun&lt;/author&gt;&lt;author&gt;Zhou, Shujian&lt;/author&gt;&lt;author&gt;Bao, Weizong&lt;/author&gt;&lt;author&gt;Chen, Jie&lt;/author&gt;&lt;author&gt;Li, Junzhi&lt;/author&gt;&lt;author&gt;Xie, Guoqiang&lt;/author&gt;&lt;/authors&gt;&lt;/contributors&gt;&lt;titles&gt;&lt;title&gt;New biodegradable Mg–Zn–Ca bulk metallic glass composite with large plasticity reinforced by SnZn alloy&lt;/title&gt;&lt;secondary-title&gt;Materials Science and Engineering: A&lt;/secondary-title&gt;&lt;/titles&gt;&lt;periodical&gt;&lt;full-title&gt;Materials Science and Engineering: A&lt;/full-title&gt;&lt;/periodical&gt;&lt;pages&gt;145045&lt;/pages&gt;&lt;volume&gt;873&lt;/volume&gt;&lt;keywords&gt;&lt;keyword&gt;Mg-Zn-Ca/SnZn bulk Metallic glass composite&lt;/keyword&gt;&lt;keyword&gt;Mechanical properties&lt;/keyword&gt;&lt;keyword&gt;Large plasticity&lt;/keyword&gt;&lt;keyword&gt;Shear band&lt;/keyword&gt;&lt;/keywords&gt;&lt;dates&gt;&lt;year&gt;2023&lt;/year&gt;&lt;pub-dates&gt;&lt;date&gt;2023/05/17/&lt;/date&gt;&lt;/pub-dates&gt;&lt;/dates&gt;&lt;isbn&gt;0921-5093&lt;/isbn&gt;&lt;urls&gt;&lt;related-urls&gt;&lt;url&gt;https://www.sciencedirect.com/science/article/pii/S0921509323004690&lt;/url&gt;&lt;/related-urls&gt;&lt;/urls&gt;&lt;electronic-resource-num&gt;https://doi.org/10.1016/j.msea.2023.145045&lt;/electronic-resource-num&gt;&lt;/record&gt;&lt;/Cite&gt;&lt;/EndNote&gt;</w:instrText>
            </w:r>
            <w:r>
              <w:rPr>
                <w:rFonts w:ascii="Times New Roman" w:hAnsi="Times New Roman" w:cs="Times New Roman"/>
                <w:sz w:val="22"/>
              </w:rPr>
              <w:fldChar w:fldCharType="separate"/>
            </w:r>
            <w:r>
              <w:rPr>
                <w:rFonts w:ascii="Times New Roman" w:hAnsi="Times New Roman" w:cs="Times New Roman"/>
                <w:sz w:val="22"/>
              </w:rPr>
              <w:t>9</w:t>
            </w:r>
            <w:r>
              <w:rPr>
                <w:rFonts w:ascii="Times New Roman" w:hAnsi="Times New Roman" w:cs="Times New Roman"/>
                <w:sz w:val="22"/>
              </w:rPr>
              <w:fldChar w:fldCharType="end"/>
            </w:r>
          </w:p>
        </w:tc>
      </w:tr>
      <w:tr w14:paraId="239234D7">
        <w:tblPrEx>
          <w:tblCellMar>
            <w:top w:w="0" w:type="dxa"/>
            <w:left w:w="0" w:type="dxa"/>
            <w:bottom w:w="0" w:type="dxa"/>
            <w:right w:w="0" w:type="dxa"/>
          </w:tblCellMar>
        </w:tblPrEx>
        <w:trPr>
          <w:trHeight w:val="397" w:hRule="exact"/>
        </w:trPr>
        <w:tc>
          <w:tcPr>
            <w:tcW w:w="1990" w:type="pct"/>
            <w:tcMar>
              <w:top w:w="15" w:type="dxa"/>
              <w:left w:w="108" w:type="dxa"/>
              <w:bottom w:w="0" w:type="dxa"/>
              <w:right w:w="108" w:type="dxa"/>
            </w:tcMar>
            <w:vAlign w:val="center"/>
          </w:tcPr>
          <w:p w14:paraId="2F8ED803">
            <w:pPr>
              <w:adjustRightInd w:val="0"/>
              <w:snapToGrid w:val="0"/>
              <w:jc w:val="center"/>
              <w:rPr>
                <w:rFonts w:ascii="Times New Roman" w:hAnsi="Times New Roman" w:cs="Times New Roman"/>
                <w:sz w:val="22"/>
              </w:rPr>
            </w:pPr>
            <w:r>
              <w:rPr>
                <w:rFonts w:ascii="Times New Roman" w:hAnsi="Times New Roman" w:cs="Times New Roman"/>
                <w:sz w:val="22"/>
              </w:rPr>
              <w:t>Iron-based metallic glasses</w:t>
            </w:r>
          </w:p>
        </w:tc>
        <w:tc>
          <w:tcPr>
            <w:tcW w:w="1192" w:type="pct"/>
            <w:tcMar>
              <w:top w:w="15" w:type="dxa"/>
              <w:left w:w="108" w:type="dxa"/>
              <w:bottom w:w="0" w:type="dxa"/>
              <w:right w:w="108" w:type="dxa"/>
            </w:tcMar>
            <w:vAlign w:val="center"/>
          </w:tcPr>
          <w:p w14:paraId="1601BF3D">
            <w:pPr>
              <w:adjustRightInd w:val="0"/>
              <w:snapToGrid w:val="0"/>
              <w:jc w:val="center"/>
              <w:rPr>
                <w:rFonts w:ascii="Times New Roman" w:hAnsi="Times New Roman" w:cs="Times New Roman"/>
                <w:sz w:val="22"/>
              </w:rPr>
            </w:pPr>
            <w:r>
              <w:rPr>
                <w:rFonts w:ascii="Times New Roman" w:hAnsi="Times New Roman" w:cs="Times New Roman"/>
                <w:sz w:val="22"/>
              </w:rPr>
              <w:t>4.5</w:t>
            </w:r>
          </w:p>
        </w:tc>
        <w:tc>
          <w:tcPr>
            <w:tcW w:w="1115" w:type="pct"/>
            <w:vAlign w:val="center"/>
          </w:tcPr>
          <w:p w14:paraId="5C1239F6">
            <w:pPr>
              <w:adjustRightInd w:val="0"/>
              <w:snapToGrid w:val="0"/>
              <w:jc w:val="center"/>
              <w:rPr>
                <w:rFonts w:ascii="Times New Roman" w:hAnsi="Times New Roman" w:cs="Times New Roman"/>
                <w:sz w:val="22"/>
              </w:rPr>
            </w:pPr>
            <w:r>
              <w:rPr>
                <w:rFonts w:ascii="Times New Roman" w:hAnsi="Times New Roman" w:cs="Times New Roman"/>
                <w:sz w:val="22"/>
              </w:rPr>
              <w:t>50</w:t>
            </w:r>
          </w:p>
        </w:tc>
        <w:tc>
          <w:tcPr>
            <w:tcW w:w="703" w:type="pct"/>
            <w:tcMar>
              <w:top w:w="15" w:type="dxa"/>
              <w:left w:w="108" w:type="dxa"/>
              <w:bottom w:w="0" w:type="dxa"/>
              <w:right w:w="108" w:type="dxa"/>
            </w:tcMar>
            <w:vAlign w:val="center"/>
          </w:tcPr>
          <w:p w14:paraId="4246720D">
            <w:pPr>
              <w:adjustRightInd w:val="0"/>
              <w:snapToGrid w:val="0"/>
              <w:jc w:val="center"/>
              <w:rPr>
                <w:rFonts w:ascii="Times New Roman" w:hAnsi="Times New Roman" w:cs="Times New Roman"/>
                <w:sz w:val="22"/>
              </w:rPr>
            </w:pPr>
            <w:r>
              <w:rPr>
                <w:rFonts w:ascii="Times New Roman" w:hAnsi="Times New Roman" w:cs="Times New Roman"/>
                <w:sz w:val="22"/>
              </w:rPr>
              <w:fldChar w:fldCharType="begin"/>
            </w:r>
            <w:r>
              <w:rPr>
                <w:rFonts w:ascii="Times New Roman" w:hAnsi="Times New Roman" w:cs="Times New Roman"/>
                <w:sz w:val="22"/>
              </w:rPr>
              <w:instrText xml:space="preserve"> ADDIN EN.CITE &lt;EndNote&gt;&lt;Cite&gt;&lt;Author&gt;Sarac&lt;/Author&gt;&lt;Year&gt;2018&lt;/Year&gt;&lt;RecNum&gt;3013&lt;/RecNum&gt;&lt;DisplayText&gt;&lt;style face="superscript"&gt;10&lt;/style&gt;&lt;/DisplayText&gt;&lt;record&gt;&lt;rec-number&gt;3013&lt;/rec-number&gt;&lt;foreign-keys&gt;&lt;key app="EN" db-id="zs2fp5r2f2x2e2esxe75ap2k2dx05tep55zx" timestamp="1767497141"&gt;3013&lt;/key&gt;&lt;/foreign-keys&gt;&lt;ref-type name="Journal Article"&gt;17&lt;/ref-type&gt;&lt;contributors&gt;&lt;authors&gt;&lt;author&gt;Sarac, Baran&lt;/author&gt;&lt;author&gt;Ivanov, Yurii P.&lt;/author&gt;&lt;author&gt;Chuvilin, Andrey&lt;/author&gt;&lt;author&gt;Schöberl, Thomas&lt;/author&gt;&lt;author&gt;Stoica, Mihai&lt;/author&gt;&lt;author&gt;Zhang, Zaoli&lt;/author&gt;&lt;author&gt;Eckert, Jürgen&lt;/author&gt;&lt;/authors&gt;&lt;/contributors&gt;&lt;titles&gt;&lt;title&gt;Origin of large plasticity and multiscale effects in iron-based metallic glasses&lt;/title&gt;&lt;secondary-title&gt;Nature Communications&lt;/secondary-title&gt;&lt;/titles&gt;&lt;periodical&gt;&lt;full-title&gt;Nature Communications&lt;/full-title&gt;&lt;/periodical&gt;&lt;pages&gt;1333&lt;/pages&gt;&lt;volume&gt;9&lt;/volume&gt;&lt;number&gt;1&lt;/number&gt;&lt;dates&gt;&lt;year&gt;2018&lt;/year&gt;&lt;pub-dates&gt;&lt;date&gt;2018/04/06&lt;/date&gt;&lt;/pub-dates&gt;&lt;/dates&gt;&lt;isbn&gt;2041-1723&lt;/isbn&gt;&lt;urls&gt;&lt;related-urls&gt;&lt;url&gt;https://doi.org/10.1038/s41467-018-03744-5&lt;/url&gt;&lt;/related-urls&gt;&lt;/urls&gt;&lt;electronic-resource-num&gt;10.1038/s41467-018-03744-5&lt;/electronic-resource-num&gt;&lt;/record&gt;&lt;/Cite&gt;&lt;/EndNote&gt;</w:instrText>
            </w:r>
            <w:r>
              <w:rPr>
                <w:rFonts w:ascii="Times New Roman" w:hAnsi="Times New Roman" w:cs="Times New Roman"/>
                <w:sz w:val="22"/>
              </w:rPr>
              <w:fldChar w:fldCharType="separate"/>
            </w:r>
            <w:r>
              <w:rPr>
                <w:rFonts w:ascii="Times New Roman" w:hAnsi="Times New Roman" w:cs="Times New Roman"/>
                <w:sz w:val="22"/>
              </w:rPr>
              <w:t>10</w:t>
            </w:r>
            <w:r>
              <w:rPr>
                <w:rFonts w:ascii="Times New Roman" w:hAnsi="Times New Roman" w:cs="Times New Roman"/>
                <w:sz w:val="22"/>
              </w:rPr>
              <w:fldChar w:fldCharType="end"/>
            </w:r>
          </w:p>
        </w:tc>
      </w:tr>
      <w:tr w14:paraId="507A3578">
        <w:tblPrEx>
          <w:tblCellMar>
            <w:top w:w="0" w:type="dxa"/>
            <w:left w:w="0" w:type="dxa"/>
            <w:bottom w:w="0" w:type="dxa"/>
            <w:right w:w="0" w:type="dxa"/>
          </w:tblCellMar>
        </w:tblPrEx>
        <w:trPr>
          <w:trHeight w:val="601" w:hRule="exact"/>
        </w:trPr>
        <w:tc>
          <w:tcPr>
            <w:tcW w:w="1990" w:type="pct"/>
            <w:tcMar>
              <w:top w:w="15" w:type="dxa"/>
              <w:left w:w="108" w:type="dxa"/>
              <w:bottom w:w="0" w:type="dxa"/>
              <w:right w:w="108" w:type="dxa"/>
            </w:tcMar>
            <w:vAlign w:val="center"/>
          </w:tcPr>
          <w:p w14:paraId="3B01E6F6">
            <w:pPr>
              <w:adjustRightInd w:val="0"/>
              <w:snapToGrid w:val="0"/>
              <w:jc w:val="center"/>
              <w:rPr>
                <w:rFonts w:ascii="Times New Roman" w:hAnsi="Times New Roman" w:cs="Times New Roman"/>
                <w:sz w:val="22"/>
              </w:rPr>
            </w:pPr>
            <w:r>
              <w:rPr>
                <w:rFonts w:ascii="Times New Roman" w:hAnsi="Times New Roman" w:cs="Times New Roman"/>
                <w:sz w:val="22"/>
              </w:rPr>
              <w:t>Hierarchical nanostructured aluminum alloy</w:t>
            </w:r>
          </w:p>
        </w:tc>
        <w:tc>
          <w:tcPr>
            <w:tcW w:w="1192" w:type="pct"/>
            <w:tcMar>
              <w:top w:w="15" w:type="dxa"/>
              <w:left w:w="108" w:type="dxa"/>
              <w:bottom w:w="0" w:type="dxa"/>
              <w:right w:w="108" w:type="dxa"/>
            </w:tcMar>
            <w:vAlign w:val="center"/>
          </w:tcPr>
          <w:p w14:paraId="53063073">
            <w:pPr>
              <w:adjustRightInd w:val="0"/>
              <w:snapToGrid w:val="0"/>
              <w:jc w:val="center"/>
              <w:rPr>
                <w:rFonts w:ascii="Times New Roman" w:hAnsi="Times New Roman" w:cs="Times New Roman"/>
                <w:sz w:val="22"/>
              </w:rPr>
            </w:pPr>
            <w:r>
              <w:rPr>
                <w:rFonts w:ascii="Times New Roman" w:hAnsi="Times New Roman" w:cs="Times New Roman"/>
                <w:sz w:val="22"/>
              </w:rPr>
              <w:t>1.7</w:t>
            </w:r>
          </w:p>
        </w:tc>
        <w:tc>
          <w:tcPr>
            <w:tcW w:w="1115" w:type="pct"/>
            <w:vAlign w:val="center"/>
          </w:tcPr>
          <w:p w14:paraId="2F7D97C0">
            <w:pPr>
              <w:adjustRightInd w:val="0"/>
              <w:snapToGrid w:val="0"/>
              <w:jc w:val="center"/>
              <w:rPr>
                <w:rFonts w:ascii="Times New Roman" w:hAnsi="Times New Roman" w:cs="Times New Roman"/>
                <w:sz w:val="22"/>
              </w:rPr>
            </w:pPr>
            <w:r>
              <w:rPr>
                <w:rFonts w:ascii="Times New Roman" w:hAnsi="Times New Roman" w:cs="Times New Roman"/>
                <w:sz w:val="22"/>
              </w:rPr>
              <w:t>70</w:t>
            </w:r>
          </w:p>
        </w:tc>
        <w:tc>
          <w:tcPr>
            <w:tcW w:w="703" w:type="pct"/>
            <w:tcMar>
              <w:top w:w="15" w:type="dxa"/>
              <w:left w:w="108" w:type="dxa"/>
              <w:bottom w:w="0" w:type="dxa"/>
              <w:right w:w="108" w:type="dxa"/>
            </w:tcMar>
            <w:vAlign w:val="center"/>
          </w:tcPr>
          <w:p w14:paraId="003370C7">
            <w:pPr>
              <w:adjustRightInd w:val="0"/>
              <w:snapToGrid w:val="0"/>
              <w:jc w:val="center"/>
              <w:rPr>
                <w:rFonts w:ascii="Times New Roman" w:hAnsi="Times New Roman" w:cs="Times New Roman"/>
                <w:sz w:val="22"/>
              </w:rPr>
            </w:pPr>
            <w:r>
              <w:rPr>
                <w:rFonts w:ascii="Times New Roman" w:hAnsi="Times New Roman" w:cs="Times New Roman"/>
                <w:sz w:val="22"/>
              </w:rPr>
              <w:fldChar w:fldCharType="begin"/>
            </w:r>
            <w:r>
              <w:rPr>
                <w:rFonts w:ascii="Times New Roman" w:hAnsi="Times New Roman" w:cs="Times New Roman"/>
                <w:sz w:val="22"/>
              </w:rPr>
              <w:instrText xml:space="preserve"> ADDIN EN.CITE &lt;EndNote&gt;&lt;Cite&gt;&lt;Author&gt;Wu&lt;/Author&gt;&lt;Year&gt;2019&lt;/Year&gt;&lt;RecNum&gt;3015&lt;/RecNum&gt;&lt;DisplayText&gt;&lt;style face="superscript"&gt;11&lt;/style&gt;&lt;/DisplayText&gt;&lt;record&gt;&lt;rec-number&gt;3015&lt;/rec-number&gt;&lt;foreign-keys&gt;&lt;key app="EN" db-id="zs2fp5r2f2x2e2esxe75ap2k2dx05tep55zx" timestamp="1767497202"&gt;3015&lt;/key&gt;&lt;/foreign-keys&gt;&lt;ref-type name="Journal Article"&gt;17&lt;/ref-type&gt;&lt;contributors&gt;&lt;authors&gt;&lt;author&gt;Wu, Ge&lt;/author&gt;&lt;author&gt;Liu, Chang&lt;/author&gt;&lt;author&gt;Sun, Ligang&lt;/author&gt;&lt;author&gt;Wang, Qing&lt;/author&gt;&lt;author&gt;Sun, Baoan&lt;/author&gt;&lt;author&gt;Han, Bin&lt;/author&gt;&lt;author&gt;Kai, Ji-Jung&lt;/author&gt;&lt;author&gt;Luan, Junhua&lt;/author&gt;&lt;author&gt;Liu, Chain Tsuan&lt;/author&gt;&lt;author&gt;Cao, Ke&lt;/author&gt;&lt;author&gt;Lu, Yang&lt;/author&gt;&lt;author&gt;Cheng, Lizi&lt;/author&gt;&lt;author&gt;Lu, Jian&lt;/author&gt;&lt;/authors&gt;&lt;/contributors&gt;&lt;titles&gt;&lt;title&gt;Hierarchical nanostructured aluminum alloy with ultrahigh strength and large plasticity&lt;/title&gt;&lt;secondary-title&gt;Nature Communications&lt;/secondary-title&gt;&lt;/titles&gt;&lt;periodical&gt;&lt;full-title&gt;Nature Communications&lt;/full-title&gt;&lt;/periodical&gt;&lt;pages&gt;5099&lt;/pages&gt;&lt;volume&gt;10&lt;/volume&gt;&lt;number&gt;1&lt;/number&gt;&lt;dates&gt;&lt;year&gt;2019&lt;/year&gt;&lt;pub-dates&gt;&lt;date&gt;2019/11/08&lt;/date&gt;&lt;/pub-dates&gt;&lt;/dates&gt;&lt;isbn&gt;2041-1723&lt;/isbn&gt;&lt;urls&gt;&lt;related-urls&gt;&lt;url&gt;https://doi.org/10.1038/s41467-019-13087-4&lt;/url&gt;&lt;/related-urls&gt;&lt;/urls&gt;&lt;electronic-resource-num&gt;10.1038/s41467-019-13087-4&lt;/electronic-resource-num&gt;&lt;/record&gt;&lt;/Cite&gt;&lt;/EndNote&gt;</w:instrText>
            </w:r>
            <w:r>
              <w:rPr>
                <w:rFonts w:ascii="Times New Roman" w:hAnsi="Times New Roman" w:cs="Times New Roman"/>
                <w:sz w:val="22"/>
              </w:rPr>
              <w:fldChar w:fldCharType="separate"/>
            </w:r>
            <w:r>
              <w:rPr>
                <w:rFonts w:ascii="Times New Roman" w:hAnsi="Times New Roman" w:cs="Times New Roman"/>
                <w:sz w:val="22"/>
              </w:rPr>
              <w:t>11</w:t>
            </w:r>
            <w:r>
              <w:rPr>
                <w:rFonts w:ascii="Times New Roman" w:hAnsi="Times New Roman" w:cs="Times New Roman"/>
                <w:sz w:val="22"/>
              </w:rPr>
              <w:fldChar w:fldCharType="end"/>
            </w:r>
          </w:p>
        </w:tc>
      </w:tr>
      <w:tr w14:paraId="74CECD73">
        <w:tblPrEx>
          <w:tblCellMar>
            <w:top w:w="0" w:type="dxa"/>
            <w:left w:w="0" w:type="dxa"/>
            <w:bottom w:w="0" w:type="dxa"/>
            <w:right w:w="0" w:type="dxa"/>
          </w:tblCellMar>
        </w:tblPrEx>
        <w:trPr>
          <w:trHeight w:val="397" w:hRule="exact"/>
        </w:trPr>
        <w:tc>
          <w:tcPr>
            <w:tcW w:w="1990" w:type="pct"/>
            <w:tcMar>
              <w:top w:w="15" w:type="dxa"/>
              <w:left w:w="108" w:type="dxa"/>
              <w:bottom w:w="0" w:type="dxa"/>
              <w:right w:w="108" w:type="dxa"/>
            </w:tcMar>
            <w:vAlign w:val="center"/>
          </w:tcPr>
          <w:p w14:paraId="7B6218C1">
            <w:pPr>
              <w:adjustRightInd w:val="0"/>
              <w:snapToGrid w:val="0"/>
              <w:jc w:val="center"/>
              <w:rPr>
                <w:rFonts w:ascii="Times New Roman" w:hAnsi="Times New Roman" w:cs="Times New Roman"/>
                <w:sz w:val="22"/>
              </w:rPr>
            </w:pPr>
            <w:r>
              <w:rPr>
                <w:rFonts w:ascii="Times New Roman" w:hAnsi="Times New Roman" w:cs="Times New Roman"/>
                <w:sz w:val="22"/>
              </w:rPr>
              <w:t>High-entropy MAX</w:t>
            </w:r>
          </w:p>
        </w:tc>
        <w:tc>
          <w:tcPr>
            <w:tcW w:w="1192" w:type="pct"/>
            <w:tcMar>
              <w:top w:w="15" w:type="dxa"/>
              <w:left w:w="108" w:type="dxa"/>
              <w:bottom w:w="0" w:type="dxa"/>
              <w:right w:w="108" w:type="dxa"/>
            </w:tcMar>
            <w:vAlign w:val="center"/>
          </w:tcPr>
          <w:p w14:paraId="7D5C9C5F">
            <w:pPr>
              <w:adjustRightInd w:val="0"/>
              <w:snapToGrid w:val="0"/>
              <w:jc w:val="center"/>
              <w:rPr>
                <w:rFonts w:ascii="Times New Roman" w:hAnsi="Times New Roman" w:cs="Times New Roman"/>
                <w:sz w:val="22"/>
              </w:rPr>
            </w:pPr>
            <w:r>
              <w:rPr>
                <w:rFonts w:ascii="Times New Roman" w:hAnsi="Times New Roman" w:cs="Times New Roman"/>
                <w:sz w:val="22"/>
              </w:rPr>
              <w:t>0</w:t>
            </w:r>
            <w:r>
              <w:rPr>
                <w:rFonts w:hint="eastAsia" w:ascii="Times New Roman" w:hAnsi="Times New Roman" w:cs="Times New Roman"/>
                <w:sz w:val="22"/>
              </w:rPr>
              <w:t>.7</w:t>
            </w:r>
          </w:p>
        </w:tc>
        <w:tc>
          <w:tcPr>
            <w:tcW w:w="1115" w:type="pct"/>
            <w:vAlign w:val="center"/>
          </w:tcPr>
          <w:p w14:paraId="64E7D6E1">
            <w:pPr>
              <w:adjustRightInd w:val="0"/>
              <w:snapToGrid w:val="0"/>
              <w:jc w:val="center"/>
              <w:rPr>
                <w:rFonts w:ascii="Times New Roman" w:hAnsi="Times New Roman" w:cs="Times New Roman"/>
                <w:sz w:val="22"/>
              </w:rPr>
            </w:pPr>
            <w:r>
              <w:rPr>
                <w:rFonts w:ascii="Times New Roman" w:hAnsi="Times New Roman" w:cs="Times New Roman"/>
                <w:sz w:val="22"/>
              </w:rPr>
              <w:t>20</w:t>
            </w:r>
          </w:p>
        </w:tc>
        <w:tc>
          <w:tcPr>
            <w:tcW w:w="703" w:type="pct"/>
            <w:tcMar>
              <w:top w:w="15" w:type="dxa"/>
              <w:left w:w="108" w:type="dxa"/>
              <w:bottom w:w="0" w:type="dxa"/>
              <w:right w:w="108" w:type="dxa"/>
            </w:tcMar>
            <w:vAlign w:val="center"/>
          </w:tcPr>
          <w:p w14:paraId="2D2B6502">
            <w:pPr>
              <w:adjustRightInd w:val="0"/>
              <w:snapToGrid w:val="0"/>
              <w:jc w:val="center"/>
              <w:rPr>
                <w:rFonts w:ascii="Times New Roman" w:hAnsi="Times New Roman" w:cs="Times New Roman"/>
                <w:sz w:val="22"/>
              </w:rPr>
            </w:pPr>
            <w:r>
              <w:rPr>
                <w:rFonts w:ascii="Times New Roman" w:hAnsi="Times New Roman" w:cs="Times New Roman"/>
                <w:sz w:val="22"/>
              </w:rPr>
              <w:fldChar w:fldCharType="begin"/>
            </w:r>
            <w:r>
              <w:rPr>
                <w:rFonts w:ascii="Times New Roman" w:hAnsi="Times New Roman" w:cs="Times New Roman"/>
                <w:sz w:val="22"/>
              </w:rPr>
              <w:instrText xml:space="preserve"> ADDIN EN.CITE &lt;EndNote&gt;&lt;Cite&gt;&lt;Author&gt;Wu&lt;/Author&gt;&lt;Year&gt;2024&lt;/Year&gt;&lt;RecNum&gt;3017&lt;/RecNum&gt;&lt;DisplayText&gt;&lt;style face="superscript"&gt;12&lt;/style&gt;&lt;/DisplayText&gt;&lt;record&gt;&lt;rec-number&gt;3017&lt;/rec-number&gt;&lt;foreign-keys&gt;&lt;key app="EN" db-id="zs2fp5r2f2x2e2esxe75ap2k2dx05tep55zx" timestamp="1767497260"&gt;3017&lt;/key&gt;&lt;/foreign-keys&gt;&lt;ref-type name="Journal Article"&gt;17&lt;/ref-type&gt;&lt;contributors&gt;&lt;authors&gt;&lt;author&gt;Wu, Zijiao&lt;/author&gt;&lt;author&gt;Zhu, Xiangyu&lt;/author&gt;&lt;author&gt;Shen, Yaozu&lt;/author&gt;&lt;author&gt;Zong, Xiaobin&lt;/author&gt;&lt;author&gt;Wu, Yuan&lt;/author&gt;&lt;author&gt;Wang, Qingxiao&lt;/author&gt;&lt;author&gt;Tang, Jianguo&lt;/author&gt;&lt;author&gt;Wang, Zhengqi&lt;/author&gt;&lt;author&gt;Zhu, Huihui&lt;/author&gt;&lt;author&gt;Yuan, Xiaoyuan&lt;/author&gt;&lt;author&gt;Zhou, Zhiliang&lt;/author&gt;&lt;author&gt;Liu, Xiongjun&lt;/author&gt;&lt;author&gt;Zhang, Xiaobin&lt;/author&gt;&lt;author&gt;Wang, Hui&lt;/author&gt;&lt;author&gt;Jiang, Suihe&lt;/author&gt;&lt;author&gt;Kim, Moon J.&lt;/author&gt;&lt;author&gt;Lu, Zhaoping&lt;/author&gt;&lt;/authors&gt;&lt;/contributors&gt;&lt;titles&gt;&lt;title&gt;High-entropy MAX phase with ultrahigh strength and large plasticity mediated by local chemical fluctuations&lt;/title&gt;&lt;secondary-title&gt;Materials Today&lt;/secondary-title&gt;&lt;/titles&gt;&lt;periodical&gt;&lt;full-title&gt;Materials Today&lt;/full-title&gt;&lt;/periodical&gt;&lt;pages&gt;61-73&lt;/pages&gt;&lt;volume&gt;80&lt;/volume&gt;&lt;dates&gt;&lt;year&gt;2024&lt;/year&gt;&lt;pub-dates&gt;&lt;date&gt;2024/11/01/&lt;/date&gt;&lt;/pub-dates&gt;&lt;/dates&gt;&lt;isbn&gt;1369-7021&lt;/isbn&gt;&lt;urls&gt;&lt;related-urls&gt;&lt;url&gt;https://www.sciencedirect.com/science/article/pii/S1369702124001597&lt;/url&gt;&lt;/related-urls&gt;&lt;/urls&gt;&lt;electronic-resource-num&gt;https://doi.org/10.1016/j.mattod.2024.08.004&lt;/electronic-resource-num&gt;&lt;/record&gt;&lt;/Cite&gt;&lt;/EndNote&gt;</w:instrText>
            </w:r>
            <w:r>
              <w:rPr>
                <w:rFonts w:ascii="Times New Roman" w:hAnsi="Times New Roman" w:cs="Times New Roman"/>
                <w:sz w:val="22"/>
              </w:rPr>
              <w:fldChar w:fldCharType="separate"/>
            </w:r>
            <w:r>
              <w:rPr>
                <w:rFonts w:ascii="Times New Roman" w:hAnsi="Times New Roman" w:cs="Times New Roman"/>
                <w:sz w:val="22"/>
              </w:rPr>
              <w:t>12</w:t>
            </w:r>
            <w:r>
              <w:rPr>
                <w:rFonts w:ascii="Times New Roman" w:hAnsi="Times New Roman" w:cs="Times New Roman"/>
                <w:sz w:val="22"/>
              </w:rPr>
              <w:fldChar w:fldCharType="end"/>
            </w:r>
          </w:p>
        </w:tc>
      </w:tr>
      <w:tr w14:paraId="12150A27">
        <w:tblPrEx>
          <w:tblCellMar>
            <w:top w:w="0" w:type="dxa"/>
            <w:left w:w="0" w:type="dxa"/>
            <w:bottom w:w="0" w:type="dxa"/>
            <w:right w:w="0" w:type="dxa"/>
          </w:tblCellMar>
        </w:tblPrEx>
        <w:trPr>
          <w:trHeight w:val="397" w:hRule="exact"/>
        </w:trPr>
        <w:tc>
          <w:tcPr>
            <w:tcW w:w="1990" w:type="pct"/>
            <w:tcMar>
              <w:top w:w="15" w:type="dxa"/>
              <w:left w:w="108" w:type="dxa"/>
              <w:bottom w:w="0" w:type="dxa"/>
              <w:right w:w="108" w:type="dxa"/>
            </w:tcMar>
            <w:vAlign w:val="center"/>
          </w:tcPr>
          <w:p w14:paraId="3CAC98CF">
            <w:pPr>
              <w:adjustRightInd w:val="0"/>
              <w:snapToGrid w:val="0"/>
              <w:jc w:val="center"/>
              <w:rPr>
                <w:rFonts w:ascii="Times New Roman" w:hAnsi="Times New Roman" w:cs="Times New Roman"/>
                <w:sz w:val="22"/>
              </w:rPr>
            </w:pPr>
            <w:r>
              <w:rPr>
                <w:rFonts w:ascii="Times New Roman" w:hAnsi="Times New Roman" w:cs="Times New Roman"/>
                <w:sz w:val="22"/>
              </w:rPr>
              <w:t>Ti-Nb-Fe-Cr alloys</w:t>
            </w:r>
          </w:p>
        </w:tc>
        <w:tc>
          <w:tcPr>
            <w:tcW w:w="1192" w:type="pct"/>
            <w:tcMar>
              <w:top w:w="15" w:type="dxa"/>
              <w:left w:w="108" w:type="dxa"/>
              <w:bottom w:w="0" w:type="dxa"/>
              <w:right w:w="108" w:type="dxa"/>
            </w:tcMar>
            <w:vAlign w:val="center"/>
          </w:tcPr>
          <w:p w14:paraId="446F038F">
            <w:pPr>
              <w:adjustRightInd w:val="0"/>
              <w:snapToGrid w:val="0"/>
              <w:jc w:val="center"/>
              <w:rPr>
                <w:rFonts w:ascii="Times New Roman" w:hAnsi="Times New Roman" w:cs="Times New Roman"/>
                <w:sz w:val="22"/>
              </w:rPr>
            </w:pPr>
            <w:r>
              <w:rPr>
                <w:rFonts w:ascii="Times New Roman" w:hAnsi="Times New Roman" w:cs="Times New Roman"/>
                <w:sz w:val="22"/>
              </w:rPr>
              <w:t>2</w:t>
            </w:r>
          </w:p>
        </w:tc>
        <w:tc>
          <w:tcPr>
            <w:tcW w:w="1115" w:type="pct"/>
            <w:vAlign w:val="center"/>
          </w:tcPr>
          <w:p w14:paraId="71E84DED">
            <w:pPr>
              <w:adjustRightInd w:val="0"/>
              <w:snapToGrid w:val="0"/>
              <w:jc w:val="center"/>
              <w:rPr>
                <w:rFonts w:ascii="Times New Roman" w:hAnsi="Times New Roman" w:cs="Times New Roman"/>
                <w:sz w:val="22"/>
              </w:rPr>
            </w:pPr>
            <w:r>
              <w:rPr>
                <w:rFonts w:ascii="Times New Roman" w:hAnsi="Times New Roman" w:cs="Times New Roman"/>
                <w:sz w:val="22"/>
              </w:rPr>
              <w:t>40</w:t>
            </w:r>
          </w:p>
        </w:tc>
        <w:tc>
          <w:tcPr>
            <w:tcW w:w="703" w:type="pct"/>
            <w:tcMar>
              <w:top w:w="15" w:type="dxa"/>
              <w:left w:w="108" w:type="dxa"/>
              <w:bottom w:w="0" w:type="dxa"/>
              <w:right w:w="108" w:type="dxa"/>
            </w:tcMar>
            <w:vAlign w:val="center"/>
          </w:tcPr>
          <w:p w14:paraId="78027A26">
            <w:pPr>
              <w:adjustRightInd w:val="0"/>
              <w:snapToGrid w:val="0"/>
              <w:jc w:val="center"/>
              <w:rPr>
                <w:rFonts w:ascii="Times New Roman" w:hAnsi="Times New Roman" w:cs="Times New Roman"/>
                <w:sz w:val="22"/>
              </w:rPr>
            </w:pPr>
            <w:r>
              <w:rPr>
                <w:rFonts w:ascii="Times New Roman" w:hAnsi="Times New Roman" w:cs="Times New Roman"/>
                <w:sz w:val="22"/>
              </w:rPr>
              <w:fldChar w:fldCharType="begin"/>
            </w:r>
            <w:r>
              <w:rPr>
                <w:rFonts w:ascii="Times New Roman" w:hAnsi="Times New Roman" w:cs="Times New Roman"/>
                <w:sz w:val="22"/>
              </w:rPr>
              <w:instrText xml:space="preserve"> ADDIN EN.CITE &lt;EndNote&gt;&lt;Cite&gt;&lt;Author&gt;Rabadia&lt;/Author&gt;&lt;Year&gt;2018&lt;/Year&gt;&lt;RecNum&gt;3019&lt;/RecNum&gt;&lt;DisplayText&gt;&lt;style face="superscript"&gt;13&lt;/style&gt;&lt;/DisplayText&gt;&lt;record&gt;&lt;rec-number&gt;3019&lt;/rec-number&gt;&lt;foreign-keys&gt;&lt;key app="EN" db-id="zs2fp5r2f2x2e2esxe75ap2k2dx05tep55zx" timestamp="1767497305"&gt;3019&lt;/key&gt;&lt;/foreign-keys&gt;&lt;ref-type name="Journal Article"&gt;17&lt;/ref-type&gt;&lt;contributors&gt;&lt;authors&gt;&lt;author&gt;Rabadia, C. D.&lt;/author&gt;&lt;author&gt;Liu, Y. J.&lt;/author&gt;&lt;author&gt;Cao, G. H.&lt;/author&gt;&lt;author&gt;Li, Y. H.&lt;/author&gt;&lt;author&gt;Zhang, C. W.&lt;/author&gt;&lt;author&gt;Sercombe, T. B.&lt;/author&gt;&lt;author&gt;Sun, H.&lt;/author&gt;&lt;author&gt;Zhang, L. C.&lt;/author&gt;&lt;/authors&gt;&lt;/contributors&gt;&lt;titles&gt;&lt;title&gt;High-strength β stabilized Ti-Nb-Fe-Cr alloys with large plasticity&lt;/title&gt;&lt;secondary-title&gt;Materials Science and Engineering: A&lt;/secondary-title&gt;&lt;/titles&gt;&lt;periodical&gt;&lt;full-title&gt;Materials Science and Engineering: A&lt;/full-title&gt;&lt;/periodical&gt;&lt;pages&gt;368-377&lt;/pages&gt;&lt;volume&gt;732&lt;/volume&gt;&lt;keywords&gt;&lt;keyword&gt;Titanium alloy&lt;/keyword&gt;&lt;keyword&gt;Microstructure&lt;/keyword&gt;&lt;keyword&gt;Mechanical strength&lt;/keyword&gt;&lt;keyword&gt;Hardness&lt;/keyword&gt;&lt;keyword&gt;Slip band&lt;/keyword&gt;&lt;/keywords&gt;&lt;dates&gt;&lt;year&gt;2018&lt;/year&gt;&lt;pub-dates&gt;&lt;date&gt;2018/08/08/&lt;/date&gt;&lt;/pub-dates&gt;&lt;/dates&gt;&lt;isbn&gt;0921-5093&lt;/isbn&gt;&lt;urls&gt;&lt;related-urls&gt;&lt;url&gt;https://www.sciencedirect.com/science/article/pii/S0921509318309560&lt;/url&gt;&lt;/related-urls&gt;&lt;/urls&gt;&lt;electronic-resource-num&gt;https://doi.org/10.1016/j.msea.2018.07.031&lt;/electronic-resource-num&gt;&lt;/record&gt;&lt;/Cite&gt;&lt;/EndNote&gt;</w:instrText>
            </w:r>
            <w:r>
              <w:rPr>
                <w:rFonts w:ascii="Times New Roman" w:hAnsi="Times New Roman" w:cs="Times New Roman"/>
                <w:sz w:val="22"/>
              </w:rPr>
              <w:fldChar w:fldCharType="separate"/>
            </w:r>
            <w:r>
              <w:rPr>
                <w:rFonts w:ascii="Times New Roman" w:hAnsi="Times New Roman" w:cs="Times New Roman"/>
                <w:sz w:val="22"/>
              </w:rPr>
              <w:t>13</w:t>
            </w:r>
            <w:r>
              <w:rPr>
                <w:rFonts w:ascii="Times New Roman" w:hAnsi="Times New Roman" w:cs="Times New Roman"/>
                <w:sz w:val="22"/>
              </w:rPr>
              <w:fldChar w:fldCharType="end"/>
            </w:r>
          </w:p>
        </w:tc>
      </w:tr>
      <w:tr w14:paraId="7C8068B3">
        <w:tblPrEx>
          <w:tblCellMar>
            <w:top w:w="0" w:type="dxa"/>
            <w:left w:w="0" w:type="dxa"/>
            <w:bottom w:w="0" w:type="dxa"/>
            <w:right w:w="0" w:type="dxa"/>
          </w:tblCellMar>
        </w:tblPrEx>
        <w:trPr>
          <w:trHeight w:val="621" w:hRule="exact"/>
        </w:trPr>
        <w:tc>
          <w:tcPr>
            <w:tcW w:w="1990" w:type="pct"/>
            <w:tcMar>
              <w:top w:w="15" w:type="dxa"/>
              <w:left w:w="108" w:type="dxa"/>
              <w:bottom w:w="0" w:type="dxa"/>
              <w:right w:w="108" w:type="dxa"/>
            </w:tcMar>
            <w:vAlign w:val="center"/>
          </w:tcPr>
          <w:p w14:paraId="4C3347DE">
            <w:pPr>
              <w:adjustRightInd w:val="0"/>
              <w:snapToGrid w:val="0"/>
              <w:jc w:val="center"/>
              <w:rPr>
                <w:rFonts w:ascii="Times New Roman" w:hAnsi="Times New Roman" w:cs="Times New Roman"/>
                <w:sz w:val="22"/>
              </w:rPr>
            </w:pPr>
            <w:r>
              <w:rPr>
                <w:rFonts w:ascii="Times New Roman" w:hAnsi="Times New Roman" w:cs="Times New Roman"/>
                <w:sz w:val="22"/>
              </w:rPr>
              <w:t>Refractory high entropy alloys (RHEAs)</w:t>
            </w:r>
          </w:p>
        </w:tc>
        <w:tc>
          <w:tcPr>
            <w:tcW w:w="1192" w:type="pct"/>
            <w:tcMar>
              <w:top w:w="15" w:type="dxa"/>
              <w:left w:w="108" w:type="dxa"/>
              <w:bottom w:w="0" w:type="dxa"/>
              <w:right w:w="108" w:type="dxa"/>
            </w:tcMar>
            <w:vAlign w:val="center"/>
          </w:tcPr>
          <w:p w14:paraId="6658F759">
            <w:pPr>
              <w:adjustRightInd w:val="0"/>
              <w:snapToGrid w:val="0"/>
              <w:jc w:val="center"/>
              <w:rPr>
                <w:rFonts w:ascii="Times New Roman" w:hAnsi="Times New Roman" w:cs="Times New Roman"/>
                <w:sz w:val="22"/>
              </w:rPr>
            </w:pPr>
            <w:r>
              <w:rPr>
                <w:rFonts w:ascii="Times New Roman" w:hAnsi="Times New Roman" w:cs="Times New Roman"/>
                <w:sz w:val="22"/>
              </w:rPr>
              <w:t>1.14</w:t>
            </w:r>
          </w:p>
        </w:tc>
        <w:tc>
          <w:tcPr>
            <w:tcW w:w="1115" w:type="pct"/>
            <w:vAlign w:val="center"/>
          </w:tcPr>
          <w:p w14:paraId="7E15FA27">
            <w:pPr>
              <w:adjustRightInd w:val="0"/>
              <w:snapToGrid w:val="0"/>
              <w:jc w:val="center"/>
              <w:rPr>
                <w:rFonts w:ascii="Times New Roman" w:hAnsi="Times New Roman" w:cs="Times New Roman"/>
                <w:sz w:val="22"/>
              </w:rPr>
            </w:pPr>
            <w:r>
              <w:rPr>
                <w:rFonts w:ascii="Times New Roman" w:hAnsi="Times New Roman" w:cs="Times New Roman"/>
                <w:sz w:val="22"/>
              </w:rPr>
              <w:t>50</w:t>
            </w:r>
          </w:p>
        </w:tc>
        <w:tc>
          <w:tcPr>
            <w:tcW w:w="703" w:type="pct"/>
            <w:tcMar>
              <w:top w:w="15" w:type="dxa"/>
              <w:left w:w="108" w:type="dxa"/>
              <w:bottom w:w="0" w:type="dxa"/>
              <w:right w:w="108" w:type="dxa"/>
            </w:tcMar>
            <w:vAlign w:val="center"/>
          </w:tcPr>
          <w:p w14:paraId="2C2AAECB">
            <w:pPr>
              <w:adjustRightInd w:val="0"/>
              <w:snapToGrid w:val="0"/>
              <w:jc w:val="center"/>
              <w:rPr>
                <w:rFonts w:ascii="Times New Roman" w:hAnsi="Times New Roman" w:cs="Times New Roman"/>
                <w:sz w:val="22"/>
              </w:rPr>
            </w:pPr>
            <w:r>
              <w:rPr>
                <w:rFonts w:ascii="Times New Roman" w:hAnsi="Times New Roman" w:cs="Times New Roman"/>
                <w:sz w:val="22"/>
              </w:rPr>
              <w:fldChar w:fldCharType="begin"/>
            </w:r>
            <w:r>
              <w:rPr>
                <w:rFonts w:ascii="Times New Roman" w:hAnsi="Times New Roman" w:cs="Times New Roman"/>
                <w:sz w:val="22"/>
              </w:rPr>
              <w:instrText xml:space="preserve"> ADDIN EN.CITE &lt;EndNote&gt;&lt;Cite&gt;&lt;Author&gt;Liu&lt;/Author&gt;&lt;Year&gt;2025&lt;/Year&gt;&lt;RecNum&gt;3021&lt;/RecNum&gt;&lt;DisplayText&gt;&lt;style face="superscript"&gt;14&lt;/style&gt;&lt;/DisplayText&gt;&lt;record&gt;&lt;rec-number&gt;3021&lt;/rec-number&gt;&lt;foreign-keys&gt;&lt;key app="EN" db-id="zs2fp5r2f2x2e2esxe75ap2k2dx05tep55zx" timestamp="1767497349"&gt;3021&lt;/key&gt;&lt;/foreign-keys&gt;&lt;ref-type name="Journal Article"&gt;17&lt;/ref-type&gt;&lt;contributors&gt;&lt;authors&gt;&lt;author&gt;Liu, Changxi&lt;/author&gt;&lt;author&gt;Zhang, Lai-Chang&lt;/author&gt;&lt;author&gt;Wang, Kuaishe&lt;/author&gt;&lt;author&gt;Wang, Liqiang&lt;/author&gt;&lt;/authors&gt;&lt;/contributors&gt;&lt;titles&gt;&lt;title&gt;Improving strength and plasticity via pre-assembled dislocation networks in additively manufactured refractory high entropy alloy&lt;/title&gt;&lt;secondary-title&gt;Acta Materialia&lt;/secondary-title&gt;&lt;/titles&gt;&lt;periodical&gt;&lt;full-title&gt;Acta Materialia&lt;/full-title&gt;&lt;/periodical&gt;&lt;pages&gt;120526&lt;/pages&gt;&lt;volume&gt;283&lt;/volume&gt;&lt;keywords&gt;&lt;keyword&gt;Dislocation structure&lt;/keyword&gt;&lt;keyword&gt;Refractory high entropy alloy&lt;/keyword&gt;&lt;keyword&gt;Additive manufacture&lt;/keyword&gt;&lt;keyword&gt;Cellular structure&lt;/keyword&gt;&lt;/keywords&gt;&lt;dates&gt;&lt;year&gt;2025&lt;/year&gt;&lt;pub-dates&gt;&lt;date&gt;2025/01/15/&lt;/date&gt;&lt;/pub-dates&gt;&lt;/dates&gt;&lt;isbn&gt;1359-6454&lt;/isbn&gt;&lt;urls&gt;&lt;related-urls&gt;&lt;url&gt;https://www.sciencedirect.com/science/article/pii/S1359645424008759&lt;/url&gt;&lt;/related-urls&gt;&lt;/urls&gt;&lt;electronic-resource-num&gt;https://doi.org/10.1016/j.actamat.2024.120526&lt;/electronic-resource-num&gt;&lt;/record&gt;&lt;/Cite&gt;&lt;/EndNote&gt;</w:instrText>
            </w:r>
            <w:r>
              <w:rPr>
                <w:rFonts w:ascii="Times New Roman" w:hAnsi="Times New Roman" w:cs="Times New Roman"/>
                <w:sz w:val="22"/>
              </w:rPr>
              <w:fldChar w:fldCharType="separate"/>
            </w:r>
            <w:r>
              <w:rPr>
                <w:rFonts w:ascii="Times New Roman" w:hAnsi="Times New Roman" w:cs="Times New Roman"/>
                <w:sz w:val="22"/>
              </w:rPr>
              <w:t>14</w:t>
            </w:r>
            <w:r>
              <w:rPr>
                <w:rFonts w:ascii="Times New Roman" w:hAnsi="Times New Roman" w:cs="Times New Roman"/>
                <w:sz w:val="22"/>
              </w:rPr>
              <w:fldChar w:fldCharType="end"/>
            </w:r>
          </w:p>
        </w:tc>
      </w:tr>
      <w:tr w14:paraId="52F34ADA">
        <w:tblPrEx>
          <w:tblCellMar>
            <w:top w:w="0" w:type="dxa"/>
            <w:left w:w="0" w:type="dxa"/>
            <w:bottom w:w="0" w:type="dxa"/>
            <w:right w:w="0" w:type="dxa"/>
          </w:tblCellMar>
        </w:tblPrEx>
        <w:trPr>
          <w:trHeight w:val="397" w:hRule="exact"/>
        </w:trPr>
        <w:tc>
          <w:tcPr>
            <w:tcW w:w="1990" w:type="pct"/>
            <w:tcMar>
              <w:top w:w="15" w:type="dxa"/>
              <w:left w:w="108" w:type="dxa"/>
              <w:bottom w:w="0" w:type="dxa"/>
              <w:right w:w="108" w:type="dxa"/>
            </w:tcMar>
            <w:vAlign w:val="center"/>
          </w:tcPr>
          <w:p w14:paraId="653D9BC1">
            <w:pPr>
              <w:adjustRightInd w:val="0"/>
              <w:snapToGrid w:val="0"/>
              <w:jc w:val="center"/>
              <w:rPr>
                <w:rFonts w:ascii="Times New Roman" w:hAnsi="Times New Roman" w:cs="Times New Roman"/>
                <w:sz w:val="22"/>
              </w:rPr>
            </w:pPr>
            <w:r>
              <w:rPr>
                <w:rFonts w:ascii="Times New Roman" w:hAnsi="Times New Roman" w:cs="Times New Roman"/>
                <w:sz w:val="22"/>
              </w:rPr>
              <w:t>Lightweight Mg alloys</w:t>
            </w:r>
          </w:p>
        </w:tc>
        <w:tc>
          <w:tcPr>
            <w:tcW w:w="1192" w:type="pct"/>
            <w:tcMar>
              <w:top w:w="15" w:type="dxa"/>
              <w:left w:w="108" w:type="dxa"/>
              <w:bottom w:w="0" w:type="dxa"/>
              <w:right w:w="108" w:type="dxa"/>
            </w:tcMar>
            <w:vAlign w:val="center"/>
          </w:tcPr>
          <w:p w14:paraId="078D175B">
            <w:pPr>
              <w:adjustRightInd w:val="0"/>
              <w:snapToGrid w:val="0"/>
              <w:jc w:val="center"/>
              <w:rPr>
                <w:rFonts w:ascii="Times New Roman" w:hAnsi="Times New Roman" w:cs="Times New Roman"/>
                <w:sz w:val="22"/>
              </w:rPr>
            </w:pPr>
            <w:r>
              <w:rPr>
                <w:rFonts w:ascii="Times New Roman" w:hAnsi="Times New Roman" w:cs="Times New Roman"/>
                <w:sz w:val="22"/>
              </w:rPr>
              <w:t>1.2</w:t>
            </w:r>
          </w:p>
        </w:tc>
        <w:tc>
          <w:tcPr>
            <w:tcW w:w="1115" w:type="pct"/>
            <w:vAlign w:val="center"/>
          </w:tcPr>
          <w:p w14:paraId="4AC5A22C">
            <w:pPr>
              <w:adjustRightInd w:val="0"/>
              <w:snapToGrid w:val="0"/>
              <w:jc w:val="center"/>
              <w:rPr>
                <w:rFonts w:ascii="Times New Roman" w:hAnsi="Times New Roman" w:cs="Times New Roman"/>
                <w:sz w:val="22"/>
              </w:rPr>
            </w:pPr>
            <w:r>
              <w:rPr>
                <w:rFonts w:ascii="Times New Roman" w:hAnsi="Times New Roman" w:cs="Times New Roman"/>
                <w:sz w:val="22"/>
              </w:rPr>
              <w:t>16</w:t>
            </w:r>
          </w:p>
        </w:tc>
        <w:tc>
          <w:tcPr>
            <w:tcW w:w="703" w:type="pct"/>
            <w:tcMar>
              <w:top w:w="15" w:type="dxa"/>
              <w:left w:w="108" w:type="dxa"/>
              <w:bottom w:w="0" w:type="dxa"/>
              <w:right w:w="108" w:type="dxa"/>
            </w:tcMar>
            <w:vAlign w:val="center"/>
          </w:tcPr>
          <w:p w14:paraId="1AEB60F5">
            <w:pPr>
              <w:adjustRightInd w:val="0"/>
              <w:snapToGrid w:val="0"/>
              <w:jc w:val="center"/>
              <w:rPr>
                <w:rFonts w:ascii="Times New Roman" w:hAnsi="Times New Roman" w:cs="Times New Roman"/>
                <w:sz w:val="22"/>
              </w:rPr>
            </w:pPr>
            <w:r>
              <w:rPr>
                <w:rFonts w:ascii="Times New Roman" w:hAnsi="Times New Roman" w:cs="Times New Roman"/>
                <w:sz w:val="22"/>
              </w:rPr>
              <w:fldChar w:fldCharType="begin"/>
            </w:r>
            <w:r>
              <w:rPr>
                <w:rFonts w:ascii="Times New Roman" w:hAnsi="Times New Roman" w:cs="Times New Roman"/>
                <w:sz w:val="22"/>
              </w:rPr>
              <w:instrText xml:space="preserve"> ADDIN EN.CITE &lt;EndNote&gt;&lt;Cite&gt;&lt;Author&gt;Liu&lt;/Author&gt;&lt;Year&gt;2019&lt;/Year&gt;&lt;RecNum&gt;3023&lt;/RecNum&gt;&lt;DisplayText&gt;&lt;style face="superscript"&gt;15&lt;/style&gt;&lt;/DisplayText&gt;&lt;record&gt;&lt;rec-number&gt;3023&lt;/rec-number&gt;&lt;foreign-keys&gt;&lt;key app="EN" db-id="zs2fp5r2f2x2e2esxe75ap2k2dx05tep55zx" timestamp="1767497448"&gt;3023&lt;/key&gt;&lt;/foreign-keys&gt;&lt;ref-type name="Journal Article"&gt;17&lt;/ref-type&gt;&lt;contributors&gt;&lt;authors&gt;&lt;author&gt;Liu, Bo-Yu&lt;/author&gt;&lt;author&gt;Liu, Fei&lt;/author&gt;&lt;author&gt;Yang, Nan&lt;/author&gt;&lt;author&gt;Zhai, Xiao-Bo&lt;/author&gt;&lt;author&gt;Zhang, Lei&lt;/author&gt;&lt;author&gt;Yang, Yang&lt;/author&gt;&lt;author&gt;Li, Bin&lt;/author&gt;&lt;author&gt;Li, Ju&lt;/author&gt;&lt;author&gt;Ma, Evan&lt;/author&gt;&lt;author&gt;Nie, Jian-Feng&lt;/author&gt;&lt;author&gt;Shan, Zhi-Wei&lt;/author&gt;&lt;/authors&gt;&lt;/contributors&gt;&lt;titles&gt;&lt;title&gt;Large plasticity in magnesium mediated by pyramidal dislocations&lt;/title&gt;&lt;secondary-title&gt;Science&lt;/secondary-title&gt;&lt;/titles&gt;&lt;periodical&gt;&lt;full-title&gt;Science&lt;/full-title&gt;&lt;/periodical&gt;&lt;pages&gt;73-75&lt;/pages&gt;&lt;volume&gt;365&lt;/volume&gt;&lt;number&gt;6448&lt;/number&gt;&lt;dates&gt;&lt;year&gt;2019&lt;/year&gt;&lt;pub-dates&gt;&lt;date&gt;2019/07/05&lt;/date&gt;&lt;/pub-dates&gt;&lt;/dates&gt;&lt;publisher&gt;American Association for the Advancement of Science&lt;/publisher&gt;&lt;urls&gt;&lt;related-urls&gt;&lt;url&gt;https://doi.org/10.1126/science.aaw2843&lt;/url&gt;&lt;/related-urls&gt;&lt;/urls&gt;&lt;electronic-resource-num&gt;10.1126/science.aaw2843&lt;/electronic-resource-num&gt;&lt;access-date&gt;2026/01/03&lt;/access-date&gt;&lt;/record&gt;&lt;/Cite&gt;&lt;/EndNote&gt;</w:instrText>
            </w:r>
            <w:r>
              <w:rPr>
                <w:rFonts w:ascii="Times New Roman" w:hAnsi="Times New Roman" w:cs="Times New Roman"/>
                <w:sz w:val="22"/>
              </w:rPr>
              <w:fldChar w:fldCharType="separate"/>
            </w:r>
            <w:r>
              <w:rPr>
                <w:rFonts w:ascii="Times New Roman" w:hAnsi="Times New Roman" w:cs="Times New Roman"/>
                <w:sz w:val="22"/>
              </w:rPr>
              <w:t>15</w:t>
            </w:r>
            <w:r>
              <w:rPr>
                <w:rFonts w:ascii="Times New Roman" w:hAnsi="Times New Roman" w:cs="Times New Roman"/>
                <w:sz w:val="22"/>
              </w:rPr>
              <w:fldChar w:fldCharType="end"/>
            </w:r>
          </w:p>
        </w:tc>
      </w:tr>
      <w:tr w14:paraId="17E38B69">
        <w:tblPrEx>
          <w:tblCellMar>
            <w:top w:w="0" w:type="dxa"/>
            <w:left w:w="0" w:type="dxa"/>
            <w:bottom w:w="0" w:type="dxa"/>
            <w:right w:w="0" w:type="dxa"/>
          </w:tblCellMar>
        </w:tblPrEx>
        <w:trPr>
          <w:trHeight w:val="397" w:hRule="exact"/>
        </w:trPr>
        <w:tc>
          <w:tcPr>
            <w:tcW w:w="1990" w:type="pct"/>
            <w:tcMar>
              <w:top w:w="15" w:type="dxa"/>
              <w:left w:w="108" w:type="dxa"/>
              <w:bottom w:w="0" w:type="dxa"/>
              <w:right w:w="108" w:type="dxa"/>
            </w:tcMar>
            <w:vAlign w:val="center"/>
          </w:tcPr>
          <w:p w14:paraId="5A8B81B5">
            <w:pPr>
              <w:adjustRightInd w:val="0"/>
              <w:snapToGrid w:val="0"/>
              <w:jc w:val="center"/>
              <w:rPr>
                <w:rFonts w:ascii="Times New Roman" w:hAnsi="Times New Roman" w:cs="Times New Roman"/>
                <w:sz w:val="22"/>
              </w:rPr>
            </w:pPr>
            <w:r>
              <w:rPr>
                <w:rFonts w:ascii="Times New Roman" w:hAnsi="Times New Roman" w:cs="Times New Roman"/>
                <w:sz w:val="22"/>
              </w:rPr>
              <w:t>Nanolamellar medium entropy</w:t>
            </w:r>
            <w:r>
              <w:rPr>
                <w:rFonts w:hint="eastAsia" w:ascii="Times New Roman" w:hAnsi="Times New Roman" w:cs="Times New Roman"/>
                <w:sz w:val="22"/>
              </w:rPr>
              <w:t xml:space="preserve"> a</w:t>
            </w:r>
            <w:r>
              <w:rPr>
                <w:rFonts w:ascii="Times New Roman" w:hAnsi="Times New Roman" w:cs="Times New Roman"/>
                <w:sz w:val="22"/>
              </w:rPr>
              <w:t>lloy</w:t>
            </w:r>
          </w:p>
        </w:tc>
        <w:tc>
          <w:tcPr>
            <w:tcW w:w="1192" w:type="pct"/>
            <w:tcMar>
              <w:top w:w="15" w:type="dxa"/>
              <w:left w:w="108" w:type="dxa"/>
              <w:bottom w:w="0" w:type="dxa"/>
              <w:right w:w="108" w:type="dxa"/>
            </w:tcMar>
            <w:vAlign w:val="center"/>
          </w:tcPr>
          <w:p w14:paraId="34FBE7E7">
            <w:pPr>
              <w:adjustRightInd w:val="0"/>
              <w:snapToGrid w:val="0"/>
              <w:jc w:val="center"/>
              <w:rPr>
                <w:rFonts w:ascii="Times New Roman" w:hAnsi="Times New Roman" w:cs="Times New Roman"/>
                <w:sz w:val="22"/>
              </w:rPr>
            </w:pPr>
            <w:r>
              <w:rPr>
                <w:rFonts w:ascii="Times New Roman" w:hAnsi="Times New Roman" w:cs="Times New Roman"/>
                <w:sz w:val="22"/>
              </w:rPr>
              <w:t>5</w:t>
            </w:r>
          </w:p>
        </w:tc>
        <w:tc>
          <w:tcPr>
            <w:tcW w:w="1115" w:type="pct"/>
            <w:vAlign w:val="center"/>
          </w:tcPr>
          <w:p w14:paraId="3EFC5904">
            <w:pPr>
              <w:adjustRightInd w:val="0"/>
              <w:snapToGrid w:val="0"/>
              <w:jc w:val="center"/>
              <w:rPr>
                <w:rFonts w:ascii="Times New Roman" w:hAnsi="Times New Roman" w:cs="Times New Roman"/>
                <w:sz w:val="22"/>
              </w:rPr>
            </w:pPr>
            <w:r>
              <w:rPr>
                <w:rFonts w:ascii="Times New Roman" w:hAnsi="Times New Roman" w:cs="Times New Roman"/>
                <w:sz w:val="22"/>
              </w:rPr>
              <w:t>25</w:t>
            </w:r>
          </w:p>
        </w:tc>
        <w:tc>
          <w:tcPr>
            <w:tcW w:w="703" w:type="pct"/>
            <w:tcMar>
              <w:top w:w="15" w:type="dxa"/>
              <w:left w:w="108" w:type="dxa"/>
              <w:bottom w:w="0" w:type="dxa"/>
              <w:right w:w="108" w:type="dxa"/>
            </w:tcMar>
            <w:vAlign w:val="center"/>
          </w:tcPr>
          <w:p w14:paraId="71EFCEF5">
            <w:pPr>
              <w:adjustRightInd w:val="0"/>
              <w:snapToGrid w:val="0"/>
              <w:jc w:val="center"/>
              <w:rPr>
                <w:rFonts w:ascii="Times New Roman" w:hAnsi="Times New Roman" w:cs="Times New Roman"/>
                <w:sz w:val="22"/>
              </w:rPr>
            </w:pPr>
            <w:r>
              <w:rPr>
                <w:rFonts w:ascii="Times New Roman" w:hAnsi="Times New Roman" w:cs="Times New Roman"/>
                <w:sz w:val="22"/>
              </w:rPr>
              <w:fldChar w:fldCharType="begin"/>
            </w:r>
            <w:r>
              <w:rPr>
                <w:rFonts w:ascii="Times New Roman" w:hAnsi="Times New Roman" w:cs="Times New Roman"/>
                <w:sz w:val="22"/>
              </w:rPr>
              <w:instrText xml:space="preserve"> ADDIN EN.CITE &lt;EndNote&gt;&lt;Cite&gt;&lt;Author&gt;Cao&lt;/Author&gt;&lt;Year&gt;2021&lt;/Year&gt;&lt;RecNum&gt;3025&lt;/RecNum&gt;&lt;DisplayText&gt;&lt;style face="superscript"&gt;16&lt;/style&gt;&lt;/DisplayText&gt;&lt;record&gt;&lt;rec-number&gt;3025&lt;/rec-number&gt;&lt;foreign-keys&gt;&lt;key app="EN" db-id="zs2fp5r2f2x2e2esxe75ap2k2dx05tep55zx" timestamp="1767497543"&gt;3025&lt;/key&gt;&lt;/foreign-keys&gt;&lt;ref-type name="Journal Article"&gt;17&lt;/ref-type&gt;&lt;contributors&gt;&lt;authors&gt;&lt;author&gt;Cao, Zhenhua&lt;/author&gt;&lt;author&gt;Ma, Yujie&lt;/author&gt;&lt;author&gt;Cai, Yunpeng&lt;/author&gt;&lt;author&gt;Wang, Gengjie&lt;/author&gt;&lt;author&gt;Pan, Guanjun&lt;/author&gt;&lt;author&gt;Ren, Hua&lt;/author&gt;&lt;author&gt;Zhai, Gaoyang&lt;/author&gt;&lt;author&gt;Zhang, Zijian&lt;/author&gt;&lt;author&gt;Li, Pengfei&lt;/author&gt;&lt;author&gt;Meng, Xiangkang&lt;/author&gt;&lt;/authors&gt;&lt;/contributors&gt;&lt;titles&gt;&lt;title&gt;Nanolamellar medium entropy alloy composites with high strength and large plasticity&lt;/title&gt;&lt;secondary-title&gt;Journal of Alloys and Compounds&lt;/secondary-title&gt;&lt;/titles&gt;&lt;periodical&gt;&lt;full-title&gt;Journal of Alloys and Compounds&lt;/full-title&gt;&lt;/periodical&gt;&lt;pages&gt;159775&lt;/pages&gt;&lt;volume&gt;873&lt;/volume&gt;&lt;keywords&gt;&lt;keyword&gt;Medium entropy alloys&lt;/keyword&gt;&lt;keyword&gt;Nanolamellar structure&lt;/keyword&gt;&lt;keyword&gt;Strain hardening&lt;/keyword&gt;&lt;keyword&gt;Size effect&lt;/keyword&gt;&lt;/keywords&gt;&lt;dates&gt;&lt;year&gt;2021&lt;/year&gt;&lt;pub-dates&gt;&lt;date&gt;2021/08/25/&lt;/date&gt;&lt;/pub-dates&gt;&lt;/dates&gt;&lt;isbn&gt;0925-8388&lt;/isbn&gt;&lt;urls&gt;&lt;related-urls&gt;&lt;url&gt;https://www.sciencedirect.com/science/article/pii/S0925838821011841&lt;/url&gt;&lt;/related-urls&gt;&lt;/urls&gt;&lt;electronic-resource-num&gt;https://doi.org/10.1016/j.jallcom.2021.159775&lt;/electronic-resource-num&gt;&lt;/record&gt;&lt;/Cite&gt;&lt;/EndNote&gt;</w:instrText>
            </w:r>
            <w:r>
              <w:rPr>
                <w:rFonts w:ascii="Times New Roman" w:hAnsi="Times New Roman" w:cs="Times New Roman"/>
                <w:sz w:val="22"/>
              </w:rPr>
              <w:fldChar w:fldCharType="separate"/>
            </w:r>
            <w:r>
              <w:rPr>
                <w:rFonts w:ascii="Times New Roman" w:hAnsi="Times New Roman" w:cs="Times New Roman"/>
                <w:sz w:val="22"/>
              </w:rPr>
              <w:t>16</w:t>
            </w:r>
            <w:r>
              <w:rPr>
                <w:rFonts w:ascii="Times New Roman" w:hAnsi="Times New Roman" w:cs="Times New Roman"/>
                <w:sz w:val="22"/>
              </w:rPr>
              <w:fldChar w:fldCharType="end"/>
            </w:r>
          </w:p>
        </w:tc>
      </w:tr>
      <w:tr w14:paraId="42C92CB0">
        <w:tblPrEx>
          <w:tblCellMar>
            <w:top w:w="0" w:type="dxa"/>
            <w:left w:w="0" w:type="dxa"/>
            <w:bottom w:w="0" w:type="dxa"/>
            <w:right w:w="0" w:type="dxa"/>
          </w:tblCellMar>
        </w:tblPrEx>
        <w:trPr>
          <w:trHeight w:val="397" w:hRule="exact"/>
        </w:trPr>
        <w:tc>
          <w:tcPr>
            <w:tcW w:w="1990" w:type="pct"/>
            <w:tcMar>
              <w:top w:w="15" w:type="dxa"/>
              <w:left w:w="108" w:type="dxa"/>
              <w:bottom w:w="0" w:type="dxa"/>
              <w:right w:w="108" w:type="dxa"/>
            </w:tcMar>
            <w:vAlign w:val="center"/>
          </w:tcPr>
          <w:p w14:paraId="0F67FF1C">
            <w:pPr>
              <w:adjustRightInd w:val="0"/>
              <w:snapToGrid w:val="0"/>
              <w:jc w:val="center"/>
              <w:rPr>
                <w:rFonts w:ascii="Times New Roman" w:hAnsi="Times New Roman" w:cs="Times New Roman"/>
                <w:sz w:val="22"/>
              </w:rPr>
            </w:pPr>
            <w:r>
              <w:rPr>
                <w:rFonts w:ascii="Times New Roman" w:hAnsi="Times New Roman" w:cs="Times New Roman"/>
                <w:sz w:val="22"/>
              </w:rPr>
              <w:t>Mg alloys</w:t>
            </w:r>
          </w:p>
        </w:tc>
        <w:tc>
          <w:tcPr>
            <w:tcW w:w="1192" w:type="pct"/>
            <w:tcMar>
              <w:top w:w="15" w:type="dxa"/>
              <w:left w:w="108" w:type="dxa"/>
              <w:bottom w:w="0" w:type="dxa"/>
              <w:right w:w="108" w:type="dxa"/>
            </w:tcMar>
            <w:vAlign w:val="center"/>
          </w:tcPr>
          <w:p w14:paraId="23B27EFC">
            <w:pPr>
              <w:adjustRightInd w:val="0"/>
              <w:snapToGrid w:val="0"/>
              <w:jc w:val="center"/>
              <w:rPr>
                <w:rFonts w:ascii="Times New Roman" w:hAnsi="Times New Roman" w:cs="Times New Roman"/>
                <w:sz w:val="22"/>
              </w:rPr>
            </w:pPr>
            <w:r>
              <w:rPr>
                <w:rFonts w:ascii="Times New Roman" w:hAnsi="Times New Roman" w:cs="Times New Roman"/>
                <w:sz w:val="22"/>
              </w:rPr>
              <w:t>0.9</w:t>
            </w:r>
          </w:p>
        </w:tc>
        <w:tc>
          <w:tcPr>
            <w:tcW w:w="1115" w:type="pct"/>
            <w:vAlign w:val="center"/>
          </w:tcPr>
          <w:p w14:paraId="11BE4AAA">
            <w:pPr>
              <w:adjustRightInd w:val="0"/>
              <w:snapToGrid w:val="0"/>
              <w:jc w:val="center"/>
              <w:rPr>
                <w:rFonts w:ascii="Times New Roman" w:hAnsi="Times New Roman" w:cs="Times New Roman"/>
                <w:sz w:val="22"/>
              </w:rPr>
            </w:pPr>
            <w:r>
              <w:rPr>
                <w:rFonts w:ascii="Times New Roman" w:hAnsi="Times New Roman" w:cs="Times New Roman"/>
                <w:sz w:val="22"/>
              </w:rPr>
              <w:t>15</w:t>
            </w:r>
          </w:p>
        </w:tc>
        <w:tc>
          <w:tcPr>
            <w:tcW w:w="703" w:type="pct"/>
            <w:tcMar>
              <w:top w:w="15" w:type="dxa"/>
              <w:left w:w="108" w:type="dxa"/>
              <w:bottom w:w="0" w:type="dxa"/>
              <w:right w:w="108" w:type="dxa"/>
            </w:tcMar>
            <w:vAlign w:val="center"/>
          </w:tcPr>
          <w:p w14:paraId="4C430950">
            <w:pPr>
              <w:adjustRightInd w:val="0"/>
              <w:snapToGrid w:val="0"/>
              <w:jc w:val="center"/>
              <w:rPr>
                <w:rFonts w:ascii="Times New Roman" w:hAnsi="Times New Roman" w:cs="Times New Roman"/>
                <w:sz w:val="22"/>
              </w:rPr>
            </w:pPr>
            <w:r>
              <w:rPr>
                <w:rFonts w:ascii="Times New Roman" w:hAnsi="Times New Roman" w:cs="Times New Roman"/>
                <w:sz w:val="22"/>
              </w:rPr>
              <w:fldChar w:fldCharType="begin"/>
            </w:r>
            <w:r>
              <w:rPr>
                <w:rFonts w:ascii="Times New Roman" w:hAnsi="Times New Roman" w:cs="Times New Roman"/>
                <w:sz w:val="22"/>
              </w:rPr>
              <w:instrText xml:space="preserve"> ADDIN EN.CITE &lt;EndNote&gt;&lt;Cite&gt;&lt;Author&gt;Jeong&lt;/Author&gt;&lt;Year&gt;2025&lt;/Year&gt;&lt;RecNum&gt;3027&lt;/RecNum&gt;&lt;DisplayText&gt;&lt;style face="superscript"&gt;17&lt;/style&gt;&lt;/DisplayText&gt;&lt;record&gt;&lt;rec-number&gt;3027&lt;/rec-number&gt;&lt;foreign-keys&gt;&lt;key app="EN" db-id="zs2fp5r2f2x2e2esxe75ap2k2dx05tep55zx" timestamp="1767497604"&gt;3027&lt;/key&gt;&lt;/foreign-keys&gt;&lt;ref-type name="Journal Article"&gt;17&lt;/ref-type&gt;&lt;contributors&gt;&lt;authors&gt;&lt;author&gt;Jeong, Jiwon&lt;/author&gt;&lt;author&gt;Xie, Zhuocheng&lt;/author&gt;&lt;author&gt;Alfreider, Markus&lt;/author&gt;&lt;author&gt;Korte-Kerzel, Sandra&lt;/author&gt;&lt;author&gt;Kiener, Daniel&lt;/author&gt;&lt;author&gt;Guénolé, Julien&lt;/author&gt;&lt;author&gt;Oh, Sang Ho&lt;/author&gt;&lt;/authors&gt;&lt;/contributors&gt;&lt;titles&gt;&lt;title&gt;Nanoscale mechanisms limiting non-basal plasticity in magnesium&lt;/title&gt;&lt;secondary-title&gt;Acta Materialia&lt;/secondary-title&gt;&lt;/titles&gt;&lt;periodical&gt;&lt;full-title&gt;Acta Materialia&lt;/full-title&gt;&lt;/periodical&gt;&lt;pages&gt;121261&lt;/pages&gt;&lt;volume&gt;296&lt;/volume&gt;&lt;keywords&gt;&lt;keyword&gt;Magnesium&lt;/keyword&gt;&lt;keyword&gt;Small-scale plasticity&lt;/keyword&gt;&lt;keyword&gt;Atomistic simulations&lt;/keyword&gt;&lt;keyword&gt;In-situ compression&lt;/keyword&gt;&lt;/keywords&gt;&lt;dates&gt;&lt;year&gt;2025&lt;/year&gt;&lt;pub-dates&gt;&lt;date&gt;2025/09/01/&lt;/date&gt;&lt;/pub-dates&gt;&lt;/dates&gt;&lt;isbn&gt;1359-6454&lt;/isbn&gt;&lt;urls&gt;&lt;related-urls&gt;&lt;url&gt;https://www.sciencedirect.com/science/article/pii/S1359645425005488&lt;/url&gt;&lt;/related-urls&gt;&lt;/urls&gt;&lt;electronic-resource-num&gt;https://doi.org/10.1016/j.actamat.2025.121261&lt;/electronic-resource-num&gt;&lt;/record&gt;&lt;/Cite&gt;&lt;/EndNote&gt;</w:instrText>
            </w:r>
            <w:r>
              <w:rPr>
                <w:rFonts w:ascii="Times New Roman" w:hAnsi="Times New Roman" w:cs="Times New Roman"/>
                <w:sz w:val="22"/>
              </w:rPr>
              <w:fldChar w:fldCharType="separate"/>
            </w:r>
            <w:r>
              <w:rPr>
                <w:rFonts w:ascii="Times New Roman" w:hAnsi="Times New Roman" w:cs="Times New Roman"/>
                <w:sz w:val="22"/>
              </w:rPr>
              <w:t>17</w:t>
            </w:r>
            <w:r>
              <w:rPr>
                <w:rFonts w:ascii="Times New Roman" w:hAnsi="Times New Roman" w:cs="Times New Roman"/>
                <w:sz w:val="22"/>
              </w:rPr>
              <w:fldChar w:fldCharType="end"/>
            </w:r>
          </w:p>
        </w:tc>
      </w:tr>
      <w:tr w14:paraId="5984F8FA">
        <w:tblPrEx>
          <w:tblCellMar>
            <w:top w:w="0" w:type="dxa"/>
            <w:left w:w="0" w:type="dxa"/>
            <w:bottom w:w="0" w:type="dxa"/>
            <w:right w:w="0" w:type="dxa"/>
          </w:tblCellMar>
        </w:tblPrEx>
        <w:trPr>
          <w:trHeight w:val="397" w:hRule="exact"/>
        </w:trPr>
        <w:tc>
          <w:tcPr>
            <w:tcW w:w="1990" w:type="pct"/>
            <w:tcMar>
              <w:top w:w="15" w:type="dxa"/>
              <w:left w:w="108" w:type="dxa"/>
              <w:bottom w:w="0" w:type="dxa"/>
              <w:right w:w="108" w:type="dxa"/>
            </w:tcMar>
            <w:vAlign w:val="center"/>
          </w:tcPr>
          <w:p w14:paraId="3AC4219F">
            <w:pPr>
              <w:adjustRightInd w:val="0"/>
              <w:snapToGrid w:val="0"/>
              <w:jc w:val="center"/>
              <w:rPr>
                <w:rFonts w:ascii="Times New Roman" w:hAnsi="Times New Roman" w:cs="Times New Roman"/>
                <w:sz w:val="22"/>
              </w:rPr>
            </w:pPr>
            <w:r>
              <w:rPr>
                <w:rFonts w:ascii="Times New Roman" w:hAnsi="Times New Roman" w:cs="Times New Roman"/>
                <w:sz w:val="22"/>
              </w:rPr>
              <w:t>(TiZrNbHf)</w:t>
            </w:r>
            <w:r>
              <w:rPr>
                <w:rFonts w:ascii="Times New Roman" w:hAnsi="Times New Roman" w:cs="Times New Roman"/>
                <w:sz w:val="22"/>
                <w:vertAlign w:val="subscript"/>
              </w:rPr>
              <w:t>98</w:t>
            </w:r>
            <w:r>
              <w:rPr>
                <w:rFonts w:ascii="Times New Roman" w:hAnsi="Times New Roman" w:cs="Times New Roman"/>
                <w:sz w:val="22"/>
              </w:rPr>
              <w:t>Ni</w:t>
            </w:r>
            <w:r>
              <w:rPr>
                <w:rFonts w:ascii="Times New Roman" w:hAnsi="Times New Roman" w:cs="Times New Roman"/>
                <w:sz w:val="22"/>
                <w:vertAlign w:val="subscript"/>
              </w:rPr>
              <w:t>2</w:t>
            </w:r>
            <w:r>
              <w:rPr>
                <w:rFonts w:ascii="Times New Roman" w:hAnsi="Times New Roman" w:cs="Times New Roman"/>
                <w:sz w:val="22"/>
              </w:rPr>
              <w:t xml:space="preserve"> alloy</w:t>
            </w:r>
          </w:p>
        </w:tc>
        <w:tc>
          <w:tcPr>
            <w:tcW w:w="1192" w:type="pct"/>
            <w:tcMar>
              <w:top w:w="15" w:type="dxa"/>
              <w:left w:w="108" w:type="dxa"/>
              <w:bottom w:w="0" w:type="dxa"/>
              <w:right w:w="108" w:type="dxa"/>
            </w:tcMar>
            <w:vAlign w:val="center"/>
          </w:tcPr>
          <w:p w14:paraId="114AA7C2">
            <w:pPr>
              <w:adjustRightInd w:val="0"/>
              <w:snapToGrid w:val="0"/>
              <w:jc w:val="center"/>
              <w:rPr>
                <w:rFonts w:ascii="Times New Roman" w:hAnsi="Times New Roman" w:cs="Times New Roman"/>
                <w:sz w:val="22"/>
              </w:rPr>
            </w:pPr>
            <w:r>
              <w:rPr>
                <w:rFonts w:ascii="Times New Roman" w:hAnsi="Times New Roman" w:cs="Times New Roman"/>
                <w:sz w:val="22"/>
              </w:rPr>
              <w:t>2.5</w:t>
            </w:r>
          </w:p>
        </w:tc>
        <w:tc>
          <w:tcPr>
            <w:tcW w:w="1115" w:type="pct"/>
            <w:vAlign w:val="center"/>
          </w:tcPr>
          <w:p w14:paraId="78126C87">
            <w:pPr>
              <w:adjustRightInd w:val="0"/>
              <w:snapToGrid w:val="0"/>
              <w:jc w:val="center"/>
              <w:rPr>
                <w:rFonts w:ascii="Times New Roman" w:hAnsi="Times New Roman" w:cs="Times New Roman"/>
                <w:sz w:val="22"/>
              </w:rPr>
            </w:pPr>
            <w:r>
              <w:rPr>
                <w:rFonts w:ascii="Times New Roman" w:hAnsi="Times New Roman" w:cs="Times New Roman"/>
                <w:sz w:val="22"/>
              </w:rPr>
              <w:t>65</w:t>
            </w:r>
          </w:p>
        </w:tc>
        <w:tc>
          <w:tcPr>
            <w:tcW w:w="703" w:type="pct"/>
            <w:tcMar>
              <w:top w:w="15" w:type="dxa"/>
              <w:left w:w="108" w:type="dxa"/>
              <w:bottom w:w="0" w:type="dxa"/>
              <w:right w:w="108" w:type="dxa"/>
            </w:tcMar>
            <w:vAlign w:val="center"/>
          </w:tcPr>
          <w:p w14:paraId="75DA79F1">
            <w:pPr>
              <w:adjustRightInd w:val="0"/>
              <w:snapToGrid w:val="0"/>
              <w:jc w:val="center"/>
              <w:rPr>
                <w:rFonts w:ascii="Times New Roman" w:hAnsi="Times New Roman" w:cs="Times New Roman"/>
                <w:sz w:val="22"/>
              </w:rPr>
            </w:pPr>
            <w:r>
              <w:rPr>
                <w:rFonts w:ascii="Times New Roman" w:hAnsi="Times New Roman" w:cs="Times New Roman"/>
                <w:sz w:val="22"/>
              </w:rPr>
              <w:fldChar w:fldCharType="begin"/>
            </w:r>
            <w:r>
              <w:rPr>
                <w:rFonts w:ascii="Times New Roman" w:hAnsi="Times New Roman" w:cs="Times New Roman"/>
                <w:sz w:val="22"/>
              </w:rPr>
              <w:instrText xml:space="preserve"> ADDIN EN.CITE &lt;EndNote&gt;&lt;Cite&gt;&lt;Author&gt;Liu&lt;/Author&gt;&lt;Year&gt;2024&lt;/Year&gt;&lt;RecNum&gt;3029&lt;/RecNum&gt;&lt;DisplayText&gt;&lt;style face="superscript"&gt;18&lt;/style&gt;&lt;/DisplayText&gt;&lt;record&gt;&lt;rec-number&gt;3029&lt;/rec-number&gt;&lt;foreign-keys&gt;&lt;key app="EN" db-id="zs2fp5r2f2x2e2esxe75ap2k2dx05tep55zx" timestamp="1767497650"&gt;3029&lt;/key&gt;&lt;/foreign-keys&gt;&lt;ref-type name="Journal Article"&gt;17&lt;/ref-type&gt;&lt;contributors&gt;&lt;authors&gt;&lt;author&gt;Liu, Chang&lt;/author&gt;&lt;author&gt;Rao, Jing&lt;/author&gt;&lt;author&gt;Sun, Zhongji&lt;/author&gt;&lt;author&gt;Lu, Wenjun&lt;/author&gt;&lt;author&gt;Best, James P.&lt;/author&gt;&lt;author&gt;Li, Xuehan&lt;/author&gt;&lt;author&gt;Xia, Wenzhen&lt;/author&gt;&lt;author&gt;Gong, Yilun&lt;/author&gt;&lt;author&gt;Wei, Ye&lt;/author&gt;&lt;author&gt;Zhang, Bozhao&lt;/author&gt;&lt;author&gt;Ding, Jun&lt;/author&gt;&lt;author&gt;Wu, Ge&lt;/author&gt;&lt;author&gt;Ma, En&lt;/author&gt;&lt;/authors&gt;&lt;/contributors&gt;&lt;titles&gt;&lt;title&gt;Near-theoretical strength and deformation stabilization achieved via grain boundary segregation and nano-clustering of solutes&lt;/title&gt;&lt;secondary-title&gt;Nature Communications&lt;/secondary-title&gt;&lt;/titles&gt;&lt;periodical&gt;&lt;full-title&gt;Nature Communications&lt;/full-title&gt;&lt;/periodical&gt;&lt;pages&gt;9283&lt;/pages&gt;&lt;volume&gt;15&lt;/volume&gt;&lt;number&gt;1&lt;/number&gt;&lt;dates&gt;&lt;year&gt;2024&lt;/year&gt;&lt;pub-dates&gt;&lt;date&gt;2024/10/28&lt;/date&gt;&lt;/pub-dates&gt;&lt;/dates&gt;&lt;isbn&gt;2041-1723&lt;/isbn&gt;&lt;urls&gt;&lt;related-urls&gt;&lt;url&gt;https://doi.org/10.1038/s41467-024-53349-4&lt;/url&gt;&lt;/related-urls&gt;&lt;/urls&gt;&lt;electronic-resource-num&gt;10.1038/s41467-024-53349-4&lt;/electronic-resource-num&gt;&lt;/record&gt;&lt;/Cite&gt;&lt;/EndNote&gt;</w:instrText>
            </w:r>
            <w:r>
              <w:rPr>
                <w:rFonts w:ascii="Times New Roman" w:hAnsi="Times New Roman" w:cs="Times New Roman"/>
                <w:sz w:val="22"/>
              </w:rPr>
              <w:fldChar w:fldCharType="separate"/>
            </w:r>
            <w:r>
              <w:rPr>
                <w:rFonts w:ascii="Times New Roman" w:hAnsi="Times New Roman" w:cs="Times New Roman"/>
                <w:sz w:val="22"/>
              </w:rPr>
              <w:t>18</w:t>
            </w:r>
            <w:r>
              <w:rPr>
                <w:rFonts w:ascii="Times New Roman" w:hAnsi="Times New Roman" w:cs="Times New Roman"/>
                <w:sz w:val="22"/>
              </w:rPr>
              <w:fldChar w:fldCharType="end"/>
            </w:r>
          </w:p>
        </w:tc>
      </w:tr>
      <w:tr w14:paraId="74BBDD1A">
        <w:tblPrEx>
          <w:tblCellMar>
            <w:top w:w="0" w:type="dxa"/>
            <w:left w:w="0" w:type="dxa"/>
            <w:bottom w:w="0" w:type="dxa"/>
            <w:right w:w="0" w:type="dxa"/>
          </w:tblCellMar>
        </w:tblPrEx>
        <w:trPr>
          <w:trHeight w:val="397" w:hRule="exact"/>
        </w:trPr>
        <w:tc>
          <w:tcPr>
            <w:tcW w:w="1990" w:type="pct"/>
            <w:tcMar>
              <w:top w:w="15" w:type="dxa"/>
              <w:left w:w="108" w:type="dxa"/>
              <w:bottom w:w="0" w:type="dxa"/>
              <w:right w:w="108" w:type="dxa"/>
            </w:tcMar>
            <w:vAlign w:val="center"/>
          </w:tcPr>
          <w:p w14:paraId="5D507459">
            <w:pPr>
              <w:adjustRightInd w:val="0"/>
              <w:snapToGrid w:val="0"/>
              <w:jc w:val="center"/>
              <w:rPr>
                <w:rFonts w:ascii="Times New Roman" w:hAnsi="Times New Roman" w:cs="Times New Roman"/>
                <w:sz w:val="22"/>
              </w:rPr>
            </w:pPr>
            <w:r>
              <w:rPr>
                <w:rFonts w:ascii="Times New Roman" w:hAnsi="Times New Roman" w:cs="Times New Roman"/>
                <w:sz w:val="22"/>
              </w:rPr>
              <w:t>Nanodomained alloy</w:t>
            </w:r>
          </w:p>
        </w:tc>
        <w:tc>
          <w:tcPr>
            <w:tcW w:w="1192" w:type="pct"/>
            <w:tcMar>
              <w:top w:w="15" w:type="dxa"/>
              <w:left w:w="108" w:type="dxa"/>
              <w:bottom w:w="0" w:type="dxa"/>
              <w:right w:w="108" w:type="dxa"/>
            </w:tcMar>
            <w:vAlign w:val="center"/>
          </w:tcPr>
          <w:p w14:paraId="728C58E4">
            <w:pPr>
              <w:adjustRightInd w:val="0"/>
              <w:snapToGrid w:val="0"/>
              <w:jc w:val="center"/>
              <w:rPr>
                <w:rFonts w:ascii="Times New Roman" w:hAnsi="Times New Roman" w:cs="Times New Roman"/>
                <w:sz w:val="22"/>
              </w:rPr>
            </w:pPr>
            <w:r>
              <w:rPr>
                <w:rFonts w:ascii="Times New Roman" w:hAnsi="Times New Roman" w:cs="Times New Roman"/>
                <w:sz w:val="22"/>
              </w:rPr>
              <w:t>3.3</w:t>
            </w:r>
          </w:p>
        </w:tc>
        <w:tc>
          <w:tcPr>
            <w:tcW w:w="1115" w:type="pct"/>
            <w:vAlign w:val="center"/>
          </w:tcPr>
          <w:p w14:paraId="0D3B0583">
            <w:pPr>
              <w:adjustRightInd w:val="0"/>
              <w:snapToGrid w:val="0"/>
              <w:jc w:val="center"/>
              <w:rPr>
                <w:rFonts w:ascii="Times New Roman" w:hAnsi="Times New Roman" w:cs="Times New Roman"/>
                <w:sz w:val="22"/>
              </w:rPr>
            </w:pPr>
            <w:r>
              <w:rPr>
                <w:rFonts w:ascii="Times New Roman" w:hAnsi="Times New Roman" w:cs="Times New Roman"/>
                <w:sz w:val="22"/>
              </w:rPr>
              <w:t>60</w:t>
            </w:r>
          </w:p>
        </w:tc>
        <w:tc>
          <w:tcPr>
            <w:tcW w:w="703" w:type="pct"/>
            <w:tcMar>
              <w:top w:w="15" w:type="dxa"/>
              <w:left w:w="108" w:type="dxa"/>
              <w:bottom w:w="0" w:type="dxa"/>
              <w:right w:w="108" w:type="dxa"/>
            </w:tcMar>
            <w:vAlign w:val="center"/>
          </w:tcPr>
          <w:p w14:paraId="2C4F2E9C">
            <w:pPr>
              <w:adjustRightInd w:val="0"/>
              <w:snapToGrid w:val="0"/>
              <w:jc w:val="center"/>
              <w:rPr>
                <w:rFonts w:ascii="Times New Roman" w:hAnsi="Times New Roman" w:cs="Times New Roman"/>
                <w:sz w:val="22"/>
              </w:rPr>
            </w:pPr>
            <w:r>
              <w:rPr>
                <w:rFonts w:ascii="Times New Roman" w:hAnsi="Times New Roman" w:cs="Times New Roman"/>
                <w:sz w:val="22"/>
              </w:rPr>
              <w:fldChar w:fldCharType="begin"/>
            </w:r>
            <w:r>
              <w:rPr>
                <w:rFonts w:ascii="Times New Roman" w:hAnsi="Times New Roman" w:cs="Times New Roman"/>
                <w:sz w:val="22"/>
              </w:rPr>
              <w:instrText xml:space="preserve"> ADDIN EN.CITE &lt;EndNote&gt;&lt;Cite&gt;&lt;Author&gt;Wu&lt;/Author&gt;&lt;Year&gt;2023&lt;/Year&gt;&lt;RecNum&gt;3031&lt;/RecNum&gt;&lt;DisplayText&gt;&lt;style face="superscript"&gt;19&lt;/style&gt;&lt;/DisplayText&gt;&lt;record&gt;&lt;rec-number&gt;3031&lt;/rec-number&gt;&lt;foreign-keys&gt;&lt;key app="EN" db-id="zs2fp5r2f2x2e2esxe75ap2k2dx05tep55zx" timestamp="1767497700"&gt;3031&lt;/key&gt;&lt;/foreign-keys&gt;&lt;ref-type name="Journal Article"&gt;17&lt;/ref-type&gt;&lt;contributors&gt;&lt;authors&gt;&lt;author&gt;Wu, Ge&lt;/author&gt;&lt;author&gt;Liu, Sida&lt;/author&gt;&lt;author&gt;Wang, Qing&lt;/author&gt;&lt;author&gt;Rao, Jing&lt;/author&gt;&lt;author&gt;Xia, Wenzhen&lt;/author&gt;&lt;author&gt;Yan, Yong-Qiang&lt;/author&gt;&lt;author&gt;Eckert, Jürgen&lt;/author&gt;&lt;author&gt;Liu, Chang&lt;/author&gt;&lt;author&gt;Ma, En&lt;/author&gt;&lt;author&gt;Shan, Zhi-Wei&lt;/author&gt;&lt;/authors&gt;&lt;/contributors&gt;&lt;titles&gt;&lt;title&gt;Substantially enhanced homogeneous plastic flow in hierarchically nanodomained amorphous alloys&lt;/title&gt;&lt;secondary-title&gt;Nature Communications&lt;/secondary-title&gt;&lt;/titles&gt;&lt;periodical&gt;&lt;full-title&gt;Nature Communications&lt;/full-title&gt;&lt;/periodical&gt;&lt;pages&gt;3670&lt;/pages&gt;&lt;volume&gt;14&lt;/volume&gt;&lt;number&gt;1&lt;/number&gt;&lt;dates&gt;&lt;year&gt;2023&lt;/year&gt;&lt;pub-dates&gt;&lt;date&gt;2023/06/20&lt;/date&gt;&lt;/pub-dates&gt;&lt;/dates&gt;&lt;isbn&gt;2041-1723&lt;/isbn&gt;&lt;urls&gt;&lt;related-urls&gt;&lt;url&gt;https://doi.org/10.1038/s41467-023-39296-6&lt;/url&gt;&lt;/related-urls&gt;&lt;/urls&gt;&lt;electronic-resource-num&gt;10.1038/s41467-023-39296-6&lt;/electronic-resource-num&gt;&lt;/record&gt;&lt;/Cite&gt;&lt;/EndNote&gt;</w:instrText>
            </w:r>
            <w:r>
              <w:rPr>
                <w:rFonts w:ascii="Times New Roman" w:hAnsi="Times New Roman" w:cs="Times New Roman"/>
                <w:sz w:val="22"/>
              </w:rPr>
              <w:fldChar w:fldCharType="separate"/>
            </w:r>
            <w:r>
              <w:rPr>
                <w:rFonts w:ascii="Times New Roman" w:hAnsi="Times New Roman" w:cs="Times New Roman"/>
                <w:sz w:val="22"/>
              </w:rPr>
              <w:t>19</w:t>
            </w:r>
            <w:r>
              <w:rPr>
                <w:rFonts w:ascii="Times New Roman" w:hAnsi="Times New Roman" w:cs="Times New Roman"/>
                <w:sz w:val="22"/>
              </w:rPr>
              <w:fldChar w:fldCharType="end"/>
            </w:r>
          </w:p>
        </w:tc>
      </w:tr>
      <w:tr w14:paraId="73DA71CA">
        <w:tblPrEx>
          <w:tblCellMar>
            <w:top w:w="0" w:type="dxa"/>
            <w:left w:w="0" w:type="dxa"/>
            <w:bottom w:w="0" w:type="dxa"/>
            <w:right w:w="0" w:type="dxa"/>
          </w:tblCellMar>
        </w:tblPrEx>
        <w:trPr>
          <w:trHeight w:val="397" w:hRule="exact"/>
        </w:trPr>
        <w:tc>
          <w:tcPr>
            <w:tcW w:w="1990" w:type="pct"/>
            <w:tcMar>
              <w:top w:w="15" w:type="dxa"/>
              <w:left w:w="108" w:type="dxa"/>
              <w:bottom w:w="0" w:type="dxa"/>
              <w:right w:w="108" w:type="dxa"/>
            </w:tcMar>
            <w:vAlign w:val="center"/>
          </w:tcPr>
          <w:p w14:paraId="661E24C1">
            <w:pPr>
              <w:adjustRightInd w:val="0"/>
              <w:snapToGrid w:val="0"/>
              <w:jc w:val="center"/>
              <w:rPr>
                <w:rFonts w:ascii="Times New Roman" w:hAnsi="Times New Roman" w:cs="Times New Roman"/>
                <w:sz w:val="22"/>
              </w:rPr>
            </w:pPr>
            <w:r>
              <w:rPr>
                <w:rFonts w:ascii="Times New Roman" w:hAnsi="Times New Roman" w:cs="Times New Roman"/>
                <w:sz w:val="22"/>
              </w:rPr>
              <w:t>MoTaVW RHEA</w:t>
            </w:r>
          </w:p>
        </w:tc>
        <w:tc>
          <w:tcPr>
            <w:tcW w:w="1192" w:type="pct"/>
            <w:tcMar>
              <w:top w:w="15" w:type="dxa"/>
              <w:left w:w="108" w:type="dxa"/>
              <w:bottom w:w="0" w:type="dxa"/>
              <w:right w:w="108" w:type="dxa"/>
            </w:tcMar>
            <w:vAlign w:val="center"/>
          </w:tcPr>
          <w:p w14:paraId="2D74F920">
            <w:pPr>
              <w:adjustRightInd w:val="0"/>
              <w:snapToGrid w:val="0"/>
              <w:jc w:val="center"/>
              <w:rPr>
                <w:rFonts w:ascii="Times New Roman" w:hAnsi="Times New Roman" w:cs="Times New Roman"/>
                <w:sz w:val="22"/>
              </w:rPr>
            </w:pPr>
            <w:r>
              <w:rPr>
                <w:rFonts w:ascii="Times New Roman" w:hAnsi="Times New Roman" w:cs="Times New Roman"/>
                <w:sz w:val="22"/>
              </w:rPr>
              <w:t>1.4</w:t>
            </w:r>
          </w:p>
        </w:tc>
        <w:tc>
          <w:tcPr>
            <w:tcW w:w="1115" w:type="pct"/>
            <w:vAlign w:val="center"/>
          </w:tcPr>
          <w:p w14:paraId="7B860182">
            <w:pPr>
              <w:adjustRightInd w:val="0"/>
              <w:snapToGrid w:val="0"/>
              <w:jc w:val="center"/>
              <w:rPr>
                <w:rFonts w:ascii="Times New Roman" w:hAnsi="Times New Roman" w:cs="Times New Roman"/>
                <w:sz w:val="22"/>
              </w:rPr>
            </w:pPr>
            <w:r>
              <w:rPr>
                <w:rFonts w:ascii="Times New Roman" w:hAnsi="Times New Roman" w:cs="Times New Roman"/>
                <w:sz w:val="22"/>
              </w:rPr>
              <w:t>22</w:t>
            </w:r>
          </w:p>
        </w:tc>
        <w:tc>
          <w:tcPr>
            <w:tcW w:w="703" w:type="pct"/>
            <w:tcMar>
              <w:top w:w="15" w:type="dxa"/>
              <w:left w:w="108" w:type="dxa"/>
              <w:bottom w:w="0" w:type="dxa"/>
              <w:right w:w="108" w:type="dxa"/>
            </w:tcMar>
            <w:vAlign w:val="center"/>
          </w:tcPr>
          <w:p w14:paraId="5EF4E3F7">
            <w:pPr>
              <w:adjustRightInd w:val="0"/>
              <w:snapToGrid w:val="0"/>
              <w:jc w:val="center"/>
              <w:rPr>
                <w:rFonts w:ascii="Times New Roman" w:hAnsi="Times New Roman" w:cs="Times New Roman"/>
                <w:sz w:val="22"/>
              </w:rPr>
            </w:pPr>
            <w:r>
              <w:rPr>
                <w:rFonts w:ascii="Times New Roman" w:hAnsi="Times New Roman" w:cs="Times New Roman"/>
                <w:sz w:val="22"/>
              </w:rPr>
              <w:fldChar w:fldCharType="begin"/>
            </w:r>
            <w:r>
              <w:rPr>
                <w:rFonts w:ascii="Times New Roman" w:hAnsi="Times New Roman" w:cs="Times New Roman"/>
                <w:sz w:val="22"/>
              </w:rPr>
              <w:instrText xml:space="preserve"> ADDIN EN.CITE &lt;EndNote&gt;&lt;Cite&gt;&lt;Author&gt;Li&lt;/Author&gt;&lt;Year&gt;2025&lt;/Year&gt;&lt;RecNum&gt;3033&lt;/RecNum&gt;&lt;DisplayText&gt;&lt;style face="superscript"&gt;20&lt;/style&gt;&lt;/DisplayText&gt;&lt;record&gt;&lt;rec-number&gt;3033&lt;/rec-number&gt;&lt;foreign-keys&gt;&lt;key app="EN" db-id="zs2fp5r2f2x2e2esxe75ap2k2dx05tep55zx" timestamp="1767497746"&gt;3033&lt;/key&gt;&lt;/foreign-keys&gt;&lt;ref-type name="Journal Article"&gt;17&lt;/ref-type&gt;&lt;contributors&gt;&lt;authors&gt;&lt;author&gt;Li, Yuan&lt;/author&gt;&lt;author&gt;Zhou, Feiyang&lt;/author&gt;&lt;author&gt;Song, Wenli&lt;/author&gt;&lt;author&gt;Zhang, Xiaodong&lt;/author&gt;&lt;author&gt;Fan, Jinglian&lt;/author&gt;&lt;author&gt;Han, Yong&lt;/author&gt;&lt;author&gt;Lei, Zhifeng&lt;/author&gt;&lt;/authors&gt;&lt;/contributors&gt;&lt;titles&gt;&lt;title&gt;Ultrastrong, high plasticity, and softening-resistant refractory high-entropy alloy via stable isostructural coherent interfaces&lt;/title&gt;&lt;secondary-title&gt;Scripta Materialia&lt;/secondary-title&gt;&lt;/titles&gt;&lt;periodical&gt;&lt;full-title&gt;Scripta Materialia&lt;/full-title&gt;&lt;/periodical&gt;&lt;pages&gt;116337&lt;/pages&gt;&lt;volume&gt;254&lt;/volume&gt;&lt;keywords&gt;&lt;keyword&gt;Stable isostructural coherent interfaces&lt;/keyword&gt;&lt;keyword&gt;Refractory high-entropy alloys&lt;/keyword&gt;&lt;keyword&gt;Mechanical properties&lt;/keyword&gt;&lt;keyword&gt;Element segregation&lt;/keyword&gt;&lt;/keywords&gt;&lt;dates&gt;&lt;year&gt;2025&lt;/year&gt;&lt;pub-dates&gt;&lt;date&gt;2025/01/01/&lt;/date&gt;&lt;/pub-dates&gt;&lt;/dates&gt;&lt;isbn&gt;1359-6462&lt;/isbn&gt;&lt;urls&gt;&lt;related-urls&gt;&lt;url&gt;https://www.sciencedirect.com/science/article/pii/S1359646224003725&lt;/url&gt;&lt;/related-urls&gt;&lt;/urls&gt;&lt;electronic-resource-num&gt;https://doi.org/10.1016/j.scriptamat.2024.116337&lt;/electronic-resource-num&gt;&lt;/record&gt;&lt;/Cite&gt;&lt;/EndNote&gt;</w:instrText>
            </w:r>
            <w:r>
              <w:rPr>
                <w:rFonts w:ascii="Times New Roman" w:hAnsi="Times New Roman" w:cs="Times New Roman"/>
                <w:sz w:val="22"/>
              </w:rPr>
              <w:fldChar w:fldCharType="separate"/>
            </w:r>
            <w:r>
              <w:rPr>
                <w:rFonts w:ascii="Times New Roman" w:hAnsi="Times New Roman" w:cs="Times New Roman"/>
                <w:sz w:val="22"/>
              </w:rPr>
              <w:t>20</w:t>
            </w:r>
            <w:r>
              <w:rPr>
                <w:rFonts w:ascii="Times New Roman" w:hAnsi="Times New Roman" w:cs="Times New Roman"/>
                <w:sz w:val="22"/>
              </w:rPr>
              <w:fldChar w:fldCharType="end"/>
            </w:r>
          </w:p>
        </w:tc>
      </w:tr>
      <w:tr w14:paraId="4DA3256C">
        <w:tblPrEx>
          <w:tblCellMar>
            <w:top w:w="0" w:type="dxa"/>
            <w:left w:w="0" w:type="dxa"/>
            <w:bottom w:w="0" w:type="dxa"/>
            <w:right w:w="0" w:type="dxa"/>
          </w:tblCellMar>
        </w:tblPrEx>
        <w:trPr>
          <w:trHeight w:val="397" w:hRule="exact"/>
        </w:trPr>
        <w:tc>
          <w:tcPr>
            <w:tcW w:w="1990" w:type="pct"/>
            <w:tcMar>
              <w:top w:w="15" w:type="dxa"/>
              <w:left w:w="108" w:type="dxa"/>
              <w:bottom w:w="0" w:type="dxa"/>
              <w:right w:w="108" w:type="dxa"/>
            </w:tcMar>
            <w:vAlign w:val="center"/>
          </w:tcPr>
          <w:p w14:paraId="1E4C4447">
            <w:pPr>
              <w:adjustRightInd w:val="0"/>
              <w:snapToGrid w:val="0"/>
              <w:jc w:val="center"/>
              <w:rPr>
                <w:rFonts w:ascii="Times New Roman" w:hAnsi="Times New Roman" w:cs="Times New Roman"/>
                <w:sz w:val="22"/>
              </w:rPr>
            </w:pPr>
            <w:r>
              <w:rPr>
                <w:rFonts w:ascii="Times New Roman" w:hAnsi="Times New Roman" w:cs="Times New Roman"/>
                <w:sz w:val="22"/>
              </w:rPr>
              <w:t>Mg</w:t>
            </w:r>
          </w:p>
        </w:tc>
        <w:tc>
          <w:tcPr>
            <w:tcW w:w="1192" w:type="pct"/>
            <w:tcMar>
              <w:top w:w="15" w:type="dxa"/>
              <w:left w:w="108" w:type="dxa"/>
              <w:bottom w:w="0" w:type="dxa"/>
              <w:right w:w="108" w:type="dxa"/>
            </w:tcMar>
            <w:vAlign w:val="center"/>
          </w:tcPr>
          <w:p w14:paraId="6EE40EDD">
            <w:pPr>
              <w:adjustRightInd w:val="0"/>
              <w:snapToGrid w:val="0"/>
              <w:jc w:val="center"/>
              <w:rPr>
                <w:rFonts w:ascii="Times New Roman" w:hAnsi="Times New Roman" w:cs="Times New Roman"/>
                <w:sz w:val="22"/>
              </w:rPr>
            </w:pPr>
            <w:r>
              <w:rPr>
                <w:rFonts w:ascii="Times New Roman" w:hAnsi="Times New Roman" w:cs="Times New Roman"/>
                <w:sz w:val="22"/>
              </w:rPr>
              <w:t>1.0</w:t>
            </w:r>
          </w:p>
        </w:tc>
        <w:tc>
          <w:tcPr>
            <w:tcW w:w="1115" w:type="pct"/>
            <w:vAlign w:val="center"/>
          </w:tcPr>
          <w:p w14:paraId="3E1B2188">
            <w:pPr>
              <w:adjustRightInd w:val="0"/>
              <w:snapToGrid w:val="0"/>
              <w:jc w:val="center"/>
              <w:rPr>
                <w:rFonts w:ascii="Times New Roman" w:hAnsi="Times New Roman" w:cs="Times New Roman"/>
                <w:sz w:val="22"/>
              </w:rPr>
            </w:pPr>
            <w:r>
              <w:rPr>
                <w:rFonts w:ascii="Times New Roman" w:hAnsi="Times New Roman" w:cs="Times New Roman"/>
                <w:sz w:val="22"/>
              </w:rPr>
              <w:t>56.4</w:t>
            </w:r>
          </w:p>
        </w:tc>
        <w:tc>
          <w:tcPr>
            <w:tcW w:w="703" w:type="pct"/>
            <w:tcMar>
              <w:top w:w="15" w:type="dxa"/>
              <w:left w:w="108" w:type="dxa"/>
              <w:bottom w:w="0" w:type="dxa"/>
              <w:right w:w="108" w:type="dxa"/>
            </w:tcMar>
            <w:vAlign w:val="center"/>
          </w:tcPr>
          <w:p w14:paraId="31E231F4">
            <w:pPr>
              <w:adjustRightInd w:val="0"/>
              <w:snapToGrid w:val="0"/>
              <w:jc w:val="center"/>
              <w:rPr>
                <w:rFonts w:ascii="Times New Roman" w:hAnsi="Times New Roman" w:cs="Times New Roman"/>
                <w:sz w:val="22"/>
              </w:rPr>
            </w:pPr>
            <w:r>
              <w:rPr>
                <w:rFonts w:ascii="Times New Roman" w:hAnsi="Times New Roman" w:cs="Times New Roman"/>
                <w:sz w:val="22"/>
              </w:rPr>
              <w:fldChar w:fldCharType="begin"/>
            </w:r>
            <w:r>
              <w:rPr>
                <w:rFonts w:ascii="Times New Roman" w:hAnsi="Times New Roman" w:cs="Times New Roman"/>
                <w:sz w:val="22"/>
              </w:rPr>
              <w:instrText xml:space="preserve"> ADDIN EN.CITE &lt;EndNote&gt;&lt;Cite&gt;&lt;Author&gt;Liu&lt;/Author&gt;&lt;Year&gt;2022&lt;/Year&gt;&lt;RecNum&gt;3035&lt;/RecNum&gt;&lt;DisplayText&gt;&lt;style face="superscript"&gt;21&lt;/style&gt;&lt;/DisplayText&gt;&lt;record&gt;&lt;rec-number&gt;3035&lt;/rec-number&gt;&lt;foreign-keys&gt;&lt;key app="EN" db-id="zs2fp5r2f2x2e2esxe75ap2k2dx05tep55zx" timestamp="1767498041"&gt;3035&lt;/key&gt;&lt;/foreign-keys&gt;&lt;ref-type name="Journal Article"&gt;17&lt;/ref-type&gt;&lt;contributors&gt;&lt;authors&gt;&lt;author&gt;Liu, Bo-Yu&lt;/author&gt;&lt;author&gt;Zhang, Zhen&lt;/author&gt;&lt;author&gt;Liu, Fei&lt;/author&gt;&lt;author&gt;Yang, Nan&lt;/author&gt;&lt;author&gt;Li, Bin&lt;/author&gt;&lt;author&gt;Chen, Peng&lt;/author&gt;&lt;author&gt;Wang, Yu&lt;/author&gt;&lt;author&gt;Peng, Jin-Hua&lt;/author&gt;&lt;author&gt;Li, Ju&lt;/author&gt;&lt;author&gt;Ma, En&lt;/author&gt;&lt;author&gt;Shan, Zhi-Wei&lt;/author&gt;&lt;/authors&gt;&lt;/contributors&gt;&lt;titles&gt;&lt;title&gt;Rejuvenation of plasticity via deformation graining in magnesium&lt;/title&gt;&lt;secondary-title&gt;Nature Communications&lt;/secondary-title&gt;&lt;/titles&gt;&lt;periodical&gt;&lt;full-title&gt;Nature Communications&lt;/full-title&gt;&lt;/periodical&gt;&lt;pages&gt;1060&lt;/pages&gt;&lt;volume&gt;13&lt;/volume&gt;&lt;number&gt;1&lt;/number&gt;&lt;dates&gt;&lt;year&gt;2022&lt;/year&gt;&lt;pub-dates&gt;&lt;date&gt;2022/02/25&lt;/date&gt;&lt;/pub-dates&gt;&lt;/dates&gt;&lt;isbn&gt;2041-1723&lt;/isbn&gt;&lt;urls&gt;&lt;related-urls&gt;&lt;url&gt;https://doi.org/10.1038/s41467-022-28688-9&lt;/url&gt;&lt;/related-urls&gt;&lt;/urls&gt;&lt;electronic-resource-num&gt;10.1038/s41467-022-28688-9&lt;/electronic-resource-num&gt;&lt;/record&gt;&lt;/Cite&gt;&lt;/EndNote&gt;</w:instrText>
            </w:r>
            <w:r>
              <w:rPr>
                <w:rFonts w:ascii="Times New Roman" w:hAnsi="Times New Roman" w:cs="Times New Roman"/>
                <w:sz w:val="22"/>
              </w:rPr>
              <w:fldChar w:fldCharType="separate"/>
            </w:r>
            <w:r>
              <w:rPr>
                <w:rFonts w:ascii="Times New Roman" w:hAnsi="Times New Roman" w:cs="Times New Roman"/>
                <w:sz w:val="22"/>
              </w:rPr>
              <w:t>21</w:t>
            </w:r>
            <w:r>
              <w:rPr>
                <w:rFonts w:ascii="Times New Roman" w:hAnsi="Times New Roman" w:cs="Times New Roman"/>
                <w:sz w:val="22"/>
              </w:rPr>
              <w:fldChar w:fldCharType="end"/>
            </w:r>
          </w:p>
        </w:tc>
      </w:tr>
      <w:tr w14:paraId="6289A96C">
        <w:tblPrEx>
          <w:tblCellMar>
            <w:top w:w="0" w:type="dxa"/>
            <w:left w:w="0" w:type="dxa"/>
            <w:bottom w:w="0" w:type="dxa"/>
            <w:right w:w="0" w:type="dxa"/>
          </w:tblCellMar>
        </w:tblPrEx>
        <w:trPr>
          <w:trHeight w:val="397" w:hRule="exact"/>
        </w:trPr>
        <w:tc>
          <w:tcPr>
            <w:tcW w:w="1990" w:type="pct"/>
            <w:tcMar>
              <w:top w:w="15" w:type="dxa"/>
              <w:left w:w="108" w:type="dxa"/>
              <w:bottom w:w="0" w:type="dxa"/>
              <w:right w:w="108" w:type="dxa"/>
            </w:tcMar>
            <w:vAlign w:val="center"/>
          </w:tcPr>
          <w:p w14:paraId="06DF7A87">
            <w:pPr>
              <w:adjustRightInd w:val="0"/>
              <w:snapToGrid w:val="0"/>
              <w:jc w:val="center"/>
              <w:rPr>
                <w:rFonts w:ascii="Times New Roman" w:hAnsi="Times New Roman" w:cs="Times New Roman"/>
                <w:sz w:val="22"/>
              </w:rPr>
            </w:pPr>
            <w:r>
              <w:rPr>
                <w:rFonts w:ascii="Times New Roman" w:hAnsi="Times New Roman" w:cs="Times New Roman"/>
                <w:sz w:val="22"/>
              </w:rPr>
              <w:t>InSe</w:t>
            </w:r>
          </w:p>
        </w:tc>
        <w:tc>
          <w:tcPr>
            <w:tcW w:w="1192" w:type="pct"/>
            <w:tcMar>
              <w:top w:w="15" w:type="dxa"/>
              <w:left w:w="108" w:type="dxa"/>
              <w:bottom w:w="0" w:type="dxa"/>
              <w:right w:w="108" w:type="dxa"/>
            </w:tcMar>
            <w:vAlign w:val="center"/>
          </w:tcPr>
          <w:p w14:paraId="466C3BCC">
            <w:pPr>
              <w:adjustRightInd w:val="0"/>
              <w:snapToGrid w:val="0"/>
              <w:jc w:val="center"/>
              <w:rPr>
                <w:rFonts w:ascii="Times New Roman" w:hAnsi="Times New Roman" w:cs="Times New Roman"/>
                <w:sz w:val="22"/>
              </w:rPr>
            </w:pPr>
            <w:r>
              <w:rPr>
                <w:rFonts w:ascii="Times New Roman" w:hAnsi="Times New Roman" w:cs="Times New Roman"/>
                <w:sz w:val="22"/>
              </w:rPr>
              <w:t>0.1</w:t>
            </w:r>
          </w:p>
        </w:tc>
        <w:tc>
          <w:tcPr>
            <w:tcW w:w="1115" w:type="pct"/>
            <w:vAlign w:val="center"/>
          </w:tcPr>
          <w:p w14:paraId="413EE823">
            <w:pPr>
              <w:adjustRightInd w:val="0"/>
              <w:snapToGrid w:val="0"/>
              <w:jc w:val="center"/>
              <w:rPr>
                <w:rFonts w:ascii="Times New Roman" w:hAnsi="Times New Roman" w:cs="Times New Roman"/>
                <w:sz w:val="22"/>
              </w:rPr>
            </w:pPr>
            <w:r>
              <w:rPr>
                <w:rFonts w:ascii="Times New Roman" w:hAnsi="Times New Roman" w:cs="Times New Roman"/>
                <w:sz w:val="22"/>
              </w:rPr>
              <w:t>80</w:t>
            </w:r>
          </w:p>
        </w:tc>
        <w:tc>
          <w:tcPr>
            <w:tcW w:w="703" w:type="pct"/>
            <w:tcMar>
              <w:top w:w="15" w:type="dxa"/>
              <w:left w:w="108" w:type="dxa"/>
              <w:bottom w:w="0" w:type="dxa"/>
              <w:right w:w="108" w:type="dxa"/>
            </w:tcMar>
            <w:vAlign w:val="center"/>
          </w:tcPr>
          <w:p w14:paraId="255C5731">
            <w:pPr>
              <w:adjustRightInd w:val="0"/>
              <w:snapToGrid w:val="0"/>
              <w:jc w:val="center"/>
              <w:rPr>
                <w:rFonts w:ascii="Times New Roman" w:hAnsi="Times New Roman" w:cs="Times New Roman"/>
                <w:sz w:val="22"/>
              </w:rPr>
            </w:pPr>
            <w:r>
              <w:rPr>
                <w:rFonts w:ascii="Times New Roman" w:hAnsi="Times New Roman" w:cs="Times New Roman"/>
                <w:sz w:val="22"/>
              </w:rPr>
              <w:fldChar w:fldCharType="begin"/>
            </w:r>
            <w:r>
              <w:rPr>
                <w:rFonts w:ascii="Times New Roman" w:hAnsi="Times New Roman" w:cs="Times New Roman"/>
                <w:sz w:val="22"/>
              </w:rPr>
              <w:instrText xml:space="preserve"> ADDIN EN.CITE &lt;EndNote&gt;&lt;Cite&gt;&lt;Author&gt;Wei&lt;/Author&gt;&lt;Year&gt;2020&lt;/Year&gt;&lt;RecNum&gt;3037&lt;/RecNum&gt;&lt;DisplayText&gt;&lt;style face="superscript"&gt;22&lt;/style&gt;&lt;/DisplayText&gt;&lt;record&gt;&lt;rec-number&gt;3037&lt;/rec-number&gt;&lt;foreign-keys&gt;&lt;key app="EN" db-id="zs2fp5r2f2x2e2esxe75ap2k2dx05tep55zx" timestamp="1767498097"&gt;3037&lt;/key&gt;&lt;/foreign-keys&gt;&lt;ref-type name="Journal Article"&gt;17&lt;/ref-type&gt;&lt;contributors&gt;&lt;authors&gt;&lt;author&gt;Wei, Tian-Ran&lt;/author&gt;&lt;author&gt;Jin, Min&lt;/author&gt;&lt;author&gt;Wang, Yuecun&lt;/author&gt;&lt;author&gt;Chen, Hongyi&lt;/author&gt;&lt;author&gt;Gao, Zhiqiang&lt;/author&gt;&lt;author&gt;Zhao, Kunpeng&lt;/author&gt;&lt;author&gt;Qiu, Pengfei&lt;/author&gt;&lt;author&gt;Shan, Zhiwei&lt;/author&gt;&lt;author&gt;Jiang, Jun&lt;/author&gt;&lt;author&gt;Li, Rongbin&lt;/author&gt;&lt;author&gt;Chen, Lidong&lt;/author&gt;&lt;author&gt;He, Jian&lt;/author&gt;&lt;author&gt;Shi, Xun&lt;/author&gt;&lt;/authors&gt;&lt;/contributors&gt;&lt;titles&gt;&lt;title&gt;Exceptional plasticity in the bulk single-crystalline van der Waals semiconductor InSe&lt;/title&gt;&lt;secondary-title&gt;Science&lt;/secondary-title&gt;&lt;/titles&gt;&lt;periodical&gt;&lt;full-title&gt;Science&lt;/full-title&gt;&lt;/periodical&gt;&lt;pages&gt;542-545&lt;/pages&gt;&lt;volume&gt;369&lt;/volume&gt;&lt;number&gt;6503&lt;/number&gt;&lt;dates&gt;&lt;year&gt;2020&lt;/year&gt;&lt;pub-dates&gt;&lt;date&gt;2020/07/31&lt;/date&gt;&lt;/pub-dates&gt;&lt;/dates&gt;&lt;publisher&gt;American Association for the Advancement of Science&lt;/publisher&gt;&lt;urls&gt;&lt;related-urls&gt;&lt;url&gt;https://doi.org/10.1126/science.aba9778&lt;/url&gt;&lt;/related-urls&gt;&lt;/urls&gt;&lt;electronic-resource-num&gt;10.1126/science.aba9778&lt;/electronic-resource-num&gt;&lt;access-date&gt;2026/01/03&lt;/access-date&gt;&lt;/record&gt;&lt;/Cite&gt;&lt;/EndNote&gt;</w:instrText>
            </w:r>
            <w:r>
              <w:rPr>
                <w:rFonts w:ascii="Times New Roman" w:hAnsi="Times New Roman" w:cs="Times New Roman"/>
                <w:sz w:val="22"/>
              </w:rPr>
              <w:fldChar w:fldCharType="separate"/>
            </w:r>
            <w:r>
              <w:rPr>
                <w:rFonts w:ascii="Times New Roman" w:hAnsi="Times New Roman" w:cs="Times New Roman"/>
                <w:sz w:val="22"/>
              </w:rPr>
              <w:t>22</w:t>
            </w:r>
            <w:r>
              <w:rPr>
                <w:rFonts w:ascii="Times New Roman" w:hAnsi="Times New Roman" w:cs="Times New Roman"/>
                <w:sz w:val="22"/>
              </w:rPr>
              <w:fldChar w:fldCharType="end"/>
            </w:r>
          </w:p>
        </w:tc>
      </w:tr>
      <w:tr w14:paraId="18F002CF">
        <w:tblPrEx>
          <w:tblCellMar>
            <w:top w:w="0" w:type="dxa"/>
            <w:left w:w="0" w:type="dxa"/>
            <w:bottom w:w="0" w:type="dxa"/>
            <w:right w:w="0" w:type="dxa"/>
          </w:tblCellMar>
        </w:tblPrEx>
        <w:trPr>
          <w:trHeight w:val="397" w:hRule="exact"/>
        </w:trPr>
        <w:tc>
          <w:tcPr>
            <w:tcW w:w="1990" w:type="pct"/>
            <w:tcMar>
              <w:top w:w="15" w:type="dxa"/>
              <w:left w:w="108" w:type="dxa"/>
              <w:bottom w:w="0" w:type="dxa"/>
              <w:right w:w="108" w:type="dxa"/>
            </w:tcMar>
            <w:vAlign w:val="center"/>
          </w:tcPr>
          <w:p w14:paraId="56357E08">
            <w:pPr>
              <w:adjustRightInd w:val="0"/>
              <w:snapToGrid w:val="0"/>
              <w:jc w:val="center"/>
              <w:rPr>
                <w:rFonts w:ascii="Times New Roman" w:hAnsi="Times New Roman" w:cs="Times New Roman"/>
                <w:sz w:val="22"/>
              </w:rPr>
            </w:pPr>
            <w:r>
              <w:rPr>
                <w:rFonts w:ascii="Times New Roman" w:hAnsi="Times New Roman" w:cs="Times New Roman"/>
                <w:sz w:val="22"/>
              </w:rPr>
              <w:t>GaSe</w:t>
            </w:r>
          </w:p>
        </w:tc>
        <w:tc>
          <w:tcPr>
            <w:tcW w:w="1192" w:type="pct"/>
            <w:tcMar>
              <w:top w:w="15" w:type="dxa"/>
              <w:left w:w="108" w:type="dxa"/>
              <w:bottom w:w="0" w:type="dxa"/>
              <w:right w:w="108" w:type="dxa"/>
            </w:tcMar>
            <w:vAlign w:val="center"/>
          </w:tcPr>
          <w:p w14:paraId="5D30E507">
            <w:pPr>
              <w:adjustRightInd w:val="0"/>
              <w:snapToGrid w:val="0"/>
              <w:jc w:val="center"/>
              <w:rPr>
                <w:rFonts w:ascii="Times New Roman" w:hAnsi="Times New Roman" w:cs="Times New Roman"/>
                <w:sz w:val="22"/>
              </w:rPr>
            </w:pPr>
            <w:r>
              <w:rPr>
                <w:rFonts w:ascii="Times New Roman" w:hAnsi="Times New Roman" w:cs="Times New Roman"/>
                <w:sz w:val="22"/>
              </w:rPr>
              <w:t>0.1</w:t>
            </w:r>
          </w:p>
        </w:tc>
        <w:tc>
          <w:tcPr>
            <w:tcW w:w="1115" w:type="pct"/>
            <w:vAlign w:val="center"/>
          </w:tcPr>
          <w:p w14:paraId="37CF1B81">
            <w:pPr>
              <w:adjustRightInd w:val="0"/>
              <w:snapToGrid w:val="0"/>
              <w:jc w:val="center"/>
              <w:rPr>
                <w:rFonts w:ascii="Times New Roman" w:hAnsi="Times New Roman" w:cs="Times New Roman"/>
                <w:sz w:val="22"/>
              </w:rPr>
            </w:pPr>
            <w:r>
              <w:rPr>
                <w:rFonts w:ascii="Times New Roman" w:hAnsi="Times New Roman" w:cs="Times New Roman"/>
                <w:sz w:val="22"/>
              </w:rPr>
              <w:t>20</w:t>
            </w:r>
          </w:p>
        </w:tc>
        <w:tc>
          <w:tcPr>
            <w:tcW w:w="703" w:type="pct"/>
            <w:tcMar>
              <w:top w:w="15" w:type="dxa"/>
              <w:left w:w="108" w:type="dxa"/>
              <w:bottom w:w="0" w:type="dxa"/>
              <w:right w:w="108" w:type="dxa"/>
            </w:tcMar>
            <w:vAlign w:val="center"/>
          </w:tcPr>
          <w:p w14:paraId="1F5EF52A">
            <w:pPr>
              <w:adjustRightInd w:val="0"/>
              <w:snapToGrid w:val="0"/>
              <w:jc w:val="center"/>
              <w:rPr>
                <w:rFonts w:ascii="Times New Roman" w:hAnsi="Times New Roman" w:cs="Times New Roman"/>
                <w:sz w:val="22"/>
              </w:rPr>
            </w:pPr>
            <w:r>
              <w:rPr>
                <w:rFonts w:ascii="Times New Roman" w:hAnsi="Times New Roman" w:cs="Times New Roman"/>
                <w:sz w:val="22"/>
              </w:rPr>
              <w:fldChar w:fldCharType="begin"/>
            </w:r>
            <w:r>
              <w:rPr>
                <w:rFonts w:ascii="Times New Roman" w:hAnsi="Times New Roman" w:cs="Times New Roman"/>
                <w:sz w:val="22"/>
              </w:rPr>
              <w:instrText xml:space="preserve"> ADDIN EN.CITE &lt;EndNote&gt;&lt;Cite&gt;&lt;Author&gt;Wang&lt;/Author&gt;&lt;Year&gt;2022&lt;/Year&gt;&lt;RecNum&gt;3039&lt;/RecNum&gt;&lt;DisplayText&gt;&lt;style face="superscript"&gt;23&lt;/style&gt;&lt;/DisplayText&gt;&lt;record&gt;&lt;rec-number&gt;3039&lt;/rec-number&gt;&lt;foreign-keys&gt;&lt;key app="EN" db-id="zs2fp5r2f2x2e2esxe75ap2k2dx05tep55zx" timestamp="1767498143"&gt;3039&lt;/key&gt;&lt;/foreign-keys&gt;&lt;ref-type name="Journal Article"&gt;17&lt;/ref-type&gt;&lt;contributors&gt;&lt;authors&gt;&lt;author&gt;Wang, Heyi&lt;/author&gt;&lt;author&gt;Wu, Hong&lt;/author&gt;&lt;author&gt;Lin, Weitong&lt;/author&gt;&lt;author&gt;Zhang, Bin&lt;/author&gt;&lt;author&gt;Li, Xiaocui&lt;/author&gt;&lt;author&gt;Zhang, Yang&lt;/author&gt;&lt;author&gt;Fan, Sufeng&lt;/author&gt;&lt;author&gt;Dang, Chaoqun&lt;/author&gt;&lt;author&gt;Zhu, Yingxin&lt;/author&gt;&lt;author&gt;Zhao, Shijun&lt;/author&gt;&lt;author&gt;Zhou, Xiaoyuan&lt;/author&gt;&lt;author&gt;Lu, Yang&lt;/author&gt;&lt;/authors&gt;&lt;/contributors&gt;&lt;titles&gt;&lt;title&gt;Orientation-dependent large plasticity of single-crystalline gallium selenide&lt;/title&gt;&lt;secondary-title&gt;Cell Reports Physical Science&lt;/secondary-title&gt;&lt;/titles&gt;&lt;periodical&gt;&lt;full-title&gt;Cell Reports Physical Science&lt;/full-title&gt;&lt;/periodical&gt;&lt;pages&gt;100816&lt;/pages&gt;&lt;volume&gt;3&lt;/volume&gt;&lt;number&gt;4&lt;/number&gt;&lt;keywords&gt;&lt;keyword&gt;ductile semiconductor&lt;/keyword&gt;&lt;keyword&gt;GaSe&lt;/keyword&gt;&lt;keyword&gt;nanomechanics&lt;/keyword&gt;&lt;keyword&gt;plastic deformation&lt;/keyword&gt;&lt;keyword&gt;flexible electronics&lt;/keyword&gt;&lt;keyword&gt;thermoelectric material&lt;/keyword&gt;&lt;keyword&gt;in situ mechanical testing&lt;/keyword&gt;&lt;/keywords&gt;&lt;dates&gt;&lt;year&gt;2022&lt;/year&gt;&lt;pub-dates&gt;&lt;date&gt;2022/04/20/&lt;/date&gt;&lt;/pub-dates&gt;&lt;/dates&gt;&lt;isbn&gt;2666-3864&lt;/isbn&gt;&lt;urls&gt;&lt;related-urls&gt;&lt;url&gt;https://www.sciencedirect.com/science/article/pii/S2666386422000868&lt;/url&gt;&lt;/related-urls&gt;&lt;/urls&gt;&lt;electronic-resource-num&gt;https://doi.org/10.1016/j.xcrp.2022.100816&lt;/electronic-resource-num&gt;&lt;/record&gt;&lt;/Cite&gt;&lt;/EndNote&gt;</w:instrText>
            </w:r>
            <w:r>
              <w:rPr>
                <w:rFonts w:ascii="Times New Roman" w:hAnsi="Times New Roman" w:cs="Times New Roman"/>
                <w:sz w:val="22"/>
              </w:rPr>
              <w:fldChar w:fldCharType="separate"/>
            </w:r>
            <w:r>
              <w:rPr>
                <w:rFonts w:ascii="Times New Roman" w:hAnsi="Times New Roman" w:cs="Times New Roman"/>
                <w:sz w:val="22"/>
              </w:rPr>
              <w:t>23</w:t>
            </w:r>
            <w:r>
              <w:rPr>
                <w:rFonts w:ascii="Times New Roman" w:hAnsi="Times New Roman" w:cs="Times New Roman"/>
                <w:sz w:val="22"/>
              </w:rPr>
              <w:fldChar w:fldCharType="end"/>
            </w:r>
          </w:p>
        </w:tc>
      </w:tr>
      <w:tr w14:paraId="59827D37">
        <w:tblPrEx>
          <w:tblCellMar>
            <w:top w:w="0" w:type="dxa"/>
            <w:left w:w="0" w:type="dxa"/>
            <w:bottom w:w="0" w:type="dxa"/>
            <w:right w:w="0" w:type="dxa"/>
          </w:tblCellMar>
        </w:tblPrEx>
        <w:trPr>
          <w:trHeight w:val="397" w:hRule="exact"/>
        </w:trPr>
        <w:tc>
          <w:tcPr>
            <w:tcW w:w="1990" w:type="pct"/>
            <w:tcBorders>
              <w:bottom w:val="single" w:color="auto" w:sz="4" w:space="0"/>
            </w:tcBorders>
            <w:tcMar>
              <w:top w:w="15" w:type="dxa"/>
              <w:left w:w="108" w:type="dxa"/>
              <w:bottom w:w="0" w:type="dxa"/>
              <w:right w:w="108" w:type="dxa"/>
            </w:tcMar>
            <w:vAlign w:val="center"/>
          </w:tcPr>
          <w:p w14:paraId="4AA87BAB">
            <w:pPr>
              <w:adjustRightInd w:val="0"/>
              <w:snapToGrid w:val="0"/>
              <w:jc w:val="center"/>
              <w:rPr>
                <w:rFonts w:ascii="Times New Roman" w:hAnsi="Times New Roman" w:cs="Times New Roman"/>
                <w:sz w:val="22"/>
              </w:rPr>
            </w:pPr>
            <w:r>
              <w:rPr>
                <w:rFonts w:ascii="Times New Roman" w:hAnsi="Times New Roman" w:cs="Times New Roman"/>
                <w:sz w:val="22"/>
              </w:rPr>
              <w:t>CsPbX</w:t>
            </w:r>
            <w:r>
              <w:rPr>
                <w:rFonts w:ascii="Times New Roman" w:hAnsi="Times New Roman" w:cs="Times New Roman"/>
                <w:sz w:val="22"/>
                <w:vertAlign w:val="subscript"/>
              </w:rPr>
              <w:t>3</w:t>
            </w:r>
          </w:p>
        </w:tc>
        <w:tc>
          <w:tcPr>
            <w:tcW w:w="1192" w:type="pct"/>
            <w:tcBorders>
              <w:bottom w:val="single" w:color="auto" w:sz="4" w:space="0"/>
            </w:tcBorders>
            <w:tcMar>
              <w:top w:w="15" w:type="dxa"/>
              <w:left w:w="108" w:type="dxa"/>
              <w:bottom w:w="0" w:type="dxa"/>
              <w:right w:w="108" w:type="dxa"/>
            </w:tcMar>
            <w:vAlign w:val="center"/>
          </w:tcPr>
          <w:p w14:paraId="3C9D1900">
            <w:pPr>
              <w:adjustRightInd w:val="0"/>
              <w:snapToGrid w:val="0"/>
              <w:jc w:val="center"/>
              <w:rPr>
                <w:rFonts w:ascii="Times New Roman" w:hAnsi="Times New Roman" w:cs="Times New Roman"/>
                <w:sz w:val="22"/>
              </w:rPr>
            </w:pPr>
            <w:r>
              <w:rPr>
                <w:rFonts w:ascii="Times New Roman" w:hAnsi="Times New Roman" w:cs="Times New Roman"/>
                <w:sz w:val="22"/>
              </w:rPr>
              <w:t>0.25</w:t>
            </w:r>
          </w:p>
        </w:tc>
        <w:tc>
          <w:tcPr>
            <w:tcW w:w="1115" w:type="pct"/>
            <w:tcBorders>
              <w:bottom w:val="single" w:color="auto" w:sz="4" w:space="0"/>
            </w:tcBorders>
            <w:vAlign w:val="center"/>
          </w:tcPr>
          <w:p w14:paraId="71D4F295">
            <w:pPr>
              <w:adjustRightInd w:val="0"/>
              <w:snapToGrid w:val="0"/>
              <w:jc w:val="center"/>
              <w:rPr>
                <w:rFonts w:ascii="Times New Roman" w:hAnsi="Times New Roman" w:cs="Times New Roman"/>
                <w:sz w:val="22"/>
              </w:rPr>
            </w:pPr>
            <w:r>
              <w:rPr>
                <w:rFonts w:ascii="Times New Roman" w:hAnsi="Times New Roman" w:cs="Times New Roman"/>
                <w:sz w:val="22"/>
              </w:rPr>
              <w:t>50</w:t>
            </w:r>
          </w:p>
        </w:tc>
        <w:tc>
          <w:tcPr>
            <w:tcW w:w="703" w:type="pct"/>
            <w:tcBorders>
              <w:bottom w:val="single" w:color="auto" w:sz="4" w:space="0"/>
            </w:tcBorders>
            <w:tcMar>
              <w:top w:w="15" w:type="dxa"/>
              <w:left w:w="108" w:type="dxa"/>
              <w:bottom w:w="0" w:type="dxa"/>
              <w:right w:w="108" w:type="dxa"/>
            </w:tcMar>
            <w:vAlign w:val="center"/>
          </w:tcPr>
          <w:p w14:paraId="116B3950">
            <w:pPr>
              <w:adjustRightInd w:val="0"/>
              <w:snapToGrid w:val="0"/>
              <w:jc w:val="center"/>
              <w:rPr>
                <w:rFonts w:ascii="Times New Roman" w:hAnsi="Times New Roman" w:cs="Times New Roman"/>
                <w:sz w:val="22"/>
              </w:rPr>
            </w:pPr>
            <w:r>
              <w:rPr>
                <w:rFonts w:ascii="Times New Roman" w:hAnsi="Times New Roman" w:cs="Times New Roman"/>
                <w:sz w:val="22"/>
              </w:rPr>
              <w:fldChar w:fldCharType="begin"/>
            </w:r>
            <w:r>
              <w:rPr>
                <w:rFonts w:ascii="Times New Roman" w:hAnsi="Times New Roman" w:cs="Times New Roman"/>
                <w:sz w:val="22"/>
              </w:rPr>
              <w:instrText xml:space="preserve"> ADDIN EN.CITE &lt;EndNote&gt;&lt;Cite&gt;&lt;Author&gt;Li&lt;/Author&gt;&lt;Year&gt;2023&lt;/Year&gt;&lt;RecNum&gt;3041&lt;/RecNum&gt;&lt;DisplayText&gt;&lt;style face="superscript"&gt;24&lt;/style&gt;&lt;/DisplayText&gt;&lt;record&gt;&lt;rec-number&gt;3041&lt;/rec-number&gt;&lt;foreign-keys&gt;&lt;key app="EN" db-id="zs2fp5r2f2x2e2esxe75ap2k2dx05tep55zx" timestamp="1767498188"&gt;3041&lt;/key&gt;&lt;/foreign-keys&gt;&lt;ref-type name="Journal Article"&gt;17&lt;/ref-type&gt;&lt;contributors&gt;&lt;authors&gt;&lt;author&gt;Li, Xiaocui&lt;/author&gt;&lt;author&gt;Meng, You&lt;/author&gt;&lt;author&gt;Li, Wanpeng&lt;/author&gt;&lt;author&gt;Zhang, Jun&lt;/author&gt;&lt;author&gt;Dang, Chaoqun&lt;/author&gt;&lt;author&gt;Wang, Heyi&lt;/author&gt;&lt;author&gt;Hung, Shih-Wei&lt;/author&gt;&lt;author&gt;Fan, Rong&lt;/author&gt;&lt;author&gt;Chen, Fu-Rong&lt;/author&gt;&lt;author&gt;Zhao, Shijun&lt;/author&gt;&lt;author&gt;Ho, Johnny C.&lt;/author&gt;&lt;author&gt;Lu, Yang&lt;/author&gt;&lt;/authors&gt;&lt;/contributors&gt;&lt;titles&gt;&lt;title&gt;Multislip-enabled morphing of all-inorganic perovskites&lt;/title&gt;&lt;secondary-title&gt;Nature Materials&lt;/secondary-title&gt;&lt;/titles&gt;&lt;periodical&gt;&lt;full-title&gt;Nature Materials&lt;/full-title&gt;&lt;/periodical&gt;&lt;pages&gt;1175-1181&lt;/pages&gt;&lt;volume&gt;22&lt;/volume&gt;&lt;number&gt;10&lt;/number&gt;&lt;dates&gt;&lt;year&gt;2023&lt;/year&gt;&lt;pub-dates&gt;&lt;date&gt;2023/10/01&lt;/date&gt;&lt;/pub-dates&gt;&lt;/dates&gt;&lt;isbn&gt;1476-4660&lt;/isbn&gt;&lt;urls&gt;&lt;related-urls&gt;&lt;url&gt;https://doi.org/10.1038/s41563-023-01631-z&lt;/url&gt;&lt;/related-urls&gt;&lt;/urls&gt;&lt;electronic-resource-num&gt;10.1038/s41563-023-01631-z&lt;/electronic-resource-num&gt;&lt;/record&gt;&lt;/Cite&gt;&lt;/EndNote&gt;</w:instrText>
            </w:r>
            <w:r>
              <w:rPr>
                <w:rFonts w:ascii="Times New Roman" w:hAnsi="Times New Roman" w:cs="Times New Roman"/>
                <w:sz w:val="22"/>
              </w:rPr>
              <w:fldChar w:fldCharType="separate"/>
            </w:r>
            <w:r>
              <w:rPr>
                <w:rFonts w:ascii="Times New Roman" w:hAnsi="Times New Roman" w:cs="Times New Roman"/>
                <w:sz w:val="22"/>
              </w:rPr>
              <w:t>24</w:t>
            </w:r>
            <w:r>
              <w:rPr>
                <w:rFonts w:ascii="Times New Roman" w:hAnsi="Times New Roman" w:cs="Times New Roman"/>
                <w:sz w:val="22"/>
              </w:rPr>
              <w:fldChar w:fldCharType="end"/>
            </w:r>
          </w:p>
        </w:tc>
      </w:tr>
    </w:tbl>
    <w:p w14:paraId="7ABD78DB">
      <w:pPr>
        <w:widowControl/>
        <w:jc w:val="left"/>
        <w:rPr>
          <w:rFonts w:ascii="Times New Roman" w:hAnsi="Times New Roman" w:eastAsia="宋体"/>
          <w:sz w:val="24"/>
          <w:szCs w:val="24"/>
        </w:rPr>
      </w:pPr>
    </w:p>
    <w:p w14:paraId="1562EB49">
      <w:pPr>
        <w:widowControl/>
        <w:jc w:val="left"/>
        <w:rPr>
          <w:rFonts w:ascii="Times New Roman" w:hAnsi="Times New Roman" w:eastAsia="宋体"/>
          <w:sz w:val="24"/>
          <w:szCs w:val="24"/>
        </w:rPr>
      </w:pPr>
    </w:p>
    <w:p w14:paraId="7664A4F2">
      <w:pPr>
        <w:widowControl/>
        <w:jc w:val="left"/>
        <w:rPr>
          <w:rFonts w:ascii="Times New Roman" w:hAnsi="Times New Roman" w:eastAsia="宋体"/>
          <w:sz w:val="24"/>
          <w:szCs w:val="24"/>
        </w:rPr>
      </w:pPr>
    </w:p>
    <w:p w14:paraId="0297F2FB">
      <w:pPr>
        <w:widowControl/>
        <w:jc w:val="left"/>
        <w:rPr>
          <w:rFonts w:ascii="Times New Roman" w:hAnsi="Times New Roman" w:eastAsia="宋体"/>
          <w:sz w:val="24"/>
          <w:szCs w:val="24"/>
        </w:rPr>
      </w:pPr>
    </w:p>
    <w:p w14:paraId="478F42CD">
      <w:pPr>
        <w:widowControl/>
        <w:jc w:val="left"/>
        <w:rPr>
          <w:rFonts w:ascii="Times New Roman" w:hAnsi="Times New Roman" w:eastAsia="宋体"/>
          <w:sz w:val="24"/>
          <w:szCs w:val="24"/>
        </w:rPr>
      </w:pPr>
    </w:p>
    <w:p w14:paraId="1B36CFCA">
      <w:pPr>
        <w:widowControl/>
        <w:jc w:val="left"/>
        <w:rPr>
          <w:rFonts w:ascii="Times New Roman" w:hAnsi="Times New Roman" w:eastAsia="宋体"/>
          <w:sz w:val="24"/>
          <w:szCs w:val="24"/>
        </w:rPr>
      </w:pPr>
    </w:p>
    <w:p w14:paraId="1E8E7079">
      <w:pPr>
        <w:widowControl/>
        <w:jc w:val="left"/>
        <w:rPr>
          <w:rFonts w:ascii="Times New Roman" w:hAnsi="Times New Roman" w:eastAsia="宋体"/>
          <w:sz w:val="24"/>
          <w:szCs w:val="24"/>
        </w:rPr>
      </w:pPr>
    </w:p>
    <w:p w14:paraId="5DBEB109">
      <w:pPr>
        <w:widowControl/>
        <w:jc w:val="left"/>
        <w:rPr>
          <w:rFonts w:ascii="Times New Roman" w:hAnsi="Times New Roman" w:eastAsia="宋体"/>
          <w:sz w:val="24"/>
          <w:szCs w:val="24"/>
        </w:rPr>
      </w:pPr>
    </w:p>
    <w:p w14:paraId="693B0D37">
      <w:pPr>
        <w:widowControl/>
        <w:jc w:val="left"/>
        <w:rPr>
          <w:rFonts w:ascii="Times New Roman" w:hAnsi="Times New Roman" w:eastAsia="宋体"/>
          <w:sz w:val="24"/>
          <w:szCs w:val="24"/>
        </w:rPr>
      </w:pPr>
    </w:p>
    <w:p w14:paraId="3BFE8246">
      <w:pPr>
        <w:widowControl/>
        <w:jc w:val="left"/>
        <w:rPr>
          <w:rFonts w:ascii="Times New Roman" w:hAnsi="Times New Roman" w:eastAsia="宋体"/>
          <w:sz w:val="24"/>
          <w:szCs w:val="24"/>
        </w:rPr>
      </w:pPr>
    </w:p>
    <w:p w14:paraId="6EE8F0AA">
      <w:pPr>
        <w:pStyle w:val="29"/>
        <w:numPr>
          <w:ilvl w:val="0"/>
          <w:numId w:val="3"/>
        </w:numPr>
      </w:pPr>
      <w:bookmarkStart w:id="71" w:name="OLE_LINK36"/>
      <w:r>
        <w:t>Applicability chair-boat-transition</w:t>
      </w:r>
      <w:r>
        <w:rPr>
          <w:rFonts w:hint="eastAsia"/>
        </w:rPr>
        <w:t>-</w:t>
      </w:r>
      <w:r>
        <w:t>mediated super</w:t>
      </w:r>
      <w:r>
        <w:rPr>
          <w:rFonts w:hint="eastAsia"/>
        </w:rPr>
        <w:t>p</w:t>
      </w:r>
      <w:r>
        <w:t>lasticity to other materials</w:t>
      </w:r>
    </w:p>
    <w:bookmarkEnd w:id="71"/>
    <w:p w14:paraId="7082BF4F">
      <w:pPr>
        <w:spacing w:line="360" w:lineRule="auto"/>
        <w:rPr>
          <w:rFonts w:ascii="Times New Roman" w:hAnsi="Times New Roman" w:cs="Times New Roman"/>
          <w:bCs/>
          <w:sz w:val="24"/>
          <w:szCs w:val="24"/>
        </w:rPr>
      </w:pPr>
      <w:r>
        <w:rPr>
          <w:rFonts w:ascii="Times New Roman" w:hAnsi="Times New Roman" w:cs="Times New Roman"/>
          <w:bCs/>
          <w:sz w:val="24"/>
          <w:szCs w:val="24"/>
        </w:rPr>
        <w:t xml:space="preserve">To explore the applicability of the chair–boat structural transition in materials with similar structures, we conducted in situ compression on GeS nanopillars. The samples were compressed along the </w:t>
      </w:r>
      <w:r>
        <w:rPr>
          <w:rFonts w:hint="eastAsia" w:ascii="Times New Roman" w:hAnsi="Times New Roman" w:cs="Times New Roman"/>
          <w:bCs/>
          <w:sz w:val="24"/>
          <w:szCs w:val="24"/>
        </w:rPr>
        <w:t>[001]</w:t>
      </w:r>
      <w:r>
        <w:rPr>
          <w:rFonts w:ascii="Times New Roman" w:hAnsi="Times New Roman" w:cs="Times New Roman"/>
          <w:bCs/>
          <w:sz w:val="24"/>
          <w:szCs w:val="24"/>
        </w:rPr>
        <w:t xml:space="preserve"> direction under TEM, where clear chair–boat transformation domains were observed, as shown in Supplementary Fig. </w:t>
      </w:r>
      <w:r>
        <w:rPr>
          <w:rFonts w:hint="eastAsia" w:ascii="Times New Roman" w:hAnsi="Times New Roman" w:cs="Times New Roman"/>
          <w:bCs/>
          <w:sz w:val="24"/>
          <w:szCs w:val="24"/>
        </w:rPr>
        <w:t>23</w:t>
      </w:r>
      <w:r>
        <w:rPr>
          <w:rFonts w:ascii="Times New Roman" w:hAnsi="Times New Roman" w:cs="Times New Roman"/>
          <w:bCs/>
          <w:sz w:val="24"/>
          <w:szCs w:val="24"/>
        </w:rPr>
        <w:t>a. Following the in</w:t>
      </w:r>
      <w:r>
        <w:rPr>
          <w:rFonts w:hint="eastAsia" w:ascii="Times New Roman" w:hAnsi="Times New Roman" w:cs="Times New Roman"/>
          <w:bCs/>
          <w:sz w:val="24"/>
          <w:szCs w:val="24"/>
        </w:rPr>
        <w:t>-</w:t>
      </w:r>
      <w:r>
        <w:rPr>
          <w:rFonts w:ascii="Times New Roman" w:hAnsi="Times New Roman" w:cs="Times New Roman"/>
          <w:bCs/>
          <w:sz w:val="24"/>
          <w:szCs w:val="24"/>
        </w:rPr>
        <w:t xml:space="preserve">situ loading, we performed HAADF-STEM imaging (Supplementary Fig. </w:t>
      </w:r>
      <w:r>
        <w:rPr>
          <w:rFonts w:hint="eastAsia" w:ascii="Times New Roman" w:hAnsi="Times New Roman" w:cs="Times New Roman"/>
          <w:bCs/>
          <w:sz w:val="24"/>
          <w:szCs w:val="24"/>
        </w:rPr>
        <w:t>23</w:t>
      </w:r>
      <w:r>
        <w:rPr>
          <w:rFonts w:ascii="Times New Roman" w:hAnsi="Times New Roman" w:cs="Times New Roman"/>
          <w:bCs/>
          <w:sz w:val="24"/>
          <w:szCs w:val="24"/>
        </w:rPr>
        <w:t xml:space="preserve">b) to examine the structural evolution. Additionally, energy-dispersive X-ray spectroscopy (EDS) was used to analyze the elemental composition of the compressed GeS nanopillar (Supplementary Fig. </w:t>
      </w:r>
      <w:r>
        <w:rPr>
          <w:rFonts w:hint="eastAsia" w:ascii="Times New Roman" w:hAnsi="Times New Roman" w:cs="Times New Roman"/>
          <w:bCs/>
          <w:sz w:val="24"/>
          <w:szCs w:val="24"/>
        </w:rPr>
        <w:t>23</w:t>
      </w:r>
      <w:r>
        <w:rPr>
          <w:rFonts w:ascii="Times New Roman" w:hAnsi="Times New Roman" w:cs="Times New Roman"/>
          <w:bCs/>
          <w:sz w:val="24"/>
          <w:szCs w:val="24"/>
        </w:rPr>
        <w:t xml:space="preserve">c), and EDS elemental maps for Ge (Supplementary Fig. </w:t>
      </w:r>
      <w:r>
        <w:rPr>
          <w:rFonts w:hint="eastAsia" w:ascii="Times New Roman" w:hAnsi="Times New Roman" w:cs="Times New Roman"/>
          <w:bCs/>
          <w:sz w:val="24"/>
          <w:szCs w:val="24"/>
        </w:rPr>
        <w:t>23</w:t>
      </w:r>
      <w:r>
        <w:rPr>
          <w:rFonts w:ascii="Times New Roman" w:hAnsi="Times New Roman" w:cs="Times New Roman"/>
          <w:bCs/>
          <w:sz w:val="24"/>
          <w:szCs w:val="24"/>
        </w:rPr>
        <w:t xml:space="preserve">d) and S (Supplementary Fig. </w:t>
      </w:r>
      <w:r>
        <w:rPr>
          <w:rFonts w:hint="eastAsia" w:ascii="Times New Roman" w:hAnsi="Times New Roman" w:cs="Times New Roman"/>
          <w:bCs/>
          <w:sz w:val="24"/>
          <w:szCs w:val="24"/>
        </w:rPr>
        <w:t>23</w:t>
      </w:r>
      <w:r>
        <w:rPr>
          <w:rFonts w:ascii="Times New Roman" w:hAnsi="Times New Roman" w:cs="Times New Roman"/>
          <w:bCs/>
          <w:sz w:val="24"/>
          <w:szCs w:val="24"/>
        </w:rPr>
        <w:t>e) were obtained, revealing the distribution of these elements throughout the nanopillar.</w:t>
      </w:r>
    </w:p>
    <w:p w14:paraId="2854AFDE">
      <w:pPr>
        <w:widowControl/>
        <w:jc w:val="left"/>
        <w:rPr>
          <w:rFonts w:ascii="Times New Roman" w:hAnsi="Times New Roman" w:cs="Times New Roman"/>
          <w:bCs/>
          <w:sz w:val="24"/>
          <w:szCs w:val="24"/>
        </w:rPr>
      </w:pPr>
      <w:r>
        <w:rPr>
          <w:rFonts w:ascii="Times New Roman" w:hAnsi="Times New Roman" w:cs="Times New Roman"/>
          <w:bCs/>
          <w:sz w:val="24"/>
          <w:szCs w:val="24"/>
        </w:rPr>
        <w:br w:type="page"/>
      </w:r>
    </w:p>
    <w:p w14:paraId="353DE8E0">
      <w:pPr>
        <w:tabs>
          <w:tab w:val="left" w:pos="2705"/>
        </w:tabs>
        <w:spacing w:after="156" w:afterLines="50" w:line="360" w:lineRule="auto"/>
        <w:jc w:val="center"/>
        <w:rPr>
          <w:rFonts w:ascii="Times New Roman" w:hAnsi="Times New Roman" w:eastAsia="等线" w:cs="Times New Roman"/>
          <w:sz w:val="24"/>
          <w:szCs w:val="24"/>
        </w:rPr>
      </w:pPr>
      <w:r>
        <w:rPr>
          <w:rFonts w:ascii="Times New Roman" w:hAnsi="Times New Roman" w:eastAsia="等线" w:cs="Times New Roman"/>
          <w:sz w:val="24"/>
          <w:szCs w:val="24"/>
        </w:rPr>
        <w:drawing>
          <wp:inline distT="0" distB="0" distL="0" distR="0">
            <wp:extent cx="5461000" cy="3070225"/>
            <wp:effectExtent l="0" t="0" r="6350" b="0"/>
            <wp:docPr id="7540947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094786" name="图片 1"/>
                    <pic:cNvPicPr>
                      <a:picLocks noChangeAspect="1"/>
                    </pic:cNvPicPr>
                  </pic:nvPicPr>
                  <pic:blipFill>
                    <a:blip r:embed="rId28"/>
                    <a:stretch>
                      <a:fillRect/>
                    </a:stretch>
                  </pic:blipFill>
                  <pic:spPr>
                    <a:xfrm>
                      <a:off x="0" y="0"/>
                      <a:ext cx="5473959" cy="3077813"/>
                    </a:xfrm>
                    <a:prstGeom prst="rect">
                      <a:avLst/>
                    </a:prstGeom>
                  </pic:spPr>
                </pic:pic>
              </a:graphicData>
            </a:graphic>
          </wp:inline>
        </w:drawing>
      </w:r>
    </w:p>
    <w:p w14:paraId="318BA85F">
      <w:pPr>
        <w:tabs>
          <w:tab w:val="left" w:pos="2705"/>
        </w:tabs>
        <w:spacing w:after="156" w:afterLines="50" w:line="360" w:lineRule="auto"/>
        <w:rPr>
          <w:rFonts w:ascii="Times New Roman" w:hAnsi="Times New Roman" w:eastAsia="等线" w:cs="Times New Roman"/>
          <w:sz w:val="24"/>
          <w:szCs w:val="24"/>
        </w:rPr>
      </w:pPr>
      <w:bookmarkStart w:id="72" w:name="OLE_LINK65"/>
      <w:r>
        <w:rPr>
          <w:rFonts w:ascii="Times New Roman" w:hAnsi="Times New Roman" w:eastAsia="等线" w:cs="Times New Roman"/>
          <w:b/>
          <w:bCs/>
          <w:sz w:val="24"/>
          <w:szCs w:val="24"/>
        </w:rPr>
        <w:t xml:space="preserve">Supplementary Figure </w:t>
      </w:r>
      <w:r>
        <w:rPr>
          <w:rFonts w:hint="eastAsia" w:ascii="Times New Roman" w:hAnsi="Times New Roman" w:eastAsia="等线" w:cs="Times New Roman"/>
          <w:b/>
          <w:bCs/>
          <w:sz w:val="24"/>
          <w:szCs w:val="24"/>
        </w:rPr>
        <w:t>23</w:t>
      </w:r>
      <w:r>
        <w:rPr>
          <w:rFonts w:ascii="Times New Roman" w:hAnsi="Times New Roman" w:eastAsia="等线" w:cs="Times New Roman"/>
          <w:b/>
          <w:bCs/>
          <w:sz w:val="24"/>
          <w:szCs w:val="24"/>
        </w:rPr>
        <w:t>.</w:t>
      </w:r>
      <w:bookmarkEnd w:id="72"/>
      <w:r>
        <w:rPr>
          <w:rFonts w:ascii="Times New Roman" w:hAnsi="Times New Roman" w:eastAsia="等线" w:cs="Times New Roman"/>
          <w:b/>
          <w:bCs/>
          <w:sz w:val="24"/>
          <w:szCs w:val="24"/>
        </w:rPr>
        <w:t xml:space="preserve"> Post-compression structural and compositional characterization of a GeS nanopillar. a</w:t>
      </w:r>
      <w:r>
        <w:rPr>
          <w:rFonts w:hint="eastAsia" w:ascii="Times New Roman" w:hAnsi="Times New Roman" w:eastAsia="等线" w:cs="Times New Roman"/>
          <w:sz w:val="24"/>
          <w:szCs w:val="24"/>
        </w:rPr>
        <w:t>,</w:t>
      </w:r>
      <w:r>
        <w:rPr>
          <w:rFonts w:ascii="Times New Roman" w:hAnsi="Times New Roman" w:eastAsia="等线" w:cs="Times New Roman"/>
          <w:sz w:val="24"/>
          <w:szCs w:val="24"/>
        </w:rPr>
        <w:t xml:space="preserve"> TEM image of a GeS nanopillar after in</w:t>
      </w:r>
      <w:r>
        <w:rPr>
          <w:rFonts w:hint="eastAsia" w:ascii="Times New Roman" w:hAnsi="Times New Roman" w:eastAsia="等线" w:cs="Times New Roman"/>
          <w:sz w:val="24"/>
          <w:szCs w:val="24"/>
        </w:rPr>
        <w:t>-</w:t>
      </w:r>
      <w:r>
        <w:rPr>
          <w:rFonts w:ascii="Times New Roman" w:hAnsi="Times New Roman" w:eastAsia="等线" w:cs="Times New Roman"/>
          <w:sz w:val="24"/>
          <w:szCs w:val="24"/>
        </w:rPr>
        <w:t>situ compression, where the black arrow marks the β-phase transformed region (boat-type configuration).</w:t>
      </w:r>
      <w:r>
        <w:rPr>
          <w:rFonts w:hint="eastAsia" w:ascii="Times New Roman" w:hAnsi="Times New Roman" w:eastAsia="等线" w:cs="Times New Roman"/>
          <w:sz w:val="24"/>
          <w:szCs w:val="24"/>
        </w:rPr>
        <w:t xml:space="preserve"> </w:t>
      </w:r>
      <w:r>
        <w:rPr>
          <w:rFonts w:ascii="Times New Roman" w:hAnsi="Times New Roman" w:eastAsia="等线" w:cs="Times New Roman"/>
          <w:b/>
          <w:bCs/>
          <w:sz w:val="24"/>
          <w:szCs w:val="24"/>
        </w:rPr>
        <w:t>b</w:t>
      </w:r>
      <w:r>
        <w:rPr>
          <w:rFonts w:hint="eastAsia" w:ascii="Times New Roman" w:hAnsi="Times New Roman" w:eastAsia="等线" w:cs="Times New Roman"/>
          <w:sz w:val="24"/>
          <w:szCs w:val="24"/>
        </w:rPr>
        <w:t>,</w:t>
      </w:r>
      <w:r>
        <w:rPr>
          <w:rFonts w:ascii="Times New Roman" w:hAnsi="Times New Roman" w:eastAsia="等线" w:cs="Times New Roman"/>
          <w:sz w:val="24"/>
          <w:szCs w:val="24"/>
        </w:rPr>
        <w:t xml:space="preserve"> Corresponding STEM image of the same GeS nanopillar after in</w:t>
      </w:r>
      <w:r>
        <w:rPr>
          <w:rFonts w:hint="eastAsia" w:ascii="Times New Roman" w:hAnsi="Times New Roman" w:eastAsia="等线" w:cs="Times New Roman"/>
          <w:sz w:val="24"/>
          <w:szCs w:val="24"/>
        </w:rPr>
        <w:t>-</w:t>
      </w:r>
      <w:r>
        <w:rPr>
          <w:rFonts w:ascii="Times New Roman" w:hAnsi="Times New Roman" w:eastAsia="等线" w:cs="Times New Roman"/>
          <w:sz w:val="24"/>
          <w:szCs w:val="24"/>
        </w:rPr>
        <w:t>situ compression, with the β-phase (boat region) indicated by the black arrow.</w:t>
      </w:r>
      <w:r>
        <w:rPr>
          <w:rFonts w:hint="eastAsia" w:ascii="Times New Roman" w:hAnsi="Times New Roman" w:eastAsia="等线" w:cs="Times New Roman"/>
          <w:sz w:val="24"/>
          <w:szCs w:val="24"/>
        </w:rPr>
        <w:t xml:space="preserve"> </w:t>
      </w:r>
      <w:r>
        <w:rPr>
          <w:rFonts w:ascii="Times New Roman" w:hAnsi="Times New Roman" w:eastAsia="等线" w:cs="Times New Roman"/>
          <w:b/>
          <w:bCs/>
          <w:sz w:val="24"/>
          <w:szCs w:val="24"/>
        </w:rPr>
        <w:t>c</w:t>
      </w:r>
      <w:r>
        <w:rPr>
          <w:rFonts w:hint="eastAsia" w:ascii="Times New Roman" w:hAnsi="Times New Roman" w:eastAsia="等线" w:cs="Times New Roman"/>
          <w:sz w:val="24"/>
          <w:szCs w:val="24"/>
        </w:rPr>
        <w:t>,</w:t>
      </w:r>
      <w:r>
        <w:rPr>
          <w:rFonts w:ascii="Times New Roman" w:hAnsi="Times New Roman" w:eastAsia="等线" w:cs="Times New Roman"/>
          <w:sz w:val="24"/>
          <w:szCs w:val="24"/>
        </w:rPr>
        <w:t xml:space="preserve"> Energy-dispersive X-ray spectroscopy (EDS) spectrum collected from the compressed GeS nanopillar, confirming the presence of Ge and S.</w:t>
      </w:r>
      <w:r>
        <w:rPr>
          <w:rFonts w:hint="eastAsia" w:ascii="Times New Roman" w:hAnsi="Times New Roman" w:eastAsia="等线" w:cs="Times New Roman"/>
          <w:sz w:val="24"/>
          <w:szCs w:val="24"/>
        </w:rPr>
        <w:t xml:space="preserve"> </w:t>
      </w:r>
      <w:r>
        <w:rPr>
          <w:rFonts w:ascii="Times New Roman" w:hAnsi="Times New Roman" w:eastAsia="等线" w:cs="Times New Roman"/>
          <w:b/>
          <w:bCs/>
          <w:sz w:val="24"/>
          <w:szCs w:val="24"/>
        </w:rPr>
        <w:t>d</w:t>
      </w:r>
      <w:r>
        <w:rPr>
          <w:rFonts w:ascii="Times New Roman" w:hAnsi="Times New Roman" w:eastAsia="等线" w:cs="Times New Roman"/>
          <w:sz w:val="24"/>
          <w:szCs w:val="24"/>
        </w:rPr>
        <w:t>,</w:t>
      </w:r>
      <w:r>
        <w:rPr>
          <w:rFonts w:ascii="Times New Roman" w:hAnsi="Times New Roman" w:eastAsia="等线" w:cs="Times New Roman"/>
          <w:b/>
          <w:bCs/>
          <w:sz w:val="24"/>
          <w:szCs w:val="24"/>
        </w:rPr>
        <w:t>e</w:t>
      </w:r>
      <w:r>
        <w:rPr>
          <w:rFonts w:hint="eastAsia" w:ascii="Times New Roman" w:hAnsi="Times New Roman" w:eastAsia="等线" w:cs="Times New Roman"/>
          <w:sz w:val="24"/>
          <w:szCs w:val="24"/>
        </w:rPr>
        <w:t>,</w:t>
      </w:r>
      <w:r>
        <w:rPr>
          <w:rFonts w:ascii="Times New Roman" w:hAnsi="Times New Roman" w:eastAsia="等线" w:cs="Times New Roman"/>
          <w:sz w:val="24"/>
          <w:szCs w:val="24"/>
        </w:rPr>
        <w:t xml:space="preserve"> EDS elemental maps of Ge (d) and S (e), respectively, showing the elemental distribution within the nanopillar.</w:t>
      </w:r>
    </w:p>
    <w:p w14:paraId="3EFCEA31">
      <w:pPr>
        <w:tabs>
          <w:tab w:val="left" w:pos="2705"/>
        </w:tabs>
        <w:spacing w:after="156" w:afterLines="50" w:line="360" w:lineRule="auto"/>
        <w:rPr>
          <w:rFonts w:ascii="Times New Roman" w:hAnsi="Times New Roman" w:eastAsia="等线" w:cs="Times New Roman"/>
          <w:sz w:val="24"/>
          <w:szCs w:val="24"/>
        </w:rPr>
      </w:pPr>
    </w:p>
    <w:p w14:paraId="34B22544">
      <w:pPr>
        <w:tabs>
          <w:tab w:val="left" w:pos="2705"/>
        </w:tabs>
        <w:spacing w:after="156" w:afterLines="50" w:line="360" w:lineRule="auto"/>
        <w:rPr>
          <w:rFonts w:ascii="Times New Roman" w:hAnsi="Times New Roman" w:eastAsia="等线" w:cs="Times New Roman"/>
          <w:sz w:val="24"/>
          <w:szCs w:val="24"/>
        </w:rPr>
      </w:pPr>
    </w:p>
    <w:p w14:paraId="5F4048C0">
      <w:pPr>
        <w:tabs>
          <w:tab w:val="left" w:pos="2705"/>
        </w:tabs>
        <w:spacing w:after="156" w:afterLines="50" w:line="360" w:lineRule="auto"/>
        <w:rPr>
          <w:rFonts w:ascii="Times New Roman" w:hAnsi="Times New Roman" w:eastAsia="等线" w:cs="Times New Roman"/>
          <w:sz w:val="24"/>
          <w:szCs w:val="24"/>
        </w:rPr>
      </w:pPr>
    </w:p>
    <w:p w14:paraId="15B77FB6">
      <w:pPr>
        <w:widowControl/>
        <w:jc w:val="left"/>
        <w:rPr>
          <w:rFonts w:ascii="Times New Roman" w:hAnsi="Times New Roman" w:eastAsia="等线" w:cs="Times New Roman"/>
          <w:sz w:val="24"/>
          <w:szCs w:val="24"/>
        </w:rPr>
      </w:pPr>
      <w:r>
        <w:rPr>
          <w:rFonts w:ascii="Times New Roman" w:hAnsi="Times New Roman" w:eastAsia="等线" w:cs="Times New Roman"/>
          <w:sz w:val="24"/>
          <w:szCs w:val="24"/>
        </w:rPr>
        <w:br w:type="page"/>
      </w:r>
    </w:p>
    <w:p w14:paraId="55C7258B">
      <w:pPr>
        <w:widowControl/>
        <w:jc w:val="left"/>
        <w:rPr>
          <w:rFonts w:ascii="Times New Roman" w:hAnsi="Times New Roman" w:eastAsia="宋体"/>
          <w:color w:val="000000" w:themeColor="text1"/>
          <w:sz w:val="24"/>
          <w:szCs w:val="24"/>
          <w14:textFill>
            <w14:solidFill>
              <w14:schemeClr w14:val="tx1"/>
            </w14:solidFill>
          </w14:textFill>
        </w:rPr>
      </w:pPr>
      <w:r>
        <w:rPr>
          <w:rFonts w:ascii="Times New Roman" w:hAnsi="Times New Roman" w:cs="Times New Roman"/>
          <w:b/>
          <w:color w:val="000000" w:themeColor="text1"/>
          <w:sz w:val="24"/>
          <w:szCs w:val="24"/>
          <w14:textFill>
            <w14:solidFill>
              <w14:schemeClr w14:val="tx1"/>
            </w14:solidFill>
          </w14:textFill>
        </w:rPr>
        <w:t>References</w:t>
      </w:r>
    </w:p>
    <w:p w14:paraId="168864B6">
      <w:pPr>
        <w:rPr>
          <w:rFonts w:hint="eastAsia"/>
          <w:color w:val="000000" w:themeColor="text1"/>
          <w14:textFill>
            <w14:solidFill>
              <w14:schemeClr w14:val="tx1"/>
            </w14:solidFill>
          </w14:textFill>
        </w:rPr>
      </w:pPr>
    </w:p>
    <w:p w14:paraId="49ED51B0">
      <w:pPr>
        <w:pStyle w:val="34"/>
        <w:spacing w:line="360" w:lineRule="auto"/>
        <w:ind w:left="720" w:hanging="72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fldChar w:fldCharType="begin"/>
      </w:r>
      <w:r>
        <w:rPr>
          <w:rFonts w:ascii="Times New Roman" w:hAnsi="Times New Roman" w:cs="Times New Roman"/>
          <w:color w:val="000000" w:themeColor="text1"/>
          <w:sz w:val="24"/>
          <w:szCs w:val="24"/>
          <w14:textFill>
            <w14:solidFill>
              <w14:schemeClr w14:val="tx1"/>
            </w14:solidFill>
          </w14:textFill>
        </w:rPr>
        <w:instrText xml:space="preserve"> ADDIN EN.REFLIST </w:instrText>
      </w:r>
      <w:r>
        <w:rPr>
          <w:rFonts w:ascii="Times New Roman" w:hAnsi="Times New Roman" w:cs="Times New Roman"/>
          <w:color w:val="000000" w:themeColor="text1"/>
          <w:sz w:val="24"/>
          <w:szCs w:val="24"/>
          <w14:textFill>
            <w14:solidFill>
              <w14:schemeClr w14:val="tx1"/>
            </w14:solidFill>
          </w14:textFill>
        </w:rPr>
        <w:fldChar w:fldCharType="separate"/>
      </w:r>
      <w:r>
        <w:rPr>
          <w:rFonts w:ascii="Times New Roman" w:hAnsi="Times New Roman" w:cs="Times New Roman"/>
          <w:color w:val="000000" w:themeColor="text1"/>
          <w:sz w:val="24"/>
          <w:szCs w:val="24"/>
          <w14:textFill>
            <w14:solidFill>
              <w14:schemeClr w14:val="tx1"/>
            </w14:solidFill>
          </w14:textFill>
        </w:rPr>
        <w:t>1</w:t>
      </w:r>
      <w:r>
        <w:rPr>
          <w:rFonts w:ascii="Times New Roman" w:hAnsi="Times New Roman" w:cs="Times New Roman"/>
          <w:color w:val="000000" w:themeColor="text1"/>
          <w:sz w:val="24"/>
          <w:szCs w:val="24"/>
          <w14:textFill>
            <w14:solidFill>
              <w14:schemeClr w14:val="tx1"/>
            </w14:solidFill>
          </w14:textFill>
        </w:rPr>
        <w:tab/>
      </w:r>
      <w:r>
        <w:rPr>
          <w:rFonts w:ascii="Times New Roman" w:hAnsi="Times New Roman" w:cs="Times New Roman"/>
          <w:color w:val="000000" w:themeColor="text1"/>
          <w:sz w:val="24"/>
          <w:szCs w:val="24"/>
          <w14:textFill>
            <w14:solidFill>
              <w14:schemeClr w14:val="tx1"/>
            </w14:solidFill>
          </w14:textFill>
        </w:rPr>
        <w:t>Kong, X.</w:t>
      </w:r>
      <w:r>
        <w:rPr>
          <w:rFonts w:ascii="Times New Roman" w:hAnsi="Times New Roman" w:cs="Times New Roman"/>
          <w:i/>
          <w:color w:val="000000" w:themeColor="text1"/>
          <w:sz w:val="24"/>
          <w:szCs w:val="24"/>
          <w14:textFill>
            <w14:solidFill>
              <w14:schemeClr w14:val="tx1"/>
            </w14:solidFill>
          </w14:textFill>
        </w:rPr>
        <w:t xml:space="preserve"> et al.</w:t>
      </w:r>
      <w:r>
        <w:rPr>
          <w:rFonts w:ascii="Times New Roman" w:hAnsi="Times New Roman" w:cs="Times New Roman"/>
          <w:color w:val="000000" w:themeColor="text1"/>
          <w:sz w:val="24"/>
          <w:szCs w:val="24"/>
          <w14:textFill>
            <w14:solidFill>
              <w14:schemeClr w14:val="tx1"/>
            </w14:solidFill>
          </w14:textFill>
        </w:rPr>
        <w:t xml:space="preserve"> Tunable auxetic properties in group-IV monochalcogenide monolayers. </w:t>
      </w:r>
      <w:r>
        <w:rPr>
          <w:rFonts w:ascii="Times New Roman" w:hAnsi="Times New Roman" w:cs="Times New Roman"/>
          <w:i/>
          <w:color w:val="000000" w:themeColor="text1"/>
          <w:sz w:val="24"/>
          <w:szCs w:val="24"/>
          <w14:textFill>
            <w14:solidFill>
              <w14:schemeClr w14:val="tx1"/>
            </w14:solidFill>
          </w14:textFill>
        </w:rPr>
        <w:t>Physical Review B</w:t>
      </w:r>
      <w:r>
        <w:rPr>
          <w:rFonts w:ascii="Times New Roman" w:hAnsi="Times New Roman" w:cs="Times New Roman"/>
          <w:color w:val="000000" w:themeColor="text1"/>
          <w:sz w:val="24"/>
          <w:szCs w:val="24"/>
          <w14:textFill>
            <w14:solidFill>
              <w14:schemeClr w14:val="tx1"/>
            </w14:solidFill>
          </w14:textFill>
        </w:rPr>
        <w:t xml:space="preserve"> </w:t>
      </w:r>
      <w:r>
        <w:rPr>
          <w:rFonts w:ascii="Times New Roman" w:hAnsi="Times New Roman" w:cs="Times New Roman"/>
          <w:b/>
          <w:color w:val="000000" w:themeColor="text1"/>
          <w:sz w:val="24"/>
          <w:szCs w:val="24"/>
          <w14:textFill>
            <w14:solidFill>
              <w14:schemeClr w14:val="tx1"/>
            </w14:solidFill>
          </w14:textFill>
        </w:rPr>
        <w:t>98</w:t>
      </w:r>
      <w:r>
        <w:rPr>
          <w:rFonts w:ascii="Times New Roman" w:hAnsi="Times New Roman" w:cs="Times New Roman"/>
          <w:color w:val="000000" w:themeColor="text1"/>
          <w:sz w:val="24"/>
          <w:szCs w:val="24"/>
          <w14:textFill>
            <w14:solidFill>
              <w14:schemeClr w14:val="tx1"/>
            </w14:solidFill>
          </w14:textFill>
        </w:rPr>
        <w:t>, 184104, doi:10.1103/PhysRevB.98.184104 (2018).</w:t>
      </w:r>
    </w:p>
    <w:p w14:paraId="475FFF0F">
      <w:pPr>
        <w:pStyle w:val="34"/>
        <w:spacing w:line="360" w:lineRule="auto"/>
        <w:ind w:left="720" w:hanging="72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2</w:t>
      </w:r>
      <w:r>
        <w:rPr>
          <w:rFonts w:ascii="Times New Roman" w:hAnsi="Times New Roman" w:cs="Times New Roman"/>
          <w:color w:val="000000" w:themeColor="text1"/>
          <w:sz w:val="24"/>
          <w:szCs w:val="24"/>
          <w14:textFill>
            <w14:solidFill>
              <w14:schemeClr w14:val="tx1"/>
            </w14:solidFill>
          </w14:textFill>
        </w:rPr>
        <w:tab/>
      </w:r>
      <w:r>
        <w:rPr>
          <w:rFonts w:ascii="Times New Roman" w:hAnsi="Times New Roman" w:cs="Times New Roman"/>
          <w:color w:val="000000" w:themeColor="text1"/>
          <w:sz w:val="24"/>
          <w:szCs w:val="24"/>
          <w14:textFill>
            <w14:solidFill>
              <w14:schemeClr w14:val="tx1"/>
            </w14:solidFill>
          </w14:textFill>
        </w:rPr>
        <w:t xml:space="preserve">Mouhat, F. &amp; Coudert, F.-X. Necessary and sufficient elastic stability conditions in various crystal systems. </w:t>
      </w:r>
      <w:r>
        <w:rPr>
          <w:rFonts w:ascii="Times New Roman" w:hAnsi="Times New Roman" w:cs="Times New Roman"/>
          <w:i/>
          <w:color w:val="000000" w:themeColor="text1"/>
          <w:sz w:val="24"/>
          <w:szCs w:val="24"/>
          <w14:textFill>
            <w14:solidFill>
              <w14:schemeClr w14:val="tx1"/>
            </w14:solidFill>
          </w14:textFill>
        </w:rPr>
        <w:t>Physical Review B</w:t>
      </w:r>
      <w:r>
        <w:rPr>
          <w:rFonts w:ascii="Times New Roman" w:hAnsi="Times New Roman" w:cs="Times New Roman"/>
          <w:color w:val="000000" w:themeColor="text1"/>
          <w:sz w:val="24"/>
          <w:szCs w:val="24"/>
          <w14:textFill>
            <w14:solidFill>
              <w14:schemeClr w14:val="tx1"/>
            </w14:solidFill>
          </w14:textFill>
        </w:rPr>
        <w:t xml:space="preserve"> </w:t>
      </w:r>
      <w:r>
        <w:rPr>
          <w:rFonts w:ascii="Times New Roman" w:hAnsi="Times New Roman" w:cs="Times New Roman"/>
          <w:b/>
          <w:color w:val="000000" w:themeColor="text1"/>
          <w:sz w:val="24"/>
          <w:szCs w:val="24"/>
          <w14:textFill>
            <w14:solidFill>
              <w14:schemeClr w14:val="tx1"/>
            </w14:solidFill>
          </w14:textFill>
        </w:rPr>
        <w:t>90</w:t>
      </w:r>
      <w:r>
        <w:rPr>
          <w:rFonts w:ascii="Times New Roman" w:hAnsi="Times New Roman" w:cs="Times New Roman"/>
          <w:color w:val="000000" w:themeColor="text1"/>
          <w:sz w:val="24"/>
          <w:szCs w:val="24"/>
          <w14:textFill>
            <w14:solidFill>
              <w14:schemeClr w14:val="tx1"/>
            </w14:solidFill>
          </w14:textFill>
        </w:rPr>
        <w:t>, 224104, doi:10.1103/PhysRevB.90.224104 (2014).</w:t>
      </w:r>
    </w:p>
    <w:p w14:paraId="57C3F65D">
      <w:pPr>
        <w:pStyle w:val="34"/>
        <w:spacing w:line="360" w:lineRule="auto"/>
        <w:ind w:left="720" w:hanging="72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3</w:t>
      </w:r>
      <w:r>
        <w:rPr>
          <w:rFonts w:ascii="Times New Roman" w:hAnsi="Times New Roman" w:cs="Times New Roman"/>
          <w:color w:val="000000" w:themeColor="text1"/>
          <w:sz w:val="24"/>
          <w:szCs w:val="24"/>
          <w14:textFill>
            <w14:solidFill>
              <w14:schemeClr w14:val="tx1"/>
            </w14:solidFill>
          </w14:textFill>
        </w:rPr>
        <w:tab/>
      </w:r>
      <w:r>
        <w:rPr>
          <w:rFonts w:ascii="Times New Roman" w:hAnsi="Times New Roman" w:cs="Times New Roman"/>
          <w:color w:val="000000" w:themeColor="text1"/>
          <w:sz w:val="24"/>
          <w:szCs w:val="24"/>
          <w14:textFill>
            <w14:solidFill>
              <w14:schemeClr w14:val="tx1"/>
            </w14:solidFill>
          </w14:textFill>
        </w:rPr>
        <w:t xml:space="preserve">Togo, A. &amp; Tanaka, I. First principles phonon calculations in materials science. </w:t>
      </w:r>
      <w:r>
        <w:rPr>
          <w:rFonts w:ascii="Times New Roman" w:hAnsi="Times New Roman" w:cs="Times New Roman"/>
          <w:i/>
          <w:color w:val="000000" w:themeColor="text1"/>
          <w:sz w:val="24"/>
          <w:szCs w:val="24"/>
          <w14:textFill>
            <w14:solidFill>
              <w14:schemeClr w14:val="tx1"/>
            </w14:solidFill>
          </w14:textFill>
        </w:rPr>
        <w:t>Scripta Materialia</w:t>
      </w:r>
      <w:r>
        <w:rPr>
          <w:rFonts w:ascii="Times New Roman" w:hAnsi="Times New Roman" w:cs="Times New Roman"/>
          <w:color w:val="000000" w:themeColor="text1"/>
          <w:sz w:val="24"/>
          <w:szCs w:val="24"/>
          <w14:textFill>
            <w14:solidFill>
              <w14:schemeClr w14:val="tx1"/>
            </w14:solidFill>
          </w14:textFill>
        </w:rPr>
        <w:t xml:space="preserve"> </w:t>
      </w:r>
      <w:r>
        <w:rPr>
          <w:rFonts w:ascii="Times New Roman" w:hAnsi="Times New Roman" w:cs="Times New Roman"/>
          <w:b/>
          <w:color w:val="000000" w:themeColor="text1"/>
          <w:sz w:val="24"/>
          <w:szCs w:val="24"/>
          <w14:textFill>
            <w14:solidFill>
              <w14:schemeClr w14:val="tx1"/>
            </w14:solidFill>
          </w14:textFill>
        </w:rPr>
        <w:t>108</w:t>
      </w:r>
      <w:r>
        <w:rPr>
          <w:rFonts w:ascii="Times New Roman" w:hAnsi="Times New Roman" w:cs="Times New Roman"/>
          <w:color w:val="000000" w:themeColor="text1"/>
          <w:sz w:val="24"/>
          <w:szCs w:val="24"/>
          <w14:textFill>
            <w14:solidFill>
              <w14:schemeClr w14:val="tx1"/>
            </w14:solidFill>
          </w14:textFill>
        </w:rPr>
        <w:t>, 1-5, doi:</w:t>
      </w:r>
      <w:r>
        <w:fldChar w:fldCharType="begin"/>
      </w:r>
      <w:r>
        <w:instrText xml:space="preserve"> HYPERLINK "https://doi.org/10.1016/j.scriptamat.2015.07.021" </w:instrText>
      </w:r>
      <w:r>
        <w:fldChar w:fldCharType="separate"/>
      </w:r>
      <w:r>
        <w:rPr>
          <w:rStyle w:val="19"/>
          <w:rFonts w:ascii="Times New Roman" w:hAnsi="Times New Roman" w:cs="Times New Roman"/>
          <w:color w:val="000000" w:themeColor="text1"/>
          <w:sz w:val="24"/>
          <w:szCs w:val="24"/>
          <w:u w:val="none"/>
          <w14:textFill>
            <w14:solidFill>
              <w14:schemeClr w14:val="tx1"/>
            </w14:solidFill>
          </w14:textFill>
        </w:rPr>
        <w:t>https://doi.org/10.1016/j.scriptamat.2015.07.021</w:t>
      </w:r>
      <w:r>
        <w:rPr>
          <w:rStyle w:val="19"/>
          <w:rFonts w:ascii="Times New Roman" w:hAnsi="Times New Roman" w:cs="Times New Roman"/>
          <w:color w:val="000000" w:themeColor="text1"/>
          <w:sz w:val="24"/>
          <w:szCs w:val="24"/>
          <w:u w:val="none"/>
          <w14:textFill>
            <w14:solidFill>
              <w14:schemeClr w14:val="tx1"/>
            </w14:solidFill>
          </w14:textFill>
        </w:rPr>
        <w:fldChar w:fldCharType="end"/>
      </w:r>
      <w:r>
        <w:rPr>
          <w:rFonts w:ascii="Times New Roman" w:hAnsi="Times New Roman" w:cs="Times New Roman"/>
          <w:color w:val="000000" w:themeColor="text1"/>
          <w:sz w:val="24"/>
          <w:szCs w:val="24"/>
          <w14:textFill>
            <w14:solidFill>
              <w14:schemeClr w14:val="tx1"/>
            </w14:solidFill>
          </w14:textFill>
        </w:rPr>
        <w:t xml:space="preserve"> (2015).</w:t>
      </w:r>
    </w:p>
    <w:p w14:paraId="116C05F3">
      <w:pPr>
        <w:pStyle w:val="34"/>
        <w:spacing w:line="360" w:lineRule="auto"/>
        <w:ind w:left="720" w:hanging="72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4</w:t>
      </w:r>
      <w:r>
        <w:rPr>
          <w:rFonts w:ascii="Times New Roman" w:hAnsi="Times New Roman" w:cs="Times New Roman"/>
          <w:color w:val="000000" w:themeColor="text1"/>
          <w:sz w:val="24"/>
          <w:szCs w:val="24"/>
          <w14:textFill>
            <w14:solidFill>
              <w14:schemeClr w14:val="tx1"/>
            </w14:solidFill>
          </w14:textFill>
        </w:rPr>
        <w:tab/>
      </w:r>
      <w:r>
        <w:rPr>
          <w:rFonts w:ascii="Times New Roman" w:hAnsi="Times New Roman" w:cs="Times New Roman"/>
          <w:color w:val="000000" w:themeColor="text1"/>
          <w:sz w:val="24"/>
          <w:szCs w:val="24"/>
          <w14:textFill>
            <w14:solidFill>
              <w14:schemeClr w14:val="tx1"/>
            </w14:solidFill>
          </w14:textFill>
        </w:rPr>
        <w:t xml:space="preserve">Stukowski, A. Visualization and analysis of atomistic simulation data with OVITO–the Open Visualization Tool. </w:t>
      </w:r>
      <w:r>
        <w:rPr>
          <w:rFonts w:ascii="Times New Roman" w:hAnsi="Times New Roman" w:cs="Times New Roman"/>
          <w:i/>
          <w:color w:val="000000" w:themeColor="text1"/>
          <w:sz w:val="24"/>
          <w:szCs w:val="24"/>
          <w14:textFill>
            <w14:solidFill>
              <w14:schemeClr w14:val="tx1"/>
            </w14:solidFill>
          </w14:textFill>
        </w:rPr>
        <w:t>Modelling and Simulation in Materials Science and Engineering</w:t>
      </w:r>
      <w:r>
        <w:rPr>
          <w:rFonts w:ascii="Times New Roman" w:hAnsi="Times New Roman" w:cs="Times New Roman"/>
          <w:color w:val="000000" w:themeColor="text1"/>
          <w:sz w:val="24"/>
          <w:szCs w:val="24"/>
          <w14:textFill>
            <w14:solidFill>
              <w14:schemeClr w14:val="tx1"/>
            </w14:solidFill>
          </w14:textFill>
        </w:rPr>
        <w:t xml:space="preserve"> </w:t>
      </w:r>
      <w:r>
        <w:rPr>
          <w:rFonts w:ascii="Times New Roman" w:hAnsi="Times New Roman" w:cs="Times New Roman"/>
          <w:b/>
          <w:color w:val="000000" w:themeColor="text1"/>
          <w:sz w:val="24"/>
          <w:szCs w:val="24"/>
          <w14:textFill>
            <w14:solidFill>
              <w14:schemeClr w14:val="tx1"/>
            </w14:solidFill>
          </w14:textFill>
        </w:rPr>
        <w:t>18</w:t>
      </w:r>
      <w:r>
        <w:rPr>
          <w:rFonts w:ascii="Times New Roman" w:hAnsi="Times New Roman" w:cs="Times New Roman"/>
          <w:color w:val="000000" w:themeColor="text1"/>
          <w:sz w:val="24"/>
          <w:szCs w:val="24"/>
          <w14:textFill>
            <w14:solidFill>
              <w14:schemeClr w14:val="tx1"/>
            </w14:solidFill>
          </w14:textFill>
        </w:rPr>
        <w:t>, 015012, doi:10.1088/0965-0393/18/1/015012 (2010).</w:t>
      </w:r>
    </w:p>
    <w:p w14:paraId="28A700A1">
      <w:pPr>
        <w:pStyle w:val="34"/>
        <w:spacing w:line="360" w:lineRule="auto"/>
        <w:ind w:left="720" w:hanging="72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5</w:t>
      </w:r>
      <w:r>
        <w:rPr>
          <w:rFonts w:ascii="Times New Roman" w:hAnsi="Times New Roman" w:cs="Times New Roman"/>
          <w:color w:val="000000" w:themeColor="text1"/>
          <w:sz w:val="24"/>
          <w:szCs w:val="24"/>
          <w14:textFill>
            <w14:solidFill>
              <w14:schemeClr w14:val="tx1"/>
            </w14:solidFill>
          </w14:textFill>
        </w:rPr>
        <w:tab/>
      </w:r>
      <w:r>
        <w:rPr>
          <w:rFonts w:ascii="Times New Roman" w:hAnsi="Times New Roman" w:cs="Times New Roman"/>
          <w:color w:val="000000" w:themeColor="text1"/>
          <w:sz w:val="24"/>
          <w:szCs w:val="24"/>
          <w14:textFill>
            <w14:solidFill>
              <w14:schemeClr w14:val="tx1"/>
            </w14:solidFill>
          </w14:textFill>
        </w:rPr>
        <w:t xml:space="preserve">Yin, J., Cai, H., Cheng, X. &amp; Zhang, X. Al-based bulk metallic glass with large plasticity and ultrahigh strength. </w:t>
      </w:r>
      <w:r>
        <w:rPr>
          <w:rFonts w:ascii="Times New Roman" w:hAnsi="Times New Roman" w:cs="Times New Roman"/>
          <w:i/>
          <w:color w:val="000000" w:themeColor="text1"/>
          <w:sz w:val="24"/>
          <w:szCs w:val="24"/>
          <w14:textFill>
            <w14:solidFill>
              <w14:schemeClr w14:val="tx1"/>
            </w14:solidFill>
          </w14:textFill>
        </w:rPr>
        <w:t>Journal of Alloys and Compounds</w:t>
      </w:r>
      <w:r>
        <w:rPr>
          <w:rFonts w:ascii="Times New Roman" w:hAnsi="Times New Roman" w:cs="Times New Roman"/>
          <w:color w:val="000000" w:themeColor="text1"/>
          <w:sz w:val="24"/>
          <w:szCs w:val="24"/>
          <w14:textFill>
            <w14:solidFill>
              <w14:schemeClr w14:val="tx1"/>
            </w14:solidFill>
          </w14:textFill>
        </w:rPr>
        <w:t xml:space="preserve"> </w:t>
      </w:r>
      <w:r>
        <w:rPr>
          <w:rFonts w:ascii="Times New Roman" w:hAnsi="Times New Roman" w:cs="Times New Roman"/>
          <w:b/>
          <w:color w:val="000000" w:themeColor="text1"/>
          <w:sz w:val="24"/>
          <w:szCs w:val="24"/>
          <w14:textFill>
            <w14:solidFill>
              <w14:schemeClr w14:val="tx1"/>
            </w14:solidFill>
          </w14:textFill>
        </w:rPr>
        <w:t>648</w:t>
      </w:r>
      <w:r>
        <w:rPr>
          <w:rFonts w:ascii="Times New Roman" w:hAnsi="Times New Roman" w:cs="Times New Roman"/>
          <w:color w:val="000000" w:themeColor="text1"/>
          <w:sz w:val="24"/>
          <w:szCs w:val="24"/>
          <w14:textFill>
            <w14:solidFill>
              <w14:schemeClr w14:val="tx1"/>
            </w14:solidFill>
          </w14:textFill>
        </w:rPr>
        <w:t>, 276-279, doi:</w:t>
      </w:r>
      <w:r>
        <w:fldChar w:fldCharType="begin"/>
      </w:r>
      <w:r>
        <w:instrText xml:space="preserve"> HYPERLINK "https://doi.org/10.1016/j.jallcom.2015.05.285" </w:instrText>
      </w:r>
      <w:r>
        <w:fldChar w:fldCharType="separate"/>
      </w:r>
      <w:r>
        <w:rPr>
          <w:rStyle w:val="19"/>
          <w:rFonts w:ascii="Times New Roman" w:hAnsi="Times New Roman" w:cs="Times New Roman"/>
          <w:color w:val="000000" w:themeColor="text1"/>
          <w:sz w:val="24"/>
          <w:szCs w:val="24"/>
          <w:u w:val="none"/>
          <w14:textFill>
            <w14:solidFill>
              <w14:schemeClr w14:val="tx1"/>
            </w14:solidFill>
          </w14:textFill>
        </w:rPr>
        <w:t>https://doi.org/10.1016/j.jallcom.2015.05.285</w:t>
      </w:r>
      <w:r>
        <w:rPr>
          <w:rStyle w:val="19"/>
          <w:rFonts w:ascii="Times New Roman" w:hAnsi="Times New Roman" w:cs="Times New Roman"/>
          <w:color w:val="000000" w:themeColor="text1"/>
          <w:sz w:val="24"/>
          <w:szCs w:val="24"/>
          <w:u w:val="none"/>
          <w14:textFill>
            <w14:solidFill>
              <w14:schemeClr w14:val="tx1"/>
            </w14:solidFill>
          </w14:textFill>
        </w:rPr>
        <w:fldChar w:fldCharType="end"/>
      </w:r>
      <w:r>
        <w:rPr>
          <w:rFonts w:ascii="Times New Roman" w:hAnsi="Times New Roman" w:cs="Times New Roman"/>
          <w:color w:val="000000" w:themeColor="text1"/>
          <w:sz w:val="24"/>
          <w:szCs w:val="24"/>
          <w14:textFill>
            <w14:solidFill>
              <w14:schemeClr w14:val="tx1"/>
            </w14:solidFill>
          </w14:textFill>
        </w:rPr>
        <w:t xml:space="preserve"> (2015).</w:t>
      </w:r>
    </w:p>
    <w:p w14:paraId="40669F32">
      <w:pPr>
        <w:pStyle w:val="34"/>
        <w:spacing w:line="360" w:lineRule="auto"/>
        <w:ind w:left="720" w:hanging="72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6</w:t>
      </w:r>
      <w:r>
        <w:rPr>
          <w:rFonts w:ascii="Times New Roman" w:hAnsi="Times New Roman" w:cs="Times New Roman"/>
          <w:color w:val="000000" w:themeColor="text1"/>
          <w:sz w:val="24"/>
          <w:szCs w:val="24"/>
          <w14:textFill>
            <w14:solidFill>
              <w14:schemeClr w14:val="tx1"/>
            </w14:solidFill>
          </w14:textFill>
        </w:rPr>
        <w:tab/>
      </w:r>
      <w:r>
        <w:rPr>
          <w:rFonts w:ascii="Times New Roman" w:hAnsi="Times New Roman" w:cs="Times New Roman"/>
          <w:color w:val="000000" w:themeColor="text1"/>
          <w:sz w:val="24"/>
          <w:szCs w:val="24"/>
          <w14:textFill>
            <w14:solidFill>
              <w14:schemeClr w14:val="tx1"/>
            </w14:solidFill>
          </w14:textFill>
        </w:rPr>
        <w:t xml:space="preserve">Guo, S. F., Liu, L., Li, N. &amp; Li, Y. Fe-based bulk metallic glass matrix composite with large plasticity. </w:t>
      </w:r>
      <w:r>
        <w:rPr>
          <w:rFonts w:ascii="Times New Roman" w:hAnsi="Times New Roman" w:cs="Times New Roman"/>
          <w:i/>
          <w:color w:val="000000" w:themeColor="text1"/>
          <w:sz w:val="24"/>
          <w:szCs w:val="24"/>
          <w14:textFill>
            <w14:solidFill>
              <w14:schemeClr w14:val="tx1"/>
            </w14:solidFill>
          </w14:textFill>
        </w:rPr>
        <w:t>Scripta Materialia</w:t>
      </w:r>
      <w:r>
        <w:rPr>
          <w:rFonts w:ascii="Times New Roman" w:hAnsi="Times New Roman" w:cs="Times New Roman"/>
          <w:color w:val="000000" w:themeColor="text1"/>
          <w:sz w:val="24"/>
          <w:szCs w:val="24"/>
          <w14:textFill>
            <w14:solidFill>
              <w14:schemeClr w14:val="tx1"/>
            </w14:solidFill>
          </w14:textFill>
        </w:rPr>
        <w:t xml:space="preserve"> </w:t>
      </w:r>
      <w:r>
        <w:rPr>
          <w:rFonts w:ascii="Times New Roman" w:hAnsi="Times New Roman" w:cs="Times New Roman"/>
          <w:b/>
          <w:color w:val="000000" w:themeColor="text1"/>
          <w:sz w:val="24"/>
          <w:szCs w:val="24"/>
          <w14:textFill>
            <w14:solidFill>
              <w14:schemeClr w14:val="tx1"/>
            </w14:solidFill>
          </w14:textFill>
        </w:rPr>
        <w:t>62</w:t>
      </w:r>
      <w:r>
        <w:rPr>
          <w:rFonts w:ascii="Times New Roman" w:hAnsi="Times New Roman" w:cs="Times New Roman"/>
          <w:color w:val="000000" w:themeColor="text1"/>
          <w:sz w:val="24"/>
          <w:szCs w:val="24"/>
          <w14:textFill>
            <w14:solidFill>
              <w14:schemeClr w14:val="tx1"/>
            </w14:solidFill>
          </w14:textFill>
        </w:rPr>
        <w:t>, 329-332, doi:</w:t>
      </w:r>
      <w:r>
        <w:fldChar w:fldCharType="begin"/>
      </w:r>
      <w:r>
        <w:instrText xml:space="preserve"> HYPERLINK "https://doi.org/10.1016/j.scriptamat.2009.10.024" </w:instrText>
      </w:r>
      <w:r>
        <w:fldChar w:fldCharType="separate"/>
      </w:r>
      <w:r>
        <w:rPr>
          <w:rStyle w:val="19"/>
          <w:rFonts w:ascii="Times New Roman" w:hAnsi="Times New Roman" w:cs="Times New Roman"/>
          <w:color w:val="000000" w:themeColor="text1"/>
          <w:sz w:val="24"/>
          <w:szCs w:val="24"/>
          <w:u w:val="none"/>
          <w14:textFill>
            <w14:solidFill>
              <w14:schemeClr w14:val="tx1"/>
            </w14:solidFill>
          </w14:textFill>
        </w:rPr>
        <w:t>https://doi.org/10.1016/j.scriptamat.2009.10.024</w:t>
      </w:r>
      <w:r>
        <w:rPr>
          <w:rStyle w:val="19"/>
          <w:rFonts w:ascii="Times New Roman" w:hAnsi="Times New Roman" w:cs="Times New Roman"/>
          <w:color w:val="000000" w:themeColor="text1"/>
          <w:sz w:val="24"/>
          <w:szCs w:val="24"/>
          <w:u w:val="none"/>
          <w14:textFill>
            <w14:solidFill>
              <w14:schemeClr w14:val="tx1"/>
            </w14:solidFill>
          </w14:textFill>
        </w:rPr>
        <w:fldChar w:fldCharType="end"/>
      </w:r>
      <w:r>
        <w:rPr>
          <w:rFonts w:ascii="Times New Roman" w:hAnsi="Times New Roman" w:cs="Times New Roman"/>
          <w:color w:val="000000" w:themeColor="text1"/>
          <w:sz w:val="24"/>
          <w:szCs w:val="24"/>
          <w14:textFill>
            <w14:solidFill>
              <w14:schemeClr w14:val="tx1"/>
            </w14:solidFill>
          </w14:textFill>
        </w:rPr>
        <w:t xml:space="preserve"> (2010).</w:t>
      </w:r>
    </w:p>
    <w:p w14:paraId="44B87C7D">
      <w:pPr>
        <w:pStyle w:val="34"/>
        <w:spacing w:line="360" w:lineRule="auto"/>
        <w:ind w:left="720" w:hanging="72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7</w:t>
      </w:r>
      <w:r>
        <w:rPr>
          <w:rFonts w:ascii="Times New Roman" w:hAnsi="Times New Roman" w:cs="Times New Roman"/>
          <w:color w:val="000000" w:themeColor="text1"/>
          <w:sz w:val="24"/>
          <w:szCs w:val="24"/>
          <w14:textFill>
            <w14:solidFill>
              <w14:schemeClr w14:val="tx1"/>
            </w14:solidFill>
          </w14:textFill>
        </w:rPr>
        <w:tab/>
      </w:r>
      <w:r>
        <w:rPr>
          <w:rFonts w:ascii="Times New Roman" w:hAnsi="Times New Roman" w:cs="Times New Roman"/>
          <w:color w:val="000000" w:themeColor="text1"/>
          <w:sz w:val="24"/>
          <w:szCs w:val="24"/>
          <w14:textFill>
            <w14:solidFill>
              <w14:schemeClr w14:val="tx1"/>
            </w14:solidFill>
          </w14:textFill>
        </w:rPr>
        <w:t xml:space="preserve">Guo, S. &amp; Su, C. Micro/nano ductile-phases reinforced Fe-based bulk metallic glass matrix composite with large plasticity. </w:t>
      </w:r>
      <w:r>
        <w:rPr>
          <w:rFonts w:ascii="Times New Roman" w:hAnsi="Times New Roman" w:cs="Times New Roman"/>
          <w:i/>
          <w:color w:val="000000" w:themeColor="text1"/>
          <w:sz w:val="24"/>
          <w:szCs w:val="24"/>
          <w14:textFill>
            <w14:solidFill>
              <w14:schemeClr w14:val="tx1"/>
            </w14:solidFill>
          </w14:textFill>
        </w:rPr>
        <w:t>Materials Science and Engineering: A</w:t>
      </w:r>
      <w:r>
        <w:rPr>
          <w:rFonts w:ascii="Times New Roman" w:hAnsi="Times New Roman" w:cs="Times New Roman"/>
          <w:color w:val="000000" w:themeColor="text1"/>
          <w:sz w:val="24"/>
          <w:szCs w:val="24"/>
          <w14:textFill>
            <w14:solidFill>
              <w14:schemeClr w14:val="tx1"/>
            </w14:solidFill>
          </w14:textFill>
        </w:rPr>
        <w:t xml:space="preserve"> </w:t>
      </w:r>
      <w:r>
        <w:rPr>
          <w:rFonts w:ascii="Times New Roman" w:hAnsi="Times New Roman" w:cs="Times New Roman"/>
          <w:b/>
          <w:color w:val="000000" w:themeColor="text1"/>
          <w:sz w:val="24"/>
          <w:szCs w:val="24"/>
          <w14:textFill>
            <w14:solidFill>
              <w14:schemeClr w14:val="tx1"/>
            </w14:solidFill>
          </w14:textFill>
        </w:rPr>
        <w:t>707</w:t>
      </w:r>
      <w:r>
        <w:rPr>
          <w:rFonts w:ascii="Times New Roman" w:hAnsi="Times New Roman" w:cs="Times New Roman"/>
          <w:color w:val="000000" w:themeColor="text1"/>
          <w:sz w:val="24"/>
          <w:szCs w:val="24"/>
          <w14:textFill>
            <w14:solidFill>
              <w14:schemeClr w14:val="tx1"/>
            </w14:solidFill>
          </w14:textFill>
        </w:rPr>
        <w:t>, 44-50, doi:</w:t>
      </w:r>
      <w:r>
        <w:fldChar w:fldCharType="begin"/>
      </w:r>
      <w:r>
        <w:instrText xml:space="preserve"> HYPERLINK "https://doi.org/10.1016/j.msea.2017.09.036" </w:instrText>
      </w:r>
      <w:r>
        <w:fldChar w:fldCharType="separate"/>
      </w:r>
      <w:r>
        <w:rPr>
          <w:rStyle w:val="19"/>
          <w:rFonts w:ascii="Times New Roman" w:hAnsi="Times New Roman" w:cs="Times New Roman"/>
          <w:color w:val="000000" w:themeColor="text1"/>
          <w:sz w:val="24"/>
          <w:szCs w:val="24"/>
          <w:u w:val="none"/>
          <w14:textFill>
            <w14:solidFill>
              <w14:schemeClr w14:val="tx1"/>
            </w14:solidFill>
          </w14:textFill>
        </w:rPr>
        <w:t>https://doi.org/10.1016/j.msea.2017.09.036</w:t>
      </w:r>
      <w:r>
        <w:rPr>
          <w:rStyle w:val="19"/>
          <w:rFonts w:ascii="Times New Roman" w:hAnsi="Times New Roman" w:cs="Times New Roman"/>
          <w:color w:val="000000" w:themeColor="text1"/>
          <w:sz w:val="24"/>
          <w:szCs w:val="24"/>
          <w:u w:val="none"/>
          <w14:textFill>
            <w14:solidFill>
              <w14:schemeClr w14:val="tx1"/>
            </w14:solidFill>
          </w14:textFill>
        </w:rPr>
        <w:fldChar w:fldCharType="end"/>
      </w:r>
      <w:r>
        <w:rPr>
          <w:rFonts w:ascii="Times New Roman" w:hAnsi="Times New Roman" w:cs="Times New Roman"/>
          <w:color w:val="000000" w:themeColor="text1"/>
          <w:sz w:val="24"/>
          <w:szCs w:val="24"/>
          <w14:textFill>
            <w14:solidFill>
              <w14:schemeClr w14:val="tx1"/>
            </w14:solidFill>
          </w14:textFill>
        </w:rPr>
        <w:t xml:space="preserve"> (2017).</w:t>
      </w:r>
    </w:p>
    <w:p w14:paraId="47D81926">
      <w:pPr>
        <w:pStyle w:val="34"/>
        <w:spacing w:line="360" w:lineRule="auto"/>
        <w:ind w:left="720" w:hanging="72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8</w:t>
      </w:r>
      <w:r>
        <w:rPr>
          <w:rFonts w:ascii="Times New Roman" w:hAnsi="Times New Roman" w:cs="Times New Roman"/>
          <w:color w:val="000000" w:themeColor="text1"/>
          <w:sz w:val="24"/>
          <w:szCs w:val="24"/>
          <w14:textFill>
            <w14:solidFill>
              <w14:schemeClr w14:val="tx1"/>
            </w14:solidFill>
          </w14:textFill>
        </w:rPr>
        <w:tab/>
      </w:r>
      <w:r>
        <w:rPr>
          <w:rFonts w:ascii="Times New Roman" w:hAnsi="Times New Roman" w:cs="Times New Roman"/>
          <w:color w:val="000000" w:themeColor="text1"/>
          <w:sz w:val="24"/>
          <w:szCs w:val="24"/>
          <w14:textFill>
            <w14:solidFill>
              <w14:schemeClr w14:val="tx1"/>
            </w14:solidFill>
          </w14:textFill>
        </w:rPr>
        <w:t>Liu, X.</w:t>
      </w:r>
      <w:r>
        <w:rPr>
          <w:rFonts w:ascii="Times New Roman" w:hAnsi="Times New Roman" w:cs="Times New Roman"/>
          <w:i/>
          <w:color w:val="000000" w:themeColor="text1"/>
          <w:sz w:val="24"/>
          <w:szCs w:val="24"/>
          <w14:textFill>
            <w14:solidFill>
              <w14:schemeClr w14:val="tx1"/>
            </w14:solidFill>
          </w14:textFill>
        </w:rPr>
        <w:t xml:space="preserve"> et al.</w:t>
      </w:r>
      <w:r>
        <w:rPr>
          <w:rFonts w:ascii="Times New Roman" w:hAnsi="Times New Roman" w:cs="Times New Roman"/>
          <w:color w:val="000000" w:themeColor="text1"/>
          <w:sz w:val="24"/>
          <w:szCs w:val="24"/>
          <w14:textFill>
            <w14:solidFill>
              <w14:schemeClr w14:val="tx1"/>
            </w14:solidFill>
          </w14:textFill>
        </w:rPr>
        <w:t xml:space="preserve"> Multi-scale inhomogeneity and anomalous mechanical response of nanoscale metallic glass pillar by cryogenic thermal cycling. </w:t>
      </w:r>
      <w:r>
        <w:rPr>
          <w:rFonts w:ascii="Times New Roman" w:hAnsi="Times New Roman" w:cs="Times New Roman"/>
          <w:i/>
          <w:color w:val="000000" w:themeColor="text1"/>
          <w:sz w:val="24"/>
          <w:szCs w:val="24"/>
          <w14:textFill>
            <w14:solidFill>
              <w14:schemeClr w14:val="tx1"/>
            </w14:solidFill>
          </w14:textFill>
        </w:rPr>
        <w:t>Rare Metals</w:t>
      </w:r>
      <w:r>
        <w:rPr>
          <w:rFonts w:ascii="Times New Roman" w:hAnsi="Times New Roman" w:cs="Times New Roman"/>
          <w:color w:val="000000" w:themeColor="text1"/>
          <w:sz w:val="24"/>
          <w:szCs w:val="24"/>
          <w14:textFill>
            <w14:solidFill>
              <w14:schemeClr w14:val="tx1"/>
            </w14:solidFill>
          </w14:textFill>
        </w:rPr>
        <w:t xml:space="preserve"> </w:t>
      </w:r>
      <w:r>
        <w:rPr>
          <w:rFonts w:ascii="Times New Roman" w:hAnsi="Times New Roman" w:cs="Times New Roman"/>
          <w:b/>
          <w:color w:val="000000" w:themeColor="text1"/>
          <w:sz w:val="24"/>
          <w:szCs w:val="24"/>
          <w14:textFill>
            <w14:solidFill>
              <w14:schemeClr w14:val="tx1"/>
            </w14:solidFill>
          </w14:textFill>
        </w:rPr>
        <w:t>43</w:t>
      </w:r>
      <w:r>
        <w:rPr>
          <w:rFonts w:ascii="Times New Roman" w:hAnsi="Times New Roman" w:cs="Times New Roman"/>
          <w:color w:val="000000" w:themeColor="text1"/>
          <w:sz w:val="24"/>
          <w:szCs w:val="24"/>
          <w14:textFill>
            <w14:solidFill>
              <w14:schemeClr w14:val="tx1"/>
            </w14:solidFill>
          </w14:textFill>
        </w:rPr>
        <w:t>, 6771-6780, doi:</w:t>
      </w:r>
      <w:r>
        <w:fldChar w:fldCharType="begin"/>
      </w:r>
      <w:r>
        <w:instrText xml:space="preserve"> HYPERLINK "https://doi.org/10.1007/s12598-024-02964-7" </w:instrText>
      </w:r>
      <w:r>
        <w:fldChar w:fldCharType="separate"/>
      </w:r>
      <w:r>
        <w:rPr>
          <w:rStyle w:val="19"/>
          <w:rFonts w:ascii="Times New Roman" w:hAnsi="Times New Roman" w:cs="Times New Roman"/>
          <w:color w:val="000000" w:themeColor="text1"/>
          <w:sz w:val="24"/>
          <w:szCs w:val="24"/>
          <w:u w:val="none"/>
          <w14:textFill>
            <w14:solidFill>
              <w14:schemeClr w14:val="tx1"/>
            </w14:solidFill>
          </w14:textFill>
        </w:rPr>
        <w:t>https://doi.org/10.1007/s12598-024-02964-7</w:t>
      </w:r>
      <w:r>
        <w:rPr>
          <w:rStyle w:val="19"/>
          <w:rFonts w:ascii="Times New Roman" w:hAnsi="Times New Roman" w:cs="Times New Roman"/>
          <w:color w:val="000000" w:themeColor="text1"/>
          <w:sz w:val="24"/>
          <w:szCs w:val="24"/>
          <w:u w:val="none"/>
          <w14:textFill>
            <w14:solidFill>
              <w14:schemeClr w14:val="tx1"/>
            </w14:solidFill>
          </w14:textFill>
        </w:rPr>
        <w:fldChar w:fldCharType="end"/>
      </w:r>
      <w:r>
        <w:rPr>
          <w:rFonts w:ascii="Times New Roman" w:hAnsi="Times New Roman" w:cs="Times New Roman"/>
          <w:color w:val="000000" w:themeColor="text1"/>
          <w:sz w:val="24"/>
          <w:szCs w:val="24"/>
          <w14:textFill>
            <w14:solidFill>
              <w14:schemeClr w14:val="tx1"/>
            </w14:solidFill>
          </w14:textFill>
        </w:rPr>
        <w:t xml:space="preserve"> (2024).</w:t>
      </w:r>
    </w:p>
    <w:p w14:paraId="26DEC669">
      <w:pPr>
        <w:pStyle w:val="34"/>
        <w:spacing w:line="360" w:lineRule="auto"/>
        <w:ind w:left="720" w:hanging="72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9</w:t>
      </w:r>
      <w:r>
        <w:rPr>
          <w:rFonts w:ascii="Times New Roman" w:hAnsi="Times New Roman" w:cs="Times New Roman"/>
          <w:color w:val="000000" w:themeColor="text1"/>
          <w:sz w:val="24"/>
          <w:szCs w:val="24"/>
          <w14:textFill>
            <w14:solidFill>
              <w14:schemeClr w14:val="tx1"/>
            </w14:solidFill>
          </w14:textFill>
        </w:rPr>
        <w:tab/>
      </w:r>
      <w:r>
        <w:rPr>
          <w:rFonts w:ascii="Times New Roman" w:hAnsi="Times New Roman" w:cs="Times New Roman"/>
          <w:color w:val="000000" w:themeColor="text1"/>
          <w:sz w:val="24"/>
          <w:szCs w:val="24"/>
          <w14:textFill>
            <w14:solidFill>
              <w14:schemeClr w14:val="tx1"/>
            </w14:solidFill>
          </w14:textFill>
        </w:rPr>
        <w:t>Li, K.</w:t>
      </w:r>
      <w:r>
        <w:rPr>
          <w:rFonts w:ascii="Times New Roman" w:hAnsi="Times New Roman" w:cs="Times New Roman"/>
          <w:i/>
          <w:color w:val="000000" w:themeColor="text1"/>
          <w:sz w:val="24"/>
          <w:szCs w:val="24"/>
          <w14:textFill>
            <w14:solidFill>
              <w14:schemeClr w14:val="tx1"/>
            </w14:solidFill>
          </w14:textFill>
        </w:rPr>
        <w:t xml:space="preserve"> et al.</w:t>
      </w:r>
      <w:r>
        <w:rPr>
          <w:rFonts w:ascii="Times New Roman" w:hAnsi="Times New Roman" w:cs="Times New Roman"/>
          <w:color w:val="000000" w:themeColor="text1"/>
          <w:sz w:val="24"/>
          <w:szCs w:val="24"/>
          <w14:textFill>
            <w14:solidFill>
              <w14:schemeClr w14:val="tx1"/>
            </w14:solidFill>
          </w14:textFill>
        </w:rPr>
        <w:t xml:space="preserve"> New biodegradable Mg–Zn–Ca bulk metallic glass composite with large plasticity reinforced by SnZn alloy. </w:t>
      </w:r>
      <w:r>
        <w:rPr>
          <w:rFonts w:ascii="Times New Roman" w:hAnsi="Times New Roman" w:cs="Times New Roman"/>
          <w:i/>
          <w:color w:val="000000" w:themeColor="text1"/>
          <w:sz w:val="24"/>
          <w:szCs w:val="24"/>
          <w14:textFill>
            <w14:solidFill>
              <w14:schemeClr w14:val="tx1"/>
            </w14:solidFill>
          </w14:textFill>
        </w:rPr>
        <w:t>Materials Science and Engineering: A</w:t>
      </w:r>
      <w:r>
        <w:rPr>
          <w:rFonts w:ascii="Times New Roman" w:hAnsi="Times New Roman" w:cs="Times New Roman"/>
          <w:color w:val="000000" w:themeColor="text1"/>
          <w:sz w:val="24"/>
          <w:szCs w:val="24"/>
          <w14:textFill>
            <w14:solidFill>
              <w14:schemeClr w14:val="tx1"/>
            </w14:solidFill>
          </w14:textFill>
        </w:rPr>
        <w:t xml:space="preserve"> </w:t>
      </w:r>
      <w:r>
        <w:rPr>
          <w:rFonts w:ascii="Times New Roman" w:hAnsi="Times New Roman" w:cs="Times New Roman"/>
          <w:b/>
          <w:color w:val="000000" w:themeColor="text1"/>
          <w:sz w:val="24"/>
          <w:szCs w:val="24"/>
          <w14:textFill>
            <w14:solidFill>
              <w14:schemeClr w14:val="tx1"/>
            </w14:solidFill>
          </w14:textFill>
        </w:rPr>
        <w:t>873</w:t>
      </w:r>
      <w:r>
        <w:rPr>
          <w:rFonts w:ascii="Times New Roman" w:hAnsi="Times New Roman" w:cs="Times New Roman"/>
          <w:color w:val="000000" w:themeColor="text1"/>
          <w:sz w:val="24"/>
          <w:szCs w:val="24"/>
          <w14:textFill>
            <w14:solidFill>
              <w14:schemeClr w14:val="tx1"/>
            </w14:solidFill>
          </w14:textFill>
        </w:rPr>
        <w:t>, 145045, doi:</w:t>
      </w:r>
      <w:r>
        <w:fldChar w:fldCharType="begin"/>
      </w:r>
      <w:r>
        <w:instrText xml:space="preserve"> HYPERLINK "https://doi.org/10.1016/j.msea.2023.145045" </w:instrText>
      </w:r>
      <w:r>
        <w:fldChar w:fldCharType="separate"/>
      </w:r>
      <w:r>
        <w:rPr>
          <w:rStyle w:val="19"/>
          <w:rFonts w:ascii="Times New Roman" w:hAnsi="Times New Roman" w:cs="Times New Roman"/>
          <w:color w:val="000000" w:themeColor="text1"/>
          <w:sz w:val="24"/>
          <w:szCs w:val="24"/>
          <w:u w:val="none"/>
          <w14:textFill>
            <w14:solidFill>
              <w14:schemeClr w14:val="tx1"/>
            </w14:solidFill>
          </w14:textFill>
        </w:rPr>
        <w:t>https://doi.org/10.1016/j.msea.2023.145045</w:t>
      </w:r>
      <w:r>
        <w:rPr>
          <w:rStyle w:val="19"/>
          <w:rFonts w:ascii="Times New Roman" w:hAnsi="Times New Roman" w:cs="Times New Roman"/>
          <w:color w:val="000000" w:themeColor="text1"/>
          <w:sz w:val="24"/>
          <w:szCs w:val="24"/>
          <w:u w:val="none"/>
          <w14:textFill>
            <w14:solidFill>
              <w14:schemeClr w14:val="tx1"/>
            </w14:solidFill>
          </w14:textFill>
        </w:rPr>
        <w:fldChar w:fldCharType="end"/>
      </w:r>
      <w:r>
        <w:rPr>
          <w:rFonts w:ascii="Times New Roman" w:hAnsi="Times New Roman" w:cs="Times New Roman"/>
          <w:color w:val="000000" w:themeColor="text1"/>
          <w:sz w:val="24"/>
          <w:szCs w:val="24"/>
          <w14:textFill>
            <w14:solidFill>
              <w14:schemeClr w14:val="tx1"/>
            </w14:solidFill>
          </w14:textFill>
        </w:rPr>
        <w:t xml:space="preserve"> (2023).</w:t>
      </w:r>
    </w:p>
    <w:p w14:paraId="678B4615">
      <w:pPr>
        <w:pStyle w:val="34"/>
        <w:spacing w:line="360" w:lineRule="auto"/>
        <w:ind w:left="720" w:hanging="72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10</w:t>
      </w:r>
      <w:r>
        <w:rPr>
          <w:rFonts w:ascii="Times New Roman" w:hAnsi="Times New Roman" w:cs="Times New Roman"/>
          <w:color w:val="000000" w:themeColor="text1"/>
          <w:sz w:val="24"/>
          <w:szCs w:val="24"/>
          <w14:textFill>
            <w14:solidFill>
              <w14:schemeClr w14:val="tx1"/>
            </w14:solidFill>
          </w14:textFill>
        </w:rPr>
        <w:tab/>
      </w:r>
      <w:r>
        <w:rPr>
          <w:rFonts w:ascii="Times New Roman" w:hAnsi="Times New Roman" w:cs="Times New Roman"/>
          <w:color w:val="000000" w:themeColor="text1"/>
          <w:sz w:val="24"/>
          <w:szCs w:val="24"/>
          <w14:textFill>
            <w14:solidFill>
              <w14:schemeClr w14:val="tx1"/>
            </w14:solidFill>
          </w14:textFill>
        </w:rPr>
        <w:t>Sarac, B.</w:t>
      </w:r>
      <w:r>
        <w:rPr>
          <w:rFonts w:ascii="Times New Roman" w:hAnsi="Times New Roman" w:cs="Times New Roman"/>
          <w:i/>
          <w:color w:val="000000" w:themeColor="text1"/>
          <w:sz w:val="24"/>
          <w:szCs w:val="24"/>
          <w14:textFill>
            <w14:solidFill>
              <w14:schemeClr w14:val="tx1"/>
            </w14:solidFill>
          </w14:textFill>
        </w:rPr>
        <w:t xml:space="preserve"> et al.</w:t>
      </w:r>
      <w:r>
        <w:rPr>
          <w:rFonts w:ascii="Times New Roman" w:hAnsi="Times New Roman" w:cs="Times New Roman"/>
          <w:color w:val="000000" w:themeColor="text1"/>
          <w:sz w:val="24"/>
          <w:szCs w:val="24"/>
          <w14:textFill>
            <w14:solidFill>
              <w14:schemeClr w14:val="tx1"/>
            </w14:solidFill>
          </w14:textFill>
        </w:rPr>
        <w:t xml:space="preserve"> Origin of large plasticity and multiscale effects in iron-based metallic glasses. </w:t>
      </w:r>
      <w:r>
        <w:rPr>
          <w:rFonts w:ascii="Times New Roman" w:hAnsi="Times New Roman" w:cs="Times New Roman"/>
          <w:i/>
          <w:color w:val="000000" w:themeColor="text1"/>
          <w:sz w:val="24"/>
          <w:szCs w:val="24"/>
          <w14:textFill>
            <w14:solidFill>
              <w14:schemeClr w14:val="tx1"/>
            </w14:solidFill>
          </w14:textFill>
        </w:rPr>
        <w:t>Nature Communications</w:t>
      </w:r>
      <w:r>
        <w:rPr>
          <w:rFonts w:ascii="Times New Roman" w:hAnsi="Times New Roman" w:cs="Times New Roman"/>
          <w:color w:val="000000" w:themeColor="text1"/>
          <w:sz w:val="24"/>
          <w:szCs w:val="24"/>
          <w14:textFill>
            <w14:solidFill>
              <w14:schemeClr w14:val="tx1"/>
            </w14:solidFill>
          </w14:textFill>
        </w:rPr>
        <w:t xml:space="preserve"> </w:t>
      </w:r>
      <w:r>
        <w:rPr>
          <w:rFonts w:ascii="Times New Roman" w:hAnsi="Times New Roman" w:cs="Times New Roman"/>
          <w:b/>
          <w:color w:val="000000" w:themeColor="text1"/>
          <w:sz w:val="24"/>
          <w:szCs w:val="24"/>
          <w14:textFill>
            <w14:solidFill>
              <w14:schemeClr w14:val="tx1"/>
            </w14:solidFill>
          </w14:textFill>
        </w:rPr>
        <w:t>9</w:t>
      </w:r>
      <w:r>
        <w:rPr>
          <w:rFonts w:ascii="Times New Roman" w:hAnsi="Times New Roman" w:cs="Times New Roman"/>
          <w:color w:val="000000" w:themeColor="text1"/>
          <w:sz w:val="24"/>
          <w:szCs w:val="24"/>
          <w14:textFill>
            <w14:solidFill>
              <w14:schemeClr w14:val="tx1"/>
            </w14:solidFill>
          </w14:textFill>
        </w:rPr>
        <w:t>, 1333, doi:10.1038/s41467-018-03744-5 (2018).</w:t>
      </w:r>
    </w:p>
    <w:p w14:paraId="1C8031A3">
      <w:pPr>
        <w:pStyle w:val="34"/>
        <w:spacing w:line="360" w:lineRule="auto"/>
        <w:ind w:left="720" w:hanging="72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11</w:t>
      </w:r>
      <w:r>
        <w:rPr>
          <w:rFonts w:ascii="Times New Roman" w:hAnsi="Times New Roman" w:cs="Times New Roman"/>
          <w:color w:val="000000" w:themeColor="text1"/>
          <w:sz w:val="24"/>
          <w:szCs w:val="24"/>
          <w14:textFill>
            <w14:solidFill>
              <w14:schemeClr w14:val="tx1"/>
            </w14:solidFill>
          </w14:textFill>
        </w:rPr>
        <w:tab/>
      </w:r>
      <w:r>
        <w:rPr>
          <w:rFonts w:ascii="Times New Roman" w:hAnsi="Times New Roman" w:cs="Times New Roman"/>
          <w:color w:val="000000" w:themeColor="text1"/>
          <w:sz w:val="24"/>
          <w:szCs w:val="24"/>
          <w14:textFill>
            <w14:solidFill>
              <w14:schemeClr w14:val="tx1"/>
            </w14:solidFill>
          </w14:textFill>
        </w:rPr>
        <w:t>Wu, G.</w:t>
      </w:r>
      <w:r>
        <w:rPr>
          <w:rFonts w:ascii="Times New Roman" w:hAnsi="Times New Roman" w:cs="Times New Roman"/>
          <w:i/>
          <w:color w:val="000000" w:themeColor="text1"/>
          <w:sz w:val="24"/>
          <w:szCs w:val="24"/>
          <w14:textFill>
            <w14:solidFill>
              <w14:schemeClr w14:val="tx1"/>
            </w14:solidFill>
          </w14:textFill>
        </w:rPr>
        <w:t xml:space="preserve"> et al.</w:t>
      </w:r>
      <w:r>
        <w:rPr>
          <w:rFonts w:ascii="Times New Roman" w:hAnsi="Times New Roman" w:cs="Times New Roman"/>
          <w:color w:val="000000" w:themeColor="text1"/>
          <w:sz w:val="24"/>
          <w:szCs w:val="24"/>
          <w14:textFill>
            <w14:solidFill>
              <w14:schemeClr w14:val="tx1"/>
            </w14:solidFill>
          </w14:textFill>
        </w:rPr>
        <w:t xml:space="preserve"> Hierarchical nanostructured aluminum alloy with ultrahigh strength and large plasticity. </w:t>
      </w:r>
      <w:r>
        <w:rPr>
          <w:rFonts w:ascii="Times New Roman" w:hAnsi="Times New Roman" w:cs="Times New Roman"/>
          <w:i/>
          <w:color w:val="000000" w:themeColor="text1"/>
          <w:sz w:val="24"/>
          <w:szCs w:val="24"/>
          <w14:textFill>
            <w14:solidFill>
              <w14:schemeClr w14:val="tx1"/>
            </w14:solidFill>
          </w14:textFill>
        </w:rPr>
        <w:t>Nature Communications</w:t>
      </w:r>
      <w:r>
        <w:rPr>
          <w:rFonts w:ascii="Times New Roman" w:hAnsi="Times New Roman" w:cs="Times New Roman"/>
          <w:color w:val="000000" w:themeColor="text1"/>
          <w:sz w:val="24"/>
          <w:szCs w:val="24"/>
          <w14:textFill>
            <w14:solidFill>
              <w14:schemeClr w14:val="tx1"/>
            </w14:solidFill>
          </w14:textFill>
        </w:rPr>
        <w:t xml:space="preserve"> </w:t>
      </w:r>
      <w:r>
        <w:rPr>
          <w:rFonts w:ascii="Times New Roman" w:hAnsi="Times New Roman" w:cs="Times New Roman"/>
          <w:b/>
          <w:color w:val="000000" w:themeColor="text1"/>
          <w:sz w:val="24"/>
          <w:szCs w:val="24"/>
          <w14:textFill>
            <w14:solidFill>
              <w14:schemeClr w14:val="tx1"/>
            </w14:solidFill>
          </w14:textFill>
        </w:rPr>
        <w:t>10</w:t>
      </w:r>
      <w:r>
        <w:rPr>
          <w:rFonts w:ascii="Times New Roman" w:hAnsi="Times New Roman" w:cs="Times New Roman"/>
          <w:color w:val="000000" w:themeColor="text1"/>
          <w:sz w:val="24"/>
          <w:szCs w:val="24"/>
          <w14:textFill>
            <w14:solidFill>
              <w14:schemeClr w14:val="tx1"/>
            </w14:solidFill>
          </w14:textFill>
        </w:rPr>
        <w:t>, 5099, doi:10.1038/s41467-019-13087-4 (2019).</w:t>
      </w:r>
    </w:p>
    <w:p w14:paraId="5A7CAC88">
      <w:pPr>
        <w:pStyle w:val="34"/>
        <w:spacing w:line="360" w:lineRule="auto"/>
        <w:ind w:left="720" w:hanging="72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12</w:t>
      </w:r>
      <w:r>
        <w:rPr>
          <w:rFonts w:ascii="Times New Roman" w:hAnsi="Times New Roman" w:cs="Times New Roman"/>
          <w:color w:val="000000" w:themeColor="text1"/>
          <w:sz w:val="24"/>
          <w:szCs w:val="24"/>
          <w14:textFill>
            <w14:solidFill>
              <w14:schemeClr w14:val="tx1"/>
            </w14:solidFill>
          </w14:textFill>
        </w:rPr>
        <w:tab/>
      </w:r>
      <w:r>
        <w:rPr>
          <w:rFonts w:ascii="Times New Roman" w:hAnsi="Times New Roman" w:cs="Times New Roman"/>
          <w:color w:val="000000" w:themeColor="text1"/>
          <w:sz w:val="24"/>
          <w:szCs w:val="24"/>
          <w14:textFill>
            <w14:solidFill>
              <w14:schemeClr w14:val="tx1"/>
            </w14:solidFill>
          </w14:textFill>
        </w:rPr>
        <w:t>Wu, Z.</w:t>
      </w:r>
      <w:r>
        <w:rPr>
          <w:rFonts w:ascii="Times New Roman" w:hAnsi="Times New Roman" w:cs="Times New Roman"/>
          <w:i/>
          <w:color w:val="000000" w:themeColor="text1"/>
          <w:sz w:val="24"/>
          <w:szCs w:val="24"/>
          <w14:textFill>
            <w14:solidFill>
              <w14:schemeClr w14:val="tx1"/>
            </w14:solidFill>
          </w14:textFill>
        </w:rPr>
        <w:t xml:space="preserve"> et al.</w:t>
      </w:r>
      <w:r>
        <w:rPr>
          <w:rFonts w:ascii="Times New Roman" w:hAnsi="Times New Roman" w:cs="Times New Roman"/>
          <w:color w:val="000000" w:themeColor="text1"/>
          <w:sz w:val="24"/>
          <w:szCs w:val="24"/>
          <w14:textFill>
            <w14:solidFill>
              <w14:schemeClr w14:val="tx1"/>
            </w14:solidFill>
          </w14:textFill>
        </w:rPr>
        <w:t xml:space="preserve"> High-entropy MAX phase with ultrahigh strength and large plasticity mediated by local chemical fluctuations. </w:t>
      </w:r>
      <w:r>
        <w:rPr>
          <w:rFonts w:ascii="Times New Roman" w:hAnsi="Times New Roman" w:cs="Times New Roman"/>
          <w:i/>
          <w:color w:val="000000" w:themeColor="text1"/>
          <w:sz w:val="24"/>
          <w:szCs w:val="24"/>
          <w14:textFill>
            <w14:solidFill>
              <w14:schemeClr w14:val="tx1"/>
            </w14:solidFill>
          </w14:textFill>
        </w:rPr>
        <w:t>Materials Today</w:t>
      </w:r>
      <w:r>
        <w:rPr>
          <w:rFonts w:ascii="Times New Roman" w:hAnsi="Times New Roman" w:cs="Times New Roman"/>
          <w:color w:val="000000" w:themeColor="text1"/>
          <w:sz w:val="24"/>
          <w:szCs w:val="24"/>
          <w14:textFill>
            <w14:solidFill>
              <w14:schemeClr w14:val="tx1"/>
            </w14:solidFill>
          </w14:textFill>
        </w:rPr>
        <w:t xml:space="preserve"> </w:t>
      </w:r>
      <w:r>
        <w:rPr>
          <w:rFonts w:ascii="Times New Roman" w:hAnsi="Times New Roman" w:cs="Times New Roman"/>
          <w:b/>
          <w:color w:val="000000" w:themeColor="text1"/>
          <w:sz w:val="24"/>
          <w:szCs w:val="24"/>
          <w14:textFill>
            <w14:solidFill>
              <w14:schemeClr w14:val="tx1"/>
            </w14:solidFill>
          </w14:textFill>
        </w:rPr>
        <w:t>80</w:t>
      </w:r>
      <w:r>
        <w:rPr>
          <w:rFonts w:ascii="Times New Roman" w:hAnsi="Times New Roman" w:cs="Times New Roman"/>
          <w:color w:val="000000" w:themeColor="text1"/>
          <w:sz w:val="24"/>
          <w:szCs w:val="24"/>
          <w14:textFill>
            <w14:solidFill>
              <w14:schemeClr w14:val="tx1"/>
            </w14:solidFill>
          </w14:textFill>
        </w:rPr>
        <w:t>, 61-73, doi:</w:t>
      </w:r>
      <w:r>
        <w:fldChar w:fldCharType="begin"/>
      </w:r>
      <w:r>
        <w:instrText xml:space="preserve"> HYPERLINK "https://doi.org/10.1016/j.mattod.2024.08.004" </w:instrText>
      </w:r>
      <w:r>
        <w:fldChar w:fldCharType="separate"/>
      </w:r>
      <w:r>
        <w:rPr>
          <w:rStyle w:val="19"/>
          <w:rFonts w:ascii="Times New Roman" w:hAnsi="Times New Roman" w:cs="Times New Roman"/>
          <w:color w:val="000000" w:themeColor="text1"/>
          <w:sz w:val="24"/>
          <w:szCs w:val="24"/>
          <w:u w:val="none"/>
          <w14:textFill>
            <w14:solidFill>
              <w14:schemeClr w14:val="tx1"/>
            </w14:solidFill>
          </w14:textFill>
        </w:rPr>
        <w:t>https://doi.org/10.1016/j.mattod.2024.08.004</w:t>
      </w:r>
      <w:r>
        <w:rPr>
          <w:rStyle w:val="19"/>
          <w:rFonts w:ascii="Times New Roman" w:hAnsi="Times New Roman" w:cs="Times New Roman"/>
          <w:color w:val="000000" w:themeColor="text1"/>
          <w:sz w:val="24"/>
          <w:szCs w:val="24"/>
          <w:u w:val="none"/>
          <w14:textFill>
            <w14:solidFill>
              <w14:schemeClr w14:val="tx1"/>
            </w14:solidFill>
          </w14:textFill>
        </w:rPr>
        <w:fldChar w:fldCharType="end"/>
      </w:r>
      <w:r>
        <w:rPr>
          <w:rFonts w:ascii="Times New Roman" w:hAnsi="Times New Roman" w:cs="Times New Roman"/>
          <w:color w:val="000000" w:themeColor="text1"/>
          <w:sz w:val="24"/>
          <w:szCs w:val="24"/>
          <w14:textFill>
            <w14:solidFill>
              <w14:schemeClr w14:val="tx1"/>
            </w14:solidFill>
          </w14:textFill>
        </w:rPr>
        <w:t xml:space="preserve"> (2024).</w:t>
      </w:r>
    </w:p>
    <w:p w14:paraId="190E683F">
      <w:pPr>
        <w:pStyle w:val="34"/>
        <w:spacing w:line="360" w:lineRule="auto"/>
        <w:ind w:left="720" w:hanging="72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13</w:t>
      </w:r>
      <w:r>
        <w:rPr>
          <w:rFonts w:ascii="Times New Roman" w:hAnsi="Times New Roman" w:cs="Times New Roman"/>
          <w:color w:val="000000" w:themeColor="text1"/>
          <w:sz w:val="24"/>
          <w:szCs w:val="24"/>
          <w14:textFill>
            <w14:solidFill>
              <w14:schemeClr w14:val="tx1"/>
            </w14:solidFill>
          </w14:textFill>
        </w:rPr>
        <w:tab/>
      </w:r>
      <w:r>
        <w:rPr>
          <w:rFonts w:ascii="Times New Roman" w:hAnsi="Times New Roman" w:cs="Times New Roman"/>
          <w:color w:val="000000" w:themeColor="text1"/>
          <w:sz w:val="24"/>
          <w:szCs w:val="24"/>
          <w14:textFill>
            <w14:solidFill>
              <w14:schemeClr w14:val="tx1"/>
            </w14:solidFill>
          </w14:textFill>
        </w:rPr>
        <w:t>Rabadia, C. D.</w:t>
      </w:r>
      <w:r>
        <w:rPr>
          <w:rFonts w:ascii="Times New Roman" w:hAnsi="Times New Roman" w:cs="Times New Roman"/>
          <w:i/>
          <w:color w:val="000000" w:themeColor="text1"/>
          <w:sz w:val="24"/>
          <w:szCs w:val="24"/>
          <w14:textFill>
            <w14:solidFill>
              <w14:schemeClr w14:val="tx1"/>
            </w14:solidFill>
          </w14:textFill>
        </w:rPr>
        <w:t xml:space="preserve"> et al.</w:t>
      </w:r>
      <w:r>
        <w:rPr>
          <w:rFonts w:ascii="Times New Roman" w:hAnsi="Times New Roman" w:cs="Times New Roman"/>
          <w:color w:val="000000" w:themeColor="text1"/>
          <w:sz w:val="24"/>
          <w:szCs w:val="24"/>
          <w14:textFill>
            <w14:solidFill>
              <w14:schemeClr w14:val="tx1"/>
            </w14:solidFill>
          </w14:textFill>
        </w:rPr>
        <w:t xml:space="preserve"> High-strength β stabilized Ti-Nb-Fe-Cr alloys with large plasticity. </w:t>
      </w:r>
      <w:r>
        <w:rPr>
          <w:rFonts w:ascii="Times New Roman" w:hAnsi="Times New Roman" w:cs="Times New Roman"/>
          <w:i/>
          <w:color w:val="000000" w:themeColor="text1"/>
          <w:sz w:val="24"/>
          <w:szCs w:val="24"/>
          <w14:textFill>
            <w14:solidFill>
              <w14:schemeClr w14:val="tx1"/>
            </w14:solidFill>
          </w14:textFill>
        </w:rPr>
        <w:t>Materials Science and Engineering: A</w:t>
      </w:r>
      <w:r>
        <w:rPr>
          <w:rFonts w:ascii="Times New Roman" w:hAnsi="Times New Roman" w:cs="Times New Roman"/>
          <w:color w:val="000000" w:themeColor="text1"/>
          <w:sz w:val="24"/>
          <w:szCs w:val="24"/>
          <w14:textFill>
            <w14:solidFill>
              <w14:schemeClr w14:val="tx1"/>
            </w14:solidFill>
          </w14:textFill>
        </w:rPr>
        <w:t xml:space="preserve"> </w:t>
      </w:r>
      <w:r>
        <w:rPr>
          <w:rFonts w:ascii="Times New Roman" w:hAnsi="Times New Roman" w:cs="Times New Roman"/>
          <w:b/>
          <w:color w:val="000000" w:themeColor="text1"/>
          <w:sz w:val="24"/>
          <w:szCs w:val="24"/>
          <w14:textFill>
            <w14:solidFill>
              <w14:schemeClr w14:val="tx1"/>
            </w14:solidFill>
          </w14:textFill>
        </w:rPr>
        <w:t>732</w:t>
      </w:r>
      <w:r>
        <w:rPr>
          <w:rFonts w:ascii="Times New Roman" w:hAnsi="Times New Roman" w:cs="Times New Roman"/>
          <w:color w:val="000000" w:themeColor="text1"/>
          <w:sz w:val="24"/>
          <w:szCs w:val="24"/>
          <w14:textFill>
            <w14:solidFill>
              <w14:schemeClr w14:val="tx1"/>
            </w14:solidFill>
          </w14:textFill>
        </w:rPr>
        <w:t>, 368-377, doi:</w:t>
      </w:r>
      <w:r>
        <w:fldChar w:fldCharType="begin"/>
      </w:r>
      <w:r>
        <w:instrText xml:space="preserve"> HYPERLINK "https://doi.org/10.1016/j.msea.2018.07.031" </w:instrText>
      </w:r>
      <w:r>
        <w:fldChar w:fldCharType="separate"/>
      </w:r>
      <w:r>
        <w:rPr>
          <w:rStyle w:val="19"/>
          <w:rFonts w:ascii="Times New Roman" w:hAnsi="Times New Roman" w:cs="Times New Roman"/>
          <w:color w:val="000000" w:themeColor="text1"/>
          <w:sz w:val="24"/>
          <w:szCs w:val="24"/>
          <w:u w:val="none"/>
          <w14:textFill>
            <w14:solidFill>
              <w14:schemeClr w14:val="tx1"/>
            </w14:solidFill>
          </w14:textFill>
        </w:rPr>
        <w:t>https://doi.org/10.1016/j.msea.2018.07.031</w:t>
      </w:r>
      <w:r>
        <w:rPr>
          <w:rStyle w:val="19"/>
          <w:rFonts w:ascii="Times New Roman" w:hAnsi="Times New Roman" w:cs="Times New Roman"/>
          <w:color w:val="000000" w:themeColor="text1"/>
          <w:sz w:val="24"/>
          <w:szCs w:val="24"/>
          <w:u w:val="none"/>
          <w14:textFill>
            <w14:solidFill>
              <w14:schemeClr w14:val="tx1"/>
            </w14:solidFill>
          </w14:textFill>
        </w:rPr>
        <w:fldChar w:fldCharType="end"/>
      </w:r>
      <w:r>
        <w:rPr>
          <w:rFonts w:ascii="Times New Roman" w:hAnsi="Times New Roman" w:cs="Times New Roman"/>
          <w:color w:val="000000" w:themeColor="text1"/>
          <w:sz w:val="24"/>
          <w:szCs w:val="24"/>
          <w14:textFill>
            <w14:solidFill>
              <w14:schemeClr w14:val="tx1"/>
            </w14:solidFill>
          </w14:textFill>
        </w:rPr>
        <w:t xml:space="preserve"> (2018).</w:t>
      </w:r>
    </w:p>
    <w:p w14:paraId="74D37CD4">
      <w:pPr>
        <w:pStyle w:val="34"/>
        <w:spacing w:line="360" w:lineRule="auto"/>
        <w:ind w:left="720" w:hanging="72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14</w:t>
      </w:r>
      <w:r>
        <w:rPr>
          <w:rFonts w:ascii="Times New Roman" w:hAnsi="Times New Roman" w:cs="Times New Roman"/>
          <w:color w:val="000000" w:themeColor="text1"/>
          <w:sz w:val="24"/>
          <w:szCs w:val="24"/>
          <w14:textFill>
            <w14:solidFill>
              <w14:schemeClr w14:val="tx1"/>
            </w14:solidFill>
          </w14:textFill>
        </w:rPr>
        <w:tab/>
      </w:r>
      <w:r>
        <w:rPr>
          <w:rFonts w:ascii="Times New Roman" w:hAnsi="Times New Roman" w:cs="Times New Roman"/>
          <w:color w:val="000000" w:themeColor="text1"/>
          <w:sz w:val="24"/>
          <w:szCs w:val="24"/>
          <w14:textFill>
            <w14:solidFill>
              <w14:schemeClr w14:val="tx1"/>
            </w14:solidFill>
          </w14:textFill>
        </w:rPr>
        <w:t xml:space="preserve">Liu, C., Zhang, L.-C., Wang, K. &amp; Wang, L. Improving strength and plasticity via pre-assembled dislocation networks in additively manufactured refractory high entropy alloy. </w:t>
      </w:r>
      <w:r>
        <w:rPr>
          <w:rFonts w:ascii="Times New Roman" w:hAnsi="Times New Roman" w:cs="Times New Roman"/>
          <w:i/>
          <w:color w:val="000000" w:themeColor="text1"/>
          <w:sz w:val="24"/>
          <w:szCs w:val="24"/>
          <w14:textFill>
            <w14:solidFill>
              <w14:schemeClr w14:val="tx1"/>
            </w14:solidFill>
          </w14:textFill>
        </w:rPr>
        <w:t>Acta Materialia</w:t>
      </w:r>
      <w:r>
        <w:rPr>
          <w:rFonts w:ascii="Times New Roman" w:hAnsi="Times New Roman" w:cs="Times New Roman"/>
          <w:color w:val="000000" w:themeColor="text1"/>
          <w:sz w:val="24"/>
          <w:szCs w:val="24"/>
          <w14:textFill>
            <w14:solidFill>
              <w14:schemeClr w14:val="tx1"/>
            </w14:solidFill>
          </w14:textFill>
        </w:rPr>
        <w:t xml:space="preserve"> </w:t>
      </w:r>
      <w:r>
        <w:rPr>
          <w:rFonts w:ascii="Times New Roman" w:hAnsi="Times New Roman" w:cs="Times New Roman"/>
          <w:b/>
          <w:color w:val="000000" w:themeColor="text1"/>
          <w:sz w:val="24"/>
          <w:szCs w:val="24"/>
          <w14:textFill>
            <w14:solidFill>
              <w14:schemeClr w14:val="tx1"/>
            </w14:solidFill>
          </w14:textFill>
        </w:rPr>
        <w:t>283</w:t>
      </w:r>
      <w:r>
        <w:rPr>
          <w:rFonts w:ascii="Times New Roman" w:hAnsi="Times New Roman" w:cs="Times New Roman"/>
          <w:color w:val="000000" w:themeColor="text1"/>
          <w:sz w:val="24"/>
          <w:szCs w:val="24"/>
          <w14:textFill>
            <w14:solidFill>
              <w14:schemeClr w14:val="tx1"/>
            </w14:solidFill>
          </w14:textFill>
        </w:rPr>
        <w:t>, 120526, doi:</w:t>
      </w:r>
      <w:r>
        <w:fldChar w:fldCharType="begin"/>
      </w:r>
      <w:r>
        <w:instrText xml:space="preserve"> HYPERLINK "https://doi.org/10.1016/j.actamat.2024.120526" </w:instrText>
      </w:r>
      <w:r>
        <w:fldChar w:fldCharType="separate"/>
      </w:r>
      <w:r>
        <w:rPr>
          <w:rStyle w:val="19"/>
          <w:rFonts w:ascii="Times New Roman" w:hAnsi="Times New Roman" w:cs="Times New Roman"/>
          <w:color w:val="000000" w:themeColor="text1"/>
          <w:sz w:val="24"/>
          <w:szCs w:val="24"/>
          <w:u w:val="none"/>
          <w14:textFill>
            <w14:solidFill>
              <w14:schemeClr w14:val="tx1"/>
            </w14:solidFill>
          </w14:textFill>
        </w:rPr>
        <w:t>https://doi.org/10.1016/j.actamat.2024.120526</w:t>
      </w:r>
      <w:r>
        <w:rPr>
          <w:rStyle w:val="19"/>
          <w:rFonts w:ascii="Times New Roman" w:hAnsi="Times New Roman" w:cs="Times New Roman"/>
          <w:color w:val="000000" w:themeColor="text1"/>
          <w:sz w:val="24"/>
          <w:szCs w:val="24"/>
          <w:u w:val="none"/>
          <w14:textFill>
            <w14:solidFill>
              <w14:schemeClr w14:val="tx1"/>
            </w14:solidFill>
          </w14:textFill>
        </w:rPr>
        <w:fldChar w:fldCharType="end"/>
      </w:r>
      <w:r>
        <w:rPr>
          <w:rFonts w:ascii="Times New Roman" w:hAnsi="Times New Roman" w:cs="Times New Roman"/>
          <w:color w:val="000000" w:themeColor="text1"/>
          <w:sz w:val="24"/>
          <w:szCs w:val="24"/>
          <w14:textFill>
            <w14:solidFill>
              <w14:schemeClr w14:val="tx1"/>
            </w14:solidFill>
          </w14:textFill>
        </w:rPr>
        <w:t xml:space="preserve"> (2025).</w:t>
      </w:r>
    </w:p>
    <w:p w14:paraId="7E12BB66">
      <w:pPr>
        <w:pStyle w:val="34"/>
        <w:spacing w:line="360" w:lineRule="auto"/>
        <w:ind w:left="720" w:hanging="72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15</w:t>
      </w:r>
      <w:r>
        <w:rPr>
          <w:rFonts w:ascii="Times New Roman" w:hAnsi="Times New Roman" w:cs="Times New Roman"/>
          <w:color w:val="000000" w:themeColor="text1"/>
          <w:sz w:val="24"/>
          <w:szCs w:val="24"/>
          <w14:textFill>
            <w14:solidFill>
              <w14:schemeClr w14:val="tx1"/>
            </w14:solidFill>
          </w14:textFill>
        </w:rPr>
        <w:tab/>
      </w:r>
      <w:r>
        <w:rPr>
          <w:rFonts w:ascii="Times New Roman" w:hAnsi="Times New Roman" w:cs="Times New Roman"/>
          <w:color w:val="000000" w:themeColor="text1"/>
          <w:sz w:val="24"/>
          <w:szCs w:val="24"/>
          <w14:textFill>
            <w14:solidFill>
              <w14:schemeClr w14:val="tx1"/>
            </w14:solidFill>
          </w14:textFill>
        </w:rPr>
        <w:t>Liu, B.-Y.</w:t>
      </w:r>
      <w:r>
        <w:rPr>
          <w:rFonts w:ascii="Times New Roman" w:hAnsi="Times New Roman" w:cs="Times New Roman"/>
          <w:i/>
          <w:color w:val="000000" w:themeColor="text1"/>
          <w:sz w:val="24"/>
          <w:szCs w:val="24"/>
          <w14:textFill>
            <w14:solidFill>
              <w14:schemeClr w14:val="tx1"/>
            </w14:solidFill>
          </w14:textFill>
        </w:rPr>
        <w:t xml:space="preserve"> et al.</w:t>
      </w:r>
      <w:r>
        <w:rPr>
          <w:rFonts w:ascii="Times New Roman" w:hAnsi="Times New Roman" w:cs="Times New Roman"/>
          <w:color w:val="000000" w:themeColor="text1"/>
          <w:sz w:val="24"/>
          <w:szCs w:val="24"/>
          <w14:textFill>
            <w14:solidFill>
              <w14:schemeClr w14:val="tx1"/>
            </w14:solidFill>
          </w14:textFill>
        </w:rPr>
        <w:t xml:space="preserve"> Large plasticity in magnesium mediated by pyramidal dislocations. </w:t>
      </w:r>
      <w:r>
        <w:rPr>
          <w:rFonts w:ascii="Times New Roman" w:hAnsi="Times New Roman" w:cs="Times New Roman"/>
          <w:i/>
          <w:color w:val="000000" w:themeColor="text1"/>
          <w:sz w:val="24"/>
          <w:szCs w:val="24"/>
          <w14:textFill>
            <w14:solidFill>
              <w14:schemeClr w14:val="tx1"/>
            </w14:solidFill>
          </w14:textFill>
        </w:rPr>
        <w:t>Science</w:t>
      </w:r>
      <w:r>
        <w:rPr>
          <w:rFonts w:ascii="Times New Roman" w:hAnsi="Times New Roman" w:cs="Times New Roman"/>
          <w:color w:val="000000" w:themeColor="text1"/>
          <w:sz w:val="24"/>
          <w:szCs w:val="24"/>
          <w14:textFill>
            <w14:solidFill>
              <w14:schemeClr w14:val="tx1"/>
            </w14:solidFill>
          </w14:textFill>
        </w:rPr>
        <w:t xml:space="preserve"> </w:t>
      </w:r>
      <w:r>
        <w:rPr>
          <w:rFonts w:ascii="Times New Roman" w:hAnsi="Times New Roman" w:cs="Times New Roman"/>
          <w:b/>
          <w:color w:val="000000" w:themeColor="text1"/>
          <w:sz w:val="24"/>
          <w:szCs w:val="24"/>
          <w14:textFill>
            <w14:solidFill>
              <w14:schemeClr w14:val="tx1"/>
            </w14:solidFill>
          </w14:textFill>
        </w:rPr>
        <w:t>365</w:t>
      </w:r>
      <w:r>
        <w:rPr>
          <w:rFonts w:ascii="Times New Roman" w:hAnsi="Times New Roman" w:cs="Times New Roman"/>
          <w:color w:val="000000" w:themeColor="text1"/>
          <w:sz w:val="24"/>
          <w:szCs w:val="24"/>
          <w14:textFill>
            <w14:solidFill>
              <w14:schemeClr w14:val="tx1"/>
            </w14:solidFill>
          </w14:textFill>
        </w:rPr>
        <w:t>, 73-75, doi:10.1126/science.aaw2843 (2019).</w:t>
      </w:r>
    </w:p>
    <w:p w14:paraId="288C1603">
      <w:pPr>
        <w:pStyle w:val="34"/>
        <w:spacing w:line="360" w:lineRule="auto"/>
        <w:ind w:left="720" w:hanging="72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16</w:t>
      </w:r>
      <w:r>
        <w:rPr>
          <w:rFonts w:ascii="Times New Roman" w:hAnsi="Times New Roman" w:cs="Times New Roman"/>
          <w:color w:val="000000" w:themeColor="text1"/>
          <w:sz w:val="24"/>
          <w:szCs w:val="24"/>
          <w14:textFill>
            <w14:solidFill>
              <w14:schemeClr w14:val="tx1"/>
            </w14:solidFill>
          </w14:textFill>
        </w:rPr>
        <w:tab/>
      </w:r>
      <w:r>
        <w:rPr>
          <w:rFonts w:ascii="Times New Roman" w:hAnsi="Times New Roman" w:cs="Times New Roman"/>
          <w:color w:val="000000" w:themeColor="text1"/>
          <w:sz w:val="24"/>
          <w:szCs w:val="24"/>
          <w14:textFill>
            <w14:solidFill>
              <w14:schemeClr w14:val="tx1"/>
            </w14:solidFill>
          </w14:textFill>
        </w:rPr>
        <w:t>Cao, Z.</w:t>
      </w:r>
      <w:r>
        <w:rPr>
          <w:rFonts w:ascii="Times New Roman" w:hAnsi="Times New Roman" w:cs="Times New Roman"/>
          <w:i/>
          <w:color w:val="000000" w:themeColor="text1"/>
          <w:sz w:val="24"/>
          <w:szCs w:val="24"/>
          <w14:textFill>
            <w14:solidFill>
              <w14:schemeClr w14:val="tx1"/>
            </w14:solidFill>
          </w14:textFill>
        </w:rPr>
        <w:t xml:space="preserve"> et al.</w:t>
      </w:r>
      <w:r>
        <w:rPr>
          <w:rFonts w:ascii="Times New Roman" w:hAnsi="Times New Roman" w:cs="Times New Roman"/>
          <w:color w:val="000000" w:themeColor="text1"/>
          <w:sz w:val="24"/>
          <w:szCs w:val="24"/>
          <w14:textFill>
            <w14:solidFill>
              <w14:schemeClr w14:val="tx1"/>
            </w14:solidFill>
          </w14:textFill>
        </w:rPr>
        <w:t xml:space="preserve"> Nanolamellar medium entropy alloy composites with high strength and large plasticity. </w:t>
      </w:r>
      <w:r>
        <w:rPr>
          <w:rFonts w:ascii="Times New Roman" w:hAnsi="Times New Roman" w:cs="Times New Roman"/>
          <w:i/>
          <w:color w:val="000000" w:themeColor="text1"/>
          <w:sz w:val="24"/>
          <w:szCs w:val="24"/>
          <w14:textFill>
            <w14:solidFill>
              <w14:schemeClr w14:val="tx1"/>
            </w14:solidFill>
          </w14:textFill>
        </w:rPr>
        <w:t>Journal of Alloys and Compounds</w:t>
      </w:r>
      <w:r>
        <w:rPr>
          <w:rFonts w:ascii="Times New Roman" w:hAnsi="Times New Roman" w:cs="Times New Roman"/>
          <w:color w:val="000000" w:themeColor="text1"/>
          <w:sz w:val="24"/>
          <w:szCs w:val="24"/>
          <w14:textFill>
            <w14:solidFill>
              <w14:schemeClr w14:val="tx1"/>
            </w14:solidFill>
          </w14:textFill>
        </w:rPr>
        <w:t xml:space="preserve"> </w:t>
      </w:r>
      <w:r>
        <w:rPr>
          <w:rFonts w:ascii="Times New Roman" w:hAnsi="Times New Roman" w:cs="Times New Roman"/>
          <w:b/>
          <w:color w:val="000000" w:themeColor="text1"/>
          <w:sz w:val="24"/>
          <w:szCs w:val="24"/>
          <w14:textFill>
            <w14:solidFill>
              <w14:schemeClr w14:val="tx1"/>
            </w14:solidFill>
          </w14:textFill>
        </w:rPr>
        <w:t>873</w:t>
      </w:r>
      <w:r>
        <w:rPr>
          <w:rFonts w:ascii="Times New Roman" w:hAnsi="Times New Roman" w:cs="Times New Roman"/>
          <w:color w:val="000000" w:themeColor="text1"/>
          <w:sz w:val="24"/>
          <w:szCs w:val="24"/>
          <w14:textFill>
            <w14:solidFill>
              <w14:schemeClr w14:val="tx1"/>
            </w14:solidFill>
          </w14:textFill>
        </w:rPr>
        <w:t>, 159775, doi:</w:t>
      </w:r>
      <w:r>
        <w:fldChar w:fldCharType="begin"/>
      </w:r>
      <w:r>
        <w:instrText xml:space="preserve"> HYPERLINK "https://doi.org/10.1016/j.jallcom.2021.159775" </w:instrText>
      </w:r>
      <w:r>
        <w:fldChar w:fldCharType="separate"/>
      </w:r>
      <w:r>
        <w:rPr>
          <w:rStyle w:val="19"/>
          <w:rFonts w:ascii="Times New Roman" w:hAnsi="Times New Roman" w:cs="Times New Roman"/>
          <w:color w:val="000000" w:themeColor="text1"/>
          <w:sz w:val="24"/>
          <w:szCs w:val="24"/>
          <w:u w:val="none"/>
          <w14:textFill>
            <w14:solidFill>
              <w14:schemeClr w14:val="tx1"/>
            </w14:solidFill>
          </w14:textFill>
        </w:rPr>
        <w:t>https://doi.org/10.1016/j.jallcom.2021.159775</w:t>
      </w:r>
      <w:r>
        <w:rPr>
          <w:rStyle w:val="19"/>
          <w:rFonts w:ascii="Times New Roman" w:hAnsi="Times New Roman" w:cs="Times New Roman"/>
          <w:color w:val="000000" w:themeColor="text1"/>
          <w:sz w:val="24"/>
          <w:szCs w:val="24"/>
          <w:u w:val="none"/>
          <w14:textFill>
            <w14:solidFill>
              <w14:schemeClr w14:val="tx1"/>
            </w14:solidFill>
          </w14:textFill>
        </w:rPr>
        <w:fldChar w:fldCharType="end"/>
      </w:r>
      <w:r>
        <w:rPr>
          <w:rFonts w:ascii="Times New Roman" w:hAnsi="Times New Roman" w:cs="Times New Roman"/>
          <w:color w:val="000000" w:themeColor="text1"/>
          <w:sz w:val="24"/>
          <w:szCs w:val="24"/>
          <w14:textFill>
            <w14:solidFill>
              <w14:schemeClr w14:val="tx1"/>
            </w14:solidFill>
          </w14:textFill>
        </w:rPr>
        <w:t xml:space="preserve"> (2021).</w:t>
      </w:r>
    </w:p>
    <w:p w14:paraId="063F4FAC">
      <w:pPr>
        <w:pStyle w:val="34"/>
        <w:spacing w:line="360" w:lineRule="auto"/>
        <w:ind w:left="720" w:hanging="72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17</w:t>
      </w:r>
      <w:r>
        <w:rPr>
          <w:rFonts w:ascii="Times New Roman" w:hAnsi="Times New Roman" w:cs="Times New Roman"/>
          <w:color w:val="000000" w:themeColor="text1"/>
          <w:sz w:val="24"/>
          <w:szCs w:val="24"/>
          <w14:textFill>
            <w14:solidFill>
              <w14:schemeClr w14:val="tx1"/>
            </w14:solidFill>
          </w14:textFill>
        </w:rPr>
        <w:tab/>
      </w:r>
      <w:r>
        <w:rPr>
          <w:rFonts w:ascii="Times New Roman" w:hAnsi="Times New Roman" w:cs="Times New Roman"/>
          <w:color w:val="000000" w:themeColor="text1"/>
          <w:sz w:val="24"/>
          <w:szCs w:val="24"/>
          <w14:textFill>
            <w14:solidFill>
              <w14:schemeClr w14:val="tx1"/>
            </w14:solidFill>
          </w14:textFill>
        </w:rPr>
        <w:t>Jeong, J.</w:t>
      </w:r>
      <w:r>
        <w:rPr>
          <w:rFonts w:ascii="Times New Roman" w:hAnsi="Times New Roman" w:cs="Times New Roman"/>
          <w:i/>
          <w:color w:val="000000" w:themeColor="text1"/>
          <w:sz w:val="24"/>
          <w:szCs w:val="24"/>
          <w14:textFill>
            <w14:solidFill>
              <w14:schemeClr w14:val="tx1"/>
            </w14:solidFill>
          </w14:textFill>
        </w:rPr>
        <w:t xml:space="preserve"> et al.</w:t>
      </w:r>
      <w:r>
        <w:rPr>
          <w:rFonts w:ascii="Times New Roman" w:hAnsi="Times New Roman" w:cs="Times New Roman"/>
          <w:color w:val="000000" w:themeColor="text1"/>
          <w:sz w:val="24"/>
          <w:szCs w:val="24"/>
          <w14:textFill>
            <w14:solidFill>
              <w14:schemeClr w14:val="tx1"/>
            </w14:solidFill>
          </w14:textFill>
        </w:rPr>
        <w:t xml:space="preserve"> Nanoscale mechanisms limiting non-basal plasticity in magnesium. </w:t>
      </w:r>
      <w:r>
        <w:rPr>
          <w:rFonts w:ascii="Times New Roman" w:hAnsi="Times New Roman" w:cs="Times New Roman"/>
          <w:i/>
          <w:color w:val="000000" w:themeColor="text1"/>
          <w:sz w:val="24"/>
          <w:szCs w:val="24"/>
          <w14:textFill>
            <w14:solidFill>
              <w14:schemeClr w14:val="tx1"/>
            </w14:solidFill>
          </w14:textFill>
        </w:rPr>
        <w:t>Acta Materialia</w:t>
      </w:r>
      <w:r>
        <w:rPr>
          <w:rFonts w:ascii="Times New Roman" w:hAnsi="Times New Roman" w:cs="Times New Roman"/>
          <w:color w:val="000000" w:themeColor="text1"/>
          <w:sz w:val="24"/>
          <w:szCs w:val="24"/>
          <w14:textFill>
            <w14:solidFill>
              <w14:schemeClr w14:val="tx1"/>
            </w14:solidFill>
          </w14:textFill>
        </w:rPr>
        <w:t xml:space="preserve"> </w:t>
      </w:r>
      <w:r>
        <w:rPr>
          <w:rFonts w:ascii="Times New Roman" w:hAnsi="Times New Roman" w:cs="Times New Roman"/>
          <w:b/>
          <w:color w:val="000000" w:themeColor="text1"/>
          <w:sz w:val="24"/>
          <w:szCs w:val="24"/>
          <w14:textFill>
            <w14:solidFill>
              <w14:schemeClr w14:val="tx1"/>
            </w14:solidFill>
          </w14:textFill>
        </w:rPr>
        <w:t>296</w:t>
      </w:r>
      <w:r>
        <w:rPr>
          <w:rFonts w:ascii="Times New Roman" w:hAnsi="Times New Roman" w:cs="Times New Roman"/>
          <w:color w:val="000000" w:themeColor="text1"/>
          <w:sz w:val="24"/>
          <w:szCs w:val="24"/>
          <w14:textFill>
            <w14:solidFill>
              <w14:schemeClr w14:val="tx1"/>
            </w14:solidFill>
          </w14:textFill>
        </w:rPr>
        <w:t>, 121261, doi:</w:t>
      </w:r>
      <w:r>
        <w:fldChar w:fldCharType="begin"/>
      </w:r>
      <w:r>
        <w:instrText xml:space="preserve"> HYPERLINK "https://doi.org/10.1016/j.actamat.2025.121261" </w:instrText>
      </w:r>
      <w:r>
        <w:fldChar w:fldCharType="separate"/>
      </w:r>
      <w:r>
        <w:rPr>
          <w:rStyle w:val="19"/>
          <w:rFonts w:ascii="Times New Roman" w:hAnsi="Times New Roman" w:cs="Times New Roman"/>
          <w:color w:val="000000" w:themeColor="text1"/>
          <w:sz w:val="24"/>
          <w:szCs w:val="24"/>
          <w:u w:val="none"/>
          <w14:textFill>
            <w14:solidFill>
              <w14:schemeClr w14:val="tx1"/>
            </w14:solidFill>
          </w14:textFill>
        </w:rPr>
        <w:t>https://doi.org/10.1016/j.actamat.2025.121261</w:t>
      </w:r>
      <w:r>
        <w:rPr>
          <w:rStyle w:val="19"/>
          <w:rFonts w:ascii="Times New Roman" w:hAnsi="Times New Roman" w:cs="Times New Roman"/>
          <w:color w:val="000000" w:themeColor="text1"/>
          <w:sz w:val="24"/>
          <w:szCs w:val="24"/>
          <w:u w:val="none"/>
          <w14:textFill>
            <w14:solidFill>
              <w14:schemeClr w14:val="tx1"/>
            </w14:solidFill>
          </w14:textFill>
        </w:rPr>
        <w:fldChar w:fldCharType="end"/>
      </w:r>
      <w:r>
        <w:rPr>
          <w:rFonts w:ascii="Times New Roman" w:hAnsi="Times New Roman" w:cs="Times New Roman"/>
          <w:color w:val="000000" w:themeColor="text1"/>
          <w:sz w:val="24"/>
          <w:szCs w:val="24"/>
          <w14:textFill>
            <w14:solidFill>
              <w14:schemeClr w14:val="tx1"/>
            </w14:solidFill>
          </w14:textFill>
        </w:rPr>
        <w:t xml:space="preserve"> (2025).</w:t>
      </w:r>
    </w:p>
    <w:p w14:paraId="05D8CAAA">
      <w:pPr>
        <w:pStyle w:val="34"/>
        <w:spacing w:line="360" w:lineRule="auto"/>
        <w:ind w:left="720" w:hanging="72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18</w:t>
      </w:r>
      <w:r>
        <w:rPr>
          <w:rFonts w:ascii="Times New Roman" w:hAnsi="Times New Roman" w:cs="Times New Roman"/>
          <w:color w:val="000000" w:themeColor="text1"/>
          <w:sz w:val="24"/>
          <w:szCs w:val="24"/>
          <w14:textFill>
            <w14:solidFill>
              <w14:schemeClr w14:val="tx1"/>
            </w14:solidFill>
          </w14:textFill>
        </w:rPr>
        <w:tab/>
      </w:r>
      <w:r>
        <w:rPr>
          <w:rFonts w:ascii="Times New Roman" w:hAnsi="Times New Roman" w:cs="Times New Roman"/>
          <w:color w:val="000000" w:themeColor="text1"/>
          <w:sz w:val="24"/>
          <w:szCs w:val="24"/>
          <w14:textFill>
            <w14:solidFill>
              <w14:schemeClr w14:val="tx1"/>
            </w14:solidFill>
          </w14:textFill>
        </w:rPr>
        <w:t>Liu, C.</w:t>
      </w:r>
      <w:r>
        <w:rPr>
          <w:rFonts w:ascii="Times New Roman" w:hAnsi="Times New Roman" w:cs="Times New Roman"/>
          <w:i/>
          <w:color w:val="000000" w:themeColor="text1"/>
          <w:sz w:val="24"/>
          <w:szCs w:val="24"/>
          <w14:textFill>
            <w14:solidFill>
              <w14:schemeClr w14:val="tx1"/>
            </w14:solidFill>
          </w14:textFill>
        </w:rPr>
        <w:t xml:space="preserve"> et al.</w:t>
      </w:r>
      <w:r>
        <w:rPr>
          <w:rFonts w:ascii="Times New Roman" w:hAnsi="Times New Roman" w:cs="Times New Roman"/>
          <w:color w:val="000000" w:themeColor="text1"/>
          <w:sz w:val="24"/>
          <w:szCs w:val="24"/>
          <w14:textFill>
            <w14:solidFill>
              <w14:schemeClr w14:val="tx1"/>
            </w14:solidFill>
          </w14:textFill>
        </w:rPr>
        <w:t xml:space="preserve"> Near-theoretical strength and deformation stabilization achieved via grain boundary segregation and nano-clustering of solutes. </w:t>
      </w:r>
      <w:r>
        <w:rPr>
          <w:rFonts w:ascii="Times New Roman" w:hAnsi="Times New Roman" w:cs="Times New Roman"/>
          <w:i/>
          <w:color w:val="000000" w:themeColor="text1"/>
          <w:sz w:val="24"/>
          <w:szCs w:val="24"/>
          <w14:textFill>
            <w14:solidFill>
              <w14:schemeClr w14:val="tx1"/>
            </w14:solidFill>
          </w14:textFill>
        </w:rPr>
        <w:t>Nature Communications</w:t>
      </w:r>
      <w:r>
        <w:rPr>
          <w:rFonts w:ascii="Times New Roman" w:hAnsi="Times New Roman" w:cs="Times New Roman"/>
          <w:color w:val="000000" w:themeColor="text1"/>
          <w:sz w:val="24"/>
          <w:szCs w:val="24"/>
          <w14:textFill>
            <w14:solidFill>
              <w14:schemeClr w14:val="tx1"/>
            </w14:solidFill>
          </w14:textFill>
        </w:rPr>
        <w:t xml:space="preserve"> </w:t>
      </w:r>
      <w:r>
        <w:rPr>
          <w:rFonts w:ascii="Times New Roman" w:hAnsi="Times New Roman" w:cs="Times New Roman"/>
          <w:b/>
          <w:color w:val="000000" w:themeColor="text1"/>
          <w:sz w:val="24"/>
          <w:szCs w:val="24"/>
          <w14:textFill>
            <w14:solidFill>
              <w14:schemeClr w14:val="tx1"/>
            </w14:solidFill>
          </w14:textFill>
        </w:rPr>
        <w:t>15</w:t>
      </w:r>
      <w:r>
        <w:rPr>
          <w:rFonts w:ascii="Times New Roman" w:hAnsi="Times New Roman" w:cs="Times New Roman"/>
          <w:color w:val="000000" w:themeColor="text1"/>
          <w:sz w:val="24"/>
          <w:szCs w:val="24"/>
          <w14:textFill>
            <w14:solidFill>
              <w14:schemeClr w14:val="tx1"/>
            </w14:solidFill>
          </w14:textFill>
        </w:rPr>
        <w:t>, 9283, doi:10.1038/s41467-024-53349-4 (2024).</w:t>
      </w:r>
    </w:p>
    <w:p w14:paraId="7C8D8761">
      <w:pPr>
        <w:pStyle w:val="34"/>
        <w:spacing w:line="360" w:lineRule="auto"/>
        <w:ind w:left="720" w:hanging="72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19</w:t>
      </w:r>
      <w:r>
        <w:rPr>
          <w:rFonts w:ascii="Times New Roman" w:hAnsi="Times New Roman" w:cs="Times New Roman"/>
          <w:color w:val="000000" w:themeColor="text1"/>
          <w:sz w:val="24"/>
          <w:szCs w:val="24"/>
          <w14:textFill>
            <w14:solidFill>
              <w14:schemeClr w14:val="tx1"/>
            </w14:solidFill>
          </w14:textFill>
        </w:rPr>
        <w:tab/>
      </w:r>
      <w:r>
        <w:rPr>
          <w:rFonts w:ascii="Times New Roman" w:hAnsi="Times New Roman" w:cs="Times New Roman"/>
          <w:color w:val="000000" w:themeColor="text1"/>
          <w:sz w:val="24"/>
          <w:szCs w:val="24"/>
          <w14:textFill>
            <w14:solidFill>
              <w14:schemeClr w14:val="tx1"/>
            </w14:solidFill>
          </w14:textFill>
        </w:rPr>
        <w:t>Wu, G.</w:t>
      </w:r>
      <w:r>
        <w:rPr>
          <w:rFonts w:ascii="Times New Roman" w:hAnsi="Times New Roman" w:cs="Times New Roman"/>
          <w:i/>
          <w:color w:val="000000" w:themeColor="text1"/>
          <w:sz w:val="24"/>
          <w:szCs w:val="24"/>
          <w14:textFill>
            <w14:solidFill>
              <w14:schemeClr w14:val="tx1"/>
            </w14:solidFill>
          </w14:textFill>
        </w:rPr>
        <w:t xml:space="preserve"> et al.</w:t>
      </w:r>
      <w:r>
        <w:rPr>
          <w:rFonts w:ascii="Times New Roman" w:hAnsi="Times New Roman" w:cs="Times New Roman"/>
          <w:color w:val="000000" w:themeColor="text1"/>
          <w:sz w:val="24"/>
          <w:szCs w:val="24"/>
          <w14:textFill>
            <w14:solidFill>
              <w14:schemeClr w14:val="tx1"/>
            </w14:solidFill>
          </w14:textFill>
        </w:rPr>
        <w:t xml:space="preserve"> Substantially enhanced homogeneous plastic flow in hierarchically nanodomained amorphous alloys. </w:t>
      </w:r>
      <w:r>
        <w:rPr>
          <w:rFonts w:ascii="Times New Roman" w:hAnsi="Times New Roman" w:cs="Times New Roman"/>
          <w:i/>
          <w:color w:val="000000" w:themeColor="text1"/>
          <w:sz w:val="24"/>
          <w:szCs w:val="24"/>
          <w14:textFill>
            <w14:solidFill>
              <w14:schemeClr w14:val="tx1"/>
            </w14:solidFill>
          </w14:textFill>
        </w:rPr>
        <w:t>Nature Communications</w:t>
      </w:r>
      <w:r>
        <w:rPr>
          <w:rFonts w:ascii="Times New Roman" w:hAnsi="Times New Roman" w:cs="Times New Roman"/>
          <w:color w:val="000000" w:themeColor="text1"/>
          <w:sz w:val="24"/>
          <w:szCs w:val="24"/>
          <w14:textFill>
            <w14:solidFill>
              <w14:schemeClr w14:val="tx1"/>
            </w14:solidFill>
          </w14:textFill>
        </w:rPr>
        <w:t xml:space="preserve"> </w:t>
      </w:r>
      <w:r>
        <w:rPr>
          <w:rFonts w:ascii="Times New Roman" w:hAnsi="Times New Roman" w:cs="Times New Roman"/>
          <w:b/>
          <w:color w:val="000000" w:themeColor="text1"/>
          <w:sz w:val="24"/>
          <w:szCs w:val="24"/>
          <w14:textFill>
            <w14:solidFill>
              <w14:schemeClr w14:val="tx1"/>
            </w14:solidFill>
          </w14:textFill>
        </w:rPr>
        <w:t>14</w:t>
      </w:r>
      <w:r>
        <w:rPr>
          <w:rFonts w:ascii="Times New Roman" w:hAnsi="Times New Roman" w:cs="Times New Roman"/>
          <w:color w:val="000000" w:themeColor="text1"/>
          <w:sz w:val="24"/>
          <w:szCs w:val="24"/>
          <w14:textFill>
            <w14:solidFill>
              <w14:schemeClr w14:val="tx1"/>
            </w14:solidFill>
          </w14:textFill>
        </w:rPr>
        <w:t>, 3670, doi:10.1038/s41467-023-39296-6 (2023).</w:t>
      </w:r>
    </w:p>
    <w:p w14:paraId="7A604A87">
      <w:pPr>
        <w:pStyle w:val="34"/>
        <w:spacing w:line="360" w:lineRule="auto"/>
        <w:ind w:left="720" w:hanging="72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20</w:t>
      </w:r>
      <w:r>
        <w:rPr>
          <w:rFonts w:ascii="Times New Roman" w:hAnsi="Times New Roman" w:cs="Times New Roman"/>
          <w:color w:val="000000" w:themeColor="text1"/>
          <w:sz w:val="24"/>
          <w:szCs w:val="24"/>
          <w14:textFill>
            <w14:solidFill>
              <w14:schemeClr w14:val="tx1"/>
            </w14:solidFill>
          </w14:textFill>
        </w:rPr>
        <w:tab/>
      </w:r>
      <w:r>
        <w:rPr>
          <w:rFonts w:ascii="Times New Roman" w:hAnsi="Times New Roman" w:cs="Times New Roman"/>
          <w:color w:val="000000" w:themeColor="text1"/>
          <w:sz w:val="24"/>
          <w:szCs w:val="24"/>
          <w14:textFill>
            <w14:solidFill>
              <w14:schemeClr w14:val="tx1"/>
            </w14:solidFill>
          </w14:textFill>
        </w:rPr>
        <w:t>Li, Y.</w:t>
      </w:r>
      <w:r>
        <w:rPr>
          <w:rFonts w:ascii="Times New Roman" w:hAnsi="Times New Roman" w:cs="Times New Roman"/>
          <w:i/>
          <w:color w:val="000000" w:themeColor="text1"/>
          <w:sz w:val="24"/>
          <w:szCs w:val="24"/>
          <w14:textFill>
            <w14:solidFill>
              <w14:schemeClr w14:val="tx1"/>
            </w14:solidFill>
          </w14:textFill>
        </w:rPr>
        <w:t xml:space="preserve"> et al.</w:t>
      </w:r>
      <w:r>
        <w:rPr>
          <w:rFonts w:ascii="Times New Roman" w:hAnsi="Times New Roman" w:cs="Times New Roman"/>
          <w:color w:val="000000" w:themeColor="text1"/>
          <w:sz w:val="24"/>
          <w:szCs w:val="24"/>
          <w14:textFill>
            <w14:solidFill>
              <w14:schemeClr w14:val="tx1"/>
            </w14:solidFill>
          </w14:textFill>
        </w:rPr>
        <w:t xml:space="preserve"> Ultrastrong, high plasticity, and softening-resistant refractory high-entropy alloy via stable isostructural coherent interfaces. </w:t>
      </w:r>
      <w:r>
        <w:rPr>
          <w:rFonts w:ascii="Times New Roman" w:hAnsi="Times New Roman" w:cs="Times New Roman"/>
          <w:i/>
          <w:color w:val="000000" w:themeColor="text1"/>
          <w:sz w:val="24"/>
          <w:szCs w:val="24"/>
          <w14:textFill>
            <w14:solidFill>
              <w14:schemeClr w14:val="tx1"/>
            </w14:solidFill>
          </w14:textFill>
        </w:rPr>
        <w:t>Scripta Materialia</w:t>
      </w:r>
      <w:r>
        <w:rPr>
          <w:rFonts w:ascii="Times New Roman" w:hAnsi="Times New Roman" w:cs="Times New Roman"/>
          <w:color w:val="000000" w:themeColor="text1"/>
          <w:sz w:val="24"/>
          <w:szCs w:val="24"/>
          <w14:textFill>
            <w14:solidFill>
              <w14:schemeClr w14:val="tx1"/>
            </w14:solidFill>
          </w14:textFill>
        </w:rPr>
        <w:t xml:space="preserve"> </w:t>
      </w:r>
      <w:r>
        <w:rPr>
          <w:rFonts w:ascii="Times New Roman" w:hAnsi="Times New Roman" w:cs="Times New Roman"/>
          <w:b/>
          <w:color w:val="000000" w:themeColor="text1"/>
          <w:sz w:val="24"/>
          <w:szCs w:val="24"/>
          <w14:textFill>
            <w14:solidFill>
              <w14:schemeClr w14:val="tx1"/>
            </w14:solidFill>
          </w14:textFill>
        </w:rPr>
        <w:t>254</w:t>
      </w:r>
      <w:r>
        <w:rPr>
          <w:rFonts w:ascii="Times New Roman" w:hAnsi="Times New Roman" w:cs="Times New Roman"/>
          <w:color w:val="000000" w:themeColor="text1"/>
          <w:sz w:val="24"/>
          <w:szCs w:val="24"/>
          <w14:textFill>
            <w14:solidFill>
              <w14:schemeClr w14:val="tx1"/>
            </w14:solidFill>
          </w14:textFill>
        </w:rPr>
        <w:t>, 116337, doi:</w:t>
      </w:r>
      <w:r>
        <w:fldChar w:fldCharType="begin"/>
      </w:r>
      <w:r>
        <w:instrText xml:space="preserve"> HYPERLINK "https://doi.org/10.1016/j.scriptamat.2024.116337" </w:instrText>
      </w:r>
      <w:r>
        <w:fldChar w:fldCharType="separate"/>
      </w:r>
      <w:r>
        <w:rPr>
          <w:rStyle w:val="19"/>
          <w:rFonts w:ascii="Times New Roman" w:hAnsi="Times New Roman" w:cs="Times New Roman"/>
          <w:color w:val="000000" w:themeColor="text1"/>
          <w:sz w:val="24"/>
          <w:szCs w:val="24"/>
          <w:u w:val="none"/>
          <w14:textFill>
            <w14:solidFill>
              <w14:schemeClr w14:val="tx1"/>
            </w14:solidFill>
          </w14:textFill>
        </w:rPr>
        <w:t>https://doi.org/10.1016/j.scriptamat.2024.116337</w:t>
      </w:r>
      <w:r>
        <w:rPr>
          <w:rStyle w:val="19"/>
          <w:rFonts w:ascii="Times New Roman" w:hAnsi="Times New Roman" w:cs="Times New Roman"/>
          <w:color w:val="000000" w:themeColor="text1"/>
          <w:sz w:val="24"/>
          <w:szCs w:val="24"/>
          <w:u w:val="none"/>
          <w14:textFill>
            <w14:solidFill>
              <w14:schemeClr w14:val="tx1"/>
            </w14:solidFill>
          </w14:textFill>
        </w:rPr>
        <w:fldChar w:fldCharType="end"/>
      </w:r>
      <w:r>
        <w:rPr>
          <w:rFonts w:ascii="Times New Roman" w:hAnsi="Times New Roman" w:cs="Times New Roman"/>
          <w:color w:val="000000" w:themeColor="text1"/>
          <w:sz w:val="24"/>
          <w:szCs w:val="24"/>
          <w14:textFill>
            <w14:solidFill>
              <w14:schemeClr w14:val="tx1"/>
            </w14:solidFill>
          </w14:textFill>
        </w:rPr>
        <w:t xml:space="preserve"> (2025).</w:t>
      </w:r>
    </w:p>
    <w:p w14:paraId="4A1E7D7D">
      <w:pPr>
        <w:pStyle w:val="34"/>
        <w:spacing w:line="360" w:lineRule="auto"/>
        <w:ind w:left="720" w:hanging="72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21</w:t>
      </w:r>
      <w:r>
        <w:rPr>
          <w:rFonts w:ascii="Times New Roman" w:hAnsi="Times New Roman" w:cs="Times New Roman"/>
          <w:color w:val="000000" w:themeColor="text1"/>
          <w:sz w:val="24"/>
          <w:szCs w:val="24"/>
          <w14:textFill>
            <w14:solidFill>
              <w14:schemeClr w14:val="tx1"/>
            </w14:solidFill>
          </w14:textFill>
        </w:rPr>
        <w:tab/>
      </w:r>
      <w:r>
        <w:rPr>
          <w:rFonts w:ascii="Times New Roman" w:hAnsi="Times New Roman" w:cs="Times New Roman"/>
          <w:color w:val="000000" w:themeColor="text1"/>
          <w:sz w:val="24"/>
          <w:szCs w:val="24"/>
          <w14:textFill>
            <w14:solidFill>
              <w14:schemeClr w14:val="tx1"/>
            </w14:solidFill>
          </w14:textFill>
        </w:rPr>
        <w:t>Liu, B.-Y.</w:t>
      </w:r>
      <w:r>
        <w:rPr>
          <w:rFonts w:ascii="Times New Roman" w:hAnsi="Times New Roman" w:cs="Times New Roman"/>
          <w:i/>
          <w:color w:val="000000" w:themeColor="text1"/>
          <w:sz w:val="24"/>
          <w:szCs w:val="24"/>
          <w14:textFill>
            <w14:solidFill>
              <w14:schemeClr w14:val="tx1"/>
            </w14:solidFill>
          </w14:textFill>
        </w:rPr>
        <w:t xml:space="preserve"> et al.</w:t>
      </w:r>
      <w:r>
        <w:rPr>
          <w:rFonts w:ascii="Times New Roman" w:hAnsi="Times New Roman" w:cs="Times New Roman"/>
          <w:color w:val="000000" w:themeColor="text1"/>
          <w:sz w:val="24"/>
          <w:szCs w:val="24"/>
          <w14:textFill>
            <w14:solidFill>
              <w14:schemeClr w14:val="tx1"/>
            </w14:solidFill>
          </w14:textFill>
        </w:rPr>
        <w:t xml:space="preserve"> Rejuvenation of plasticity via deformation graining in magnesium. </w:t>
      </w:r>
      <w:r>
        <w:rPr>
          <w:rFonts w:ascii="Times New Roman" w:hAnsi="Times New Roman" w:cs="Times New Roman"/>
          <w:i/>
          <w:color w:val="000000" w:themeColor="text1"/>
          <w:sz w:val="24"/>
          <w:szCs w:val="24"/>
          <w14:textFill>
            <w14:solidFill>
              <w14:schemeClr w14:val="tx1"/>
            </w14:solidFill>
          </w14:textFill>
        </w:rPr>
        <w:t>Nature Communications</w:t>
      </w:r>
      <w:r>
        <w:rPr>
          <w:rFonts w:ascii="Times New Roman" w:hAnsi="Times New Roman" w:cs="Times New Roman"/>
          <w:color w:val="000000" w:themeColor="text1"/>
          <w:sz w:val="24"/>
          <w:szCs w:val="24"/>
          <w14:textFill>
            <w14:solidFill>
              <w14:schemeClr w14:val="tx1"/>
            </w14:solidFill>
          </w14:textFill>
        </w:rPr>
        <w:t xml:space="preserve"> </w:t>
      </w:r>
      <w:r>
        <w:rPr>
          <w:rFonts w:ascii="Times New Roman" w:hAnsi="Times New Roman" w:cs="Times New Roman"/>
          <w:b/>
          <w:color w:val="000000" w:themeColor="text1"/>
          <w:sz w:val="24"/>
          <w:szCs w:val="24"/>
          <w14:textFill>
            <w14:solidFill>
              <w14:schemeClr w14:val="tx1"/>
            </w14:solidFill>
          </w14:textFill>
        </w:rPr>
        <w:t>13</w:t>
      </w:r>
      <w:r>
        <w:rPr>
          <w:rFonts w:ascii="Times New Roman" w:hAnsi="Times New Roman" w:cs="Times New Roman"/>
          <w:color w:val="000000" w:themeColor="text1"/>
          <w:sz w:val="24"/>
          <w:szCs w:val="24"/>
          <w14:textFill>
            <w14:solidFill>
              <w14:schemeClr w14:val="tx1"/>
            </w14:solidFill>
          </w14:textFill>
        </w:rPr>
        <w:t>, 1060, doi:10.1038/s41467-022-28688-9 (2022).</w:t>
      </w:r>
    </w:p>
    <w:p w14:paraId="52A04C81">
      <w:pPr>
        <w:pStyle w:val="34"/>
        <w:spacing w:line="360" w:lineRule="auto"/>
        <w:ind w:left="720" w:hanging="72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22</w:t>
      </w:r>
      <w:r>
        <w:rPr>
          <w:rFonts w:ascii="Times New Roman" w:hAnsi="Times New Roman" w:cs="Times New Roman"/>
          <w:color w:val="000000" w:themeColor="text1"/>
          <w:sz w:val="24"/>
          <w:szCs w:val="24"/>
          <w14:textFill>
            <w14:solidFill>
              <w14:schemeClr w14:val="tx1"/>
            </w14:solidFill>
          </w14:textFill>
        </w:rPr>
        <w:tab/>
      </w:r>
      <w:r>
        <w:rPr>
          <w:rFonts w:ascii="Times New Roman" w:hAnsi="Times New Roman" w:cs="Times New Roman"/>
          <w:color w:val="000000" w:themeColor="text1"/>
          <w:sz w:val="24"/>
          <w:szCs w:val="24"/>
          <w14:textFill>
            <w14:solidFill>
              <w14:schemeClr w14:val="tx1"/>
            </w14:solidFill>
          </w14:textFill>
        </w:rPr>
        <w:t>Wei, T.-R.</w:t>
      </w:r>
      <w:r>
        <w:rPr>
          <w:rFonts w:ascii="Times New Roman" w:hAnsi="Times New Roman" w:cs="Times New Roman"/>
          <w:i/>
          <w:color w:val="000000" w:themeColor="text1"/>
          <w:sz w:val="24"/>
          <w:szCs w:val="24"/>
          <w14:textFill>
            <w14:solidFill>
              <w14:schemeClr w14:val="tx1"/>
            </w14:solidFill>
          </w14:textFill>
        </w:rPr>
        <w:t xml:space="preserve"> et al.</w:t>
      </w:r>
      <w:r>
        <w:rPr>
          <w:rFonts w:ascii="Times New Roman" w:hAnsi="Times New Roman" w:cs="Times New Roman"/>
          <w:color w:val="000000" w:themeColor="text1"/>
          <w:sz w:val="24"/>
          <w:szCs w:val="24"/>
          <w14:textFill>
            <w14:solidFill>
              <w14:schemeClr w14:val="tx1"/>
            </w14:solidFill>
          </w14:textFill>
        </w:rPr>
        <w:t xml:space="preserve"> Exceptional plasticity in the bulk single-crystalline van der Waals semiconductor InSe. </w:t>
      </w:r>
      <w:r>
        <w:rPr>
          <w:rFonts w:ascii="Times New Roman" w:hAnsi="Times New Roman" w:cs="Times New Roman"/>
          <w:i/>
          <w:color w:val="000000" w:themeColor="text1"/>
          <w:sz w:val="24"/>
          <w:szCs w:val="24"/>
          <w14:textFill>
            <w14:solidFill>
              <w14:schemeClr w14:val="tx1"/>
            </w14:solidFill>
          </w14:textFill>
        </w:rPr>
        <w:t>Science</w:t>
      </w:r>
      <w:r>
        <w:rPr>
          <w:rFonts w:ascii="Times New Roman" w:hAnsi="Times New Roman" w:cs="Times New Roman"/>
          <w:color w:val="000000" w:themeColor="text1"/>
          <w:sz w:val="24"/>
          <w:szCs w:val="24"/>
          <w14:textFill>
            <w14:solidFill>
              <w14:schemeClr w14:val="tx1"/>
            </w14:solidFill>
          </w14:textFill>
        </w:rPr>
        <w:t xml:space="preserve"> </w:t>
      </w:r>
      <w:r>
        <w:rPr>
          <w:rFonts w:ascii="Times New Roman" w:hAnsi="Times New Roman" w:cs="Times New Roman"/>
          <w:b/>
          <w:color w:val="000000" w:themeColor="text1"/>
          <w:sz w:val="24"/>
          <w:szCs w:val="24"/>
          <w14:textFill>
            <w14:solidFill>
              <w14:schemeClr w14:val="tx1"/>
            </w14:solidFill>
          </w14:textFill>
        </w:rPr>
        <w:t>369</w:t>
      </w:r>
      <w:r>
        <w:rPr>
          <w:rFonts w:ascii="Times New Roman" w:hAnsi="Times New Roman" w:cs="Times New Roman"/>
          <w:color w:val="000000" w:themeColor="text1"/>
          <w:sz w:val="24"/>
          <w:szCs w:val="24"/>
          <w14:textFill>
            <w14:solidFill>
              <w14:schemeClr w14:val="tx1"/>
            </w14:solidFill>
          </w14:textFill>
        </w:rPr>
        <w:t>, 542-545, doi:10.1126/science.aba9778 (2020).</w:t>
      </w:r>
    </w:p>
    <w:p w14:paraId="29AF8109">
      <w:pPr>
        <w:pStyle w:val="34"/>
        <w:spacing w:line="360" w:lineRule="auto"/>
        <w:ind w:left="720" w:hanging="72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23</w:t>
      </w:r>
      <w:r>
        <w:rPr>
          <w:rFonts w:ascii="Times New Roman" w:hAnsi="Times New Roman" w:cs="Times New Roman"/>
          <w:color w:val="000000" w:themeColor="text1"/>
          <w:sz w:val="24"/>
          <w:szCs w:val="24"/>
          <w14:textFill>
            <w14:solidFill>
              <w14:schemeClr w14:val="tx1"/>
            </w14:solidFill>
          </w14:textFill>
        </w:rPr>
        <w:tab/>
      </w:r>
      <w:r>
        <w:rPr>
          <w:rFonts w:ascii="Times New Roman" w:hAnsi="Times New Roman" w:cs="Times New Roman"/>
          <w:color w:val="000000" w:themeColor="text1"/>
          <w:sz w:val="24"/>
          <w:szCs w:val="24"/>
          <w14:textFill>
            <w14:solidFill>
              <w14:schemeClr w14:val="tx1"/>
            </w14:solidFill>
          </w14:textFill>
        </w:rPr>
        <w:t>Wang, H.</w:t>
      </w:r>
      <w:r>
        <w:rPr>
          <w:rFonts w:ascii="Times New Roman" w:hAnsi="Times New Roman" w:cs="Times New Roman"/>
          <w:i/>
          <w:color w:val="000000" w:themeColor="text1"/>
          <w:sz w:val="24"/>
          <w:szCs w:val="24"/>
          <w14:textFill>
            <w14:solidFill>
              <w14:schemeClr w14:val="tx1"/>
            </w14:solidFill>
          </w14:textFill>
        </w:rPr>
        <w:t xml:space="preserve"> et al.</w:t>
      </w:r>
      <w:r>
        <w:rPr>
          <w:rFonts w:ascii="Times New Roman" w:hAnsi="Times New Roman" w:cs="Times New Roman"/>
          <w:color w:val="000000" w:themeColor="text1"/>
          <w:sz w:val="24"/>
          <w:szCs w:val="24"/>
          <w14:textFill>
            <w14:solidFill>
              <w14:schemeClr w14:val="tx1"/>
            </w14:solidFill>
          </w14:textFill>
        </w:rPr>
        <w:t xml:space="preserve"> Orientation-dependent large plasticity of single-crystalline gallium selenide. </w:t>
      </w:r>
      <w:r>
        <w:rPr>
          <w:rFonts w:ascii="Times New Roman" w:hAnsi="Times New Roman" w:cs="Times New Roman"/>
          <w:i/>
          <w:color w:val="000000" w:themeColor="text1"/>
          <w:sz w:val="24"/>
          <w:szCs w:val="24"/>
          <w14:textFill>
            <w14:solidFill>
              <w14:schemeClr w14:val="tx1"/>
            </w14:solidFill>
          </w14:textFill>
        </w:rPr>
        <w:t>Cell Reports Physical Science</w:t>
      </w:r>
      <w:r>
        <w:rPr>
          <w:rFonts w:ascii="Times New Roman" w:hAnsi="Times New Roman" w:cs="Times New Roman"/>
          <w:color w:val="000000" w:themeColor="text1"/>
          <w:sz w:val="24"/>
          <w:szCs w:val="24"/>
          <w14:textFill>
            <w14:solidFill>
              <w14:schemeClr w14:val="tx1"/>
            </w14:solidFill>
          </w14:textFill>
        </w:rPr>
        <w:t xml:space="preserve"> </w:t>
      </w:r>
      <w:r>
        <w:rPr>
          <w:rFonts w:ascii="Times New Roman" w:hAnsi="Times New Roman" w:cs="Times New Roman"/>
          <w:b/>
          <w:color w:val="000000" w:themeColor="text1"/>
          <w:sz w:val="24"/>
          <w:szCs w:val="24"/>
          <w14:textFill>
            <w14:solidFill>
              <w14:schemeClr w14:val="tx1"/>
            </w14:solidFill>
          </w14:textFill>
        </w:rPr>
        <w:t>3</w:t>
      </w:r>
      <w:r>
        <w:rPr>
          <w:rFonts w:ascii="Times New Roman" w:hAnsi="Times New Roman" w:cs="Times New Roman"/>
          <w:color w:val="000000" w:themeColor="text1"/>
          <w:sz w:val="24"/>
          <w:szCs w:val="24"/>
          <w14:textFill>
            <w14:solidFill>
              <w14:schemeClr w14:val="tx1"/>
            </w14:solidFill>
          </w14:textFill>
        </w:rPr>
        <w:t>, 100816, doi:</w:t>
      </w:r>
      <w:r>
        <w:fldChar w:fldCharType="begin"/>
      </w:r>
      <w:r>
        <w:instrText xml:space="preserve"> HYPERLINK "https://doi.org/10.1016/j.xcrp.2022.100816" </w:instrText>
      </w:r>
      <w:r>
        <w:fldChar w:fldCharType="separate"/>
      </w:r>
      <w:r>
        <w:rPr>
          <w:rStyle w:val="19"/>
          <w:rFonts w:ascii="Times New Roman" w:hAnsi="Times New Roman" w:cs="Times New Roman"/>
          <w:color w:val="000000" w:themeColor="text1"/>
          <w:sz w:val="24"/>
          <w:szCs w:val="24"/>
          <w:u w:val="none"/>
          <w14:textFill>
            <w14:solidFill>
              <w14:schemeClr w14:val="tx1"/>
            </w14:solidFill>
          </w14:textFill>
        </w:rPr>
        <w:t>https://doi.org/10.1016/j.xcrp.2022.100816</w:t>
      </w:r>
      <w:r>
        <w:rPr>
          <w:rStyle w:val="19"/>
          <w:rFonts w:ascii="Times New Roman" w:hAnsi="Times New Roman" w:cs="Times New Roman"/>
          <w:color w:val="000000" w:themeColor="text1"/>
          <w:sz w:val="24"/>
          <w:szCs w:val="24"/>
          <w:u w:val="none"/>
          <w14:textFill>
            <w14:solidFill>
              <w14:schemeClr w14:val="tx1"/>
            </w14:solidFill>
          </w14:textFill>
        </w:rPr>
        <w:fldChar w:fldCharType="end"/>
      </w:r>
      <w:r>
        <w:rPr>
          <w:rFonts w:ascii="Times New Roman" w:hAnsi="Times New Roman" w:cs="Times New Roman"/>
          <w:color w:val="000000" w:themeColor="text1"/>
          <w:sz w:val="24"/>
          <w:szCs w:val="24"/>
          <w14:textFill>
            <w14:solidFill>
              <w14:schemeClr w14:val="tx1"/>
            </w14:solidFill>
          </w14:textFill>
        </w:rPr>
        <w:t xml:space="preserve"> (2022).</w:t>
      </w:r>
    </w:p>
    <w:p w14:paraId="0F8974F9">
      <w:pPr>
        <w:pStyle w:val="34"/>
        <w:spacing w:line="360" w:lineRule="auto"/>
        <w:ind w:left="720" w:hanging="72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24</w:t>
      </w:r>
      <w:r>
        <w:rPr>
          <w:rFonts w:ascii="Times New Roman" w:hAnsi="Times New Roman" w:cs="Times New Roman"/>
          <w:color w:val="000000" w:themeColor="text1"/>
          <w:sz w:val="24"/>
          <w:szCs w:val="24"/>
          <w14:textFill>
            <w14:solidFill>
              <w14:schemeClr w14:val="tx1"/>
            </w14:solidFill>
          </w14:textFill>
        </w:rPr>
        <w:tab/>
      </w:r>
      <w:r>
        <w:rPr>
          <w:rFonts w:ascii="Times New Roman" w:hAnsi="Times New Roman" w:cs="Times New Roman"/>
          <w:color w:val="000000" w:themeColor="text1"/>
          <w:sz w:val="24"/>
          <w:szCs w:val="24"/>
          <w14:textFill>
            <w14:solidFill>
              <w14:schemeClr w14:val="tx1"/>
            </w14:solidFill>
          </w14:textFill>
        </w:rPr>
        <w:t>Li, X.</w:t>
      </w:r>
      <w:r>
        <w:rPr>
          <w:rFonts w:ascii="Times New Roman" w:hAnsi="Times New Roman" w:cs="Times New Roman"/>
          <w:i/>
          <w:color w:val="000000" w:themeColor="text1"/>
          <w:sz w:val="24"/>
          <w:szCs w:val="24"/>
          <w14:textFill>
            <w14:solidFill>
              <w14:schemeClr w14:val="tx1"/>
            </w14:solidFill>
          </w14:textFill>
        </w:rPr>
        <w:t xml:space="preserve"> et al.</w:t>
      </w:r>
      <w:r>
        <w:rPr>
          <w:rFonts w:ascii="Times New Roman" w:hAnsi="Times New Roman" w:cs="Times New Roman"/>
          <w:color w:val="000000" w:themeColor="text1"/>
          <w:sz w:val="24"/>
          <w:szCs w:val="24"/>
          <w14:textFill>
            <w14:solidFill>
              <w14:schemeClr w14:val="tx1"/>
            </w14:solidFill>
          </w14:textFill>
        </w:rPr>
        <w:t xml:space="preserve"> Multislip-enabled morphing of all-inorganic perovskites. </w:t>
      </w:r>
      <w:r>
        <w:rPr>
          <w:rFonts w:ascii="Times New Roman" w:hAnsi="Times New Roman" w:cs="Times New Roman"/>
          <w:i/>
          <w:color w:val="000000" w:themeColor="text1"/>
          <w:sz w:val="24"/>
          <w:szCs w:val="24"/>
          <w14:textFill>
            <w14:solidFill>
              <w14:schemeClr w14:val="tx1"/>
            </w14:solidFill>
          </w14:textFill>
        </w:rPr>
        <w:t>Nature Materials</w:t>
      </w:r>
      <w:r>
        <w:rPr>
          <w:rFonts w:ascii="Times New Roman" w:hAnsi="Times New Roman" w:cs="Times New Roman"/>
          <w:color w:val="000000" w:themeColor="text1"/>
          <w:sz w:val="24"/>
          <w:szCs w:val="24"/>
          <w14:textFill>
            <w14:solidFill>
              <w14:schemeClr w14:val="tx1"/>
            </w14:solidFill>
          </w14:textFill>
        </w:rPr>
        <w:t xml:space="preserve"> </w:t>
      </w:r>
      <w:r>
        <w:rPr>
          <w:rFonts w:ascii="Times New Roman" w:hAnsi="Times New Roman" w:cs="Times New Roman"/>
          <w:b/>
          <w:color w:val="000000" w:themeColor="text1"/>
          <w:sz w:val="24"/>
          <w:szCs w:val="24"/>
          <w14:textFill>
            <w14:solidFill>
              <w14:schemeClr w14:val="tx1"/>
            </w14:solidFill>
          </w14:textFill>
        </w:rPr>
        <w:t>22</w:t>
      </w:r>
      <w:r>
        <w:rPr>
          <w:rFonts w:ascii="Times New Roman" w:hAnsi="Times New Roman" w:cs="Times New Roman"/>
          <w:color w:val="000000" w:themeColor="text1"/>
          <w:sz w:val="24"/>
          <w:szCs w:val="24"/>
          <w14:textFill>
            <w14:solidFill>
              <w14:schemeClr w14:val="tx1"/>
            </w14:solidFill>
          </w14:textFill>
        </w:rPr>
        <w:t>, 1175-1181, doi:10.1038/s41563-023-01631-z (2023).</w:t>
      </w:r>
    </w:p>
    <w:p w14:paraId="2C18F755">
      <w:pPr>
        <w:spacing w:line="360" w:lineRule="auto"/>
        <w:rPr>
          <w:rFonts w:ascii="Times New Roman" w:hAnsi="Times New Roman" w:cs="Times New Roman"/>
          <w:sz w:val="24"/>
          <w:szCs w:val="24"/>
        </w:rPr>
      </w:pPr>
      <w:r>
        <w:rPr>
          <w:rFonts w:ascii="Times New Roman" w:hAnsi="Times New Roman" w:cs="Times New Roman"/>
          <w:color w:val="000000" w:themeColor="text1"/>
          <w:sz w:val="24"/>
          <w:szCs w:val="24"/>
          <w14:textFill>
            <w14:solidFill>
              <w14:schemeClr w14:val="tx1"/>
            </w14:solidFill>
          </w14:textFill>
        </w:rPr>
        <w:fldChar w:fldCharType="end"/>
      </w:r>
    </w:p>
    <w:sectPr>
      <w:footerReference r:id="rId4" w:type="default"/>
      <w:headerReference r:id="rId3" w:type="even"/>
      <w:pgSz w:w="11906" w:h="16838"/>
      <w:pgMar w:top="1440" w:right="1440" w:bottom="1440" w:left="144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Cambria Math">
    <w:panose1 w:val="02040503050406030204"/>
    <w:charset w:val="00"/>
    <w:family w:val="roman"/>
    <w:pitch w:val="default"/>
    <w:sig w:usb0="E00006FF" w:usb1="420024FF" w:usb2="02000000" w:usb3="00000000" w:csb0="2000019F" w:csb1="00000000"/>
  </w:font>
  <w:font w:name="微软雅黑">
    <w:panose1 w:val="020B0503020204020204"/>
    <w:charset w:val="86"/>
    <w:family w:val="swiss"/>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03881540"/>
    </w:sdtPr>
    <w:sdtContent>
      <w:p w14:paraId="414C2834">
        <w:pPr>
          <w:pStyle w:val="7"/>
          <w:spacing w:after="120"/>
          <w:ind w:firstLine="4500" w:firstLineChars="2500"/>
          <w:rPr>
            <w:rFonts w:hint="eastAsia"/>
          </w:rPr>
        </w:pPr>
        <w:r>
          <w:rPr>
            <w:rFonts w:ascii="Times New Roman" w:hAnsi="Times New Roman" w:cs="Times New Roman"/>
            <w:sz w:val="21"/>
            <w:szCs w:val="21"/>
          </w:rPr>
          <w:fldChar w:fldCharType="begin"/>
        </w:r>
        <w:r>
          <w:rPr>
            <w:rFonts w:ascii="Times New Roman" w:hAnsi="Times New Roman" w:cs="Times New Roman"/>
            <w:sz w:val="21"/>
            <w:szCs w:val="21"/>
          </w:rPr>
          <w:instrText xml:space="preserve">PAGE   \* MERGEFORMAT</w:instrText>
        </w:r>
        <w:r>
          <w:rPr>
            <w:rFonts w:ascii="Times New Roman" w:hAnsi="Times New Roman" w:cs="Times New Roman"/>
            <w:sz w:val="21"/>
            <w:szCs w:val="21"/>
          </w:rPr>
          <w:fldChar w:fldCharType="separate"/>
        </w:r>
        <w:r>
          <w:rPr>
            <w:rFonts w:ascii="Times New Roman" w:hAnsi="Times New Roman" w:cs="Times New Roman"/>
            <w:sz w:val="21"/>
            <w:szCs w:val="21"/>
          </w:rPr>
          <w:t>6</w:t>
        </w:r>
        <w:r>
          <w:rPr>
            <w:rFonts w:ascii="Times New Roman" w:hAnsi="Times New Roman" w:cs="Times New Roman"/>
            <w:sz w:val="21"/>
            <w:szCs w:val="21"/>
          </w:rPr>
          <w:fldChar w:fldCharType="end"/>
        </w: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56BA58">
    <w:pPr>
      <w:pStyle w:val="8"/>
      <w:pBdr>
        <w:bottom w:val="none" w:color="auto" w:sz="0" w:space="0"/>
      </w:pBdr>
      <w:spacing w:after="120"/>
      <w:ind w:firstLine="540"/>
      <w:rPr>
        <w:rFonts w:hint="eastAsia"/>
      </w:rPr>
    </w:pPr>
  </w:p>
  <w:p w14:paraId="02377693">
    <w:pPr>
      <w:spacing w:after="120"/>
      <w:rPr>
        <w:rFonts w:hint="eastAsia"/>
      </w:rPr>
    </w:pPr>
  </w:p>
  <w:p w14:paraId="24CC8626">
    <w:pPr>
      <w:spacing w:after="120"/>
      <w:rPr>
        <w:rFonts w:hint="eastAsia"/>
      </w:rPr>
    </w:pPr>
  </w:p>
  <w:p w14:paraId="554321BE">
    <w:pPr>
      <w:spacing w:after="120"/>
      <w:rPr>
        <w:rFonts w:hint="eastAsia"/>
      </w:rPr>
    </w:pPr>
  </w:p>
  <w:p w14:paraId="0B7260E0">
    <w:pPr>
      <w:spacing w:after="120"/>
      <w:rPr>
        <w:rFonts w:hint="eastAsia"/>
      </w:rPr>
    </w:pPr>
  </w:p>
  <w:p w14:paraId="3DFB259A">
    <w:pPr>
      <w:spacing w:after="120"/>
      <w:rPr>
        <w:rFonts w:hint="eastAsia"/>
      </w:rPr>
    </w:pPr>
  </w:p>
  <w:p w14:paraId="66DE4F92">
    <w:pPr>
      <w:spacing w:after="120"/>
      <w:rPr>
        <w:rFonts w:hint="eastAsia"/>
      </w:rPr>
    </w:pPr>
  </w:p>
  <w:p w14:paraId="799F90F1">
    <w:pPr>
      <w:spacing w:after="120"/>
      <w:rPr>
        <w:rFonts w:hint="eastAsia"/>
      </w:rPr>
    </w:pPr>
  </w:p>
  <w:p w14:paraId="798865E2">
    <w:pPr>
      <w:spacing w:after="120"/>
      <w:rPr>
        <w:rFonts w:hint="eastAsia"/>
      </w:rPr>
    </w:pPr>
  </w:p>
  <w:p w14:paraId="00B98485">
    <w:pPr>
      <w:spacing w:after="120"/>
      <w:rPr>
        <w:rFonts w:hint="eastAsia"/>
      </w:rPr>
    </w:pPr>
  </w:p>
  <w:p w14:paraId="681D87B4">
    <w:pPr>
      <w:spacing w:after="120"/>
      <w:rPr>
        <w:rFonts w:hint="eastAsia"/>
      </w:rPr>
    </w:pPr>
  </w:p>
  <w:p w14:paraId="4FEBF6BB">
    <w:pPr>
      <w:spacing w:after="120"/>
      <w:rPr>
        <w:rFonts w:hint="eastAsia"/>
      </w:rPr>
    </w:pPr>
  </w:p>
  <w:p w14:paraId="2A655048">
    <w:pPr>
      <w:spacing w:after="120"/>
      <w:rPr>
        <w:rFonts w:hint="eastAsia"/>
      </w:rPr>
    </w:pPr>
  </w:p>
  <w:p w14:paraId="0BC5A6A9">
    <w:pPr>
      <w:spacing w:after="120"/>
      <w:rPr>
        <w:rFonts w:hint="eastAsia"/>
      </w:rPr>
    </w:pPr>
  </w:p>
  <w:p w14:paraId="38976654">
    <w:pPr>
      <w:spacing w:after="120"/>
      <w:rPr>
        <w:rFonts w:hint="eastAsia"/>
      </w:rPr>
    </w:pPr>
  </w:p>
  <w:p w14:paraId="233D828D">
    <w:pPr>
      <w:spacing w:after="120"/>
      <w:rPr>
        <w:rFonts w:hint="eastAsia"/>
      </w:rPr>
    </w:pPr>
  </w:p>
  <w:p w14:paraId="09C6337E">
    <w:pPr>
      <w:spacing w:after="120"/>
      <w:rPr>
        <w:rFonts w:hint="eastAsia"/>
      </w:rPr>
    </w:pPr>
  </w:p>
  <w:p w14:paraId="13B21B34">
    <w:pPr>
      <w:spacing w:after="120"/>
      <w:rPr>
        <w:rFonts w:hint="eastAsia"/>
      </w:rPr>
    </w:pPr>
  </w:p>
  <w:p w14:paraId="32CA56BC">
    <w:pPr>
      <w:spacing w:after="120"/>
      <w:rPr>
        <w:rFonts w:hint="eastAsia"/>
      </w:rPr>
    </w:pPr>
  </w:p>
  <w:p w14:paraId="176E30A8">
    <w:pPr>
      <w:spacing w:after="120"/>
      <w:rPr>
        <w:rFonts w:hint="eastAsia"/>
      </w:rPr>
    </w:pPr>
  </w:p>
  <w:p w14:paraId="794D6602">
    <w:pPr>
      <w:rPr>
        <w:rFonts w:hint="eastAsia"/>
      </w:rPr>
    </w:pPr>
  </w:p>
  <w:p w14:paraId="294F57C9">
    <w:pPr>
      <w:rPr>
        <w:rFonts w:hint="eastAsi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18516C3"/>
    <w:multiLevelType w:val="multilevel"/>
    <w:tmpl w:val="218516C3"/>
    <w:lvl w:ilvl="0" w:tentative="0">
      <w:start w:val="1"/>
      <w:numFmt w:val="decimal"/>
      <w:lvlText w:val="%1."/>
      <w:lvlJc w:val="left"/>
      <w:pPr>
        <w:ind w:left="420" w:hanging="420"/>
      </w:pPr>
      <w:rPr>
        <w:rFonts w:hint="eastAsia"/>
        <w:b/>
        <w:bCs w:val="0"/>
        <w:color w:val="auto"/>
        <w:sz w:val="24"/>
        <w:szCs w:val="24"/>
        <w:vertAlign w:val="baseline"/>
      </w:rPr>
    </w:lvl>
    <w:lvl w:ilvl="1" w:tentative="0">
      <w:start w:val="1"/>
      <w:numFmt w:val="lowerLetter"/>
      <w:lvlText w:val="%2)"/>
      <w:lvlJc w:val="left"/>
      <w:pPr>
        <w:ind w:left="880" w:hanging="440"/>
      </w:pPr>
      <w:rPr>
        <w:rFonts w:hint="eastAsia"/>
      </w:rPr>
    </w:lvl>
    <w:lvl w:ilvl="2" w:tentative="0">
      <w:start w:val="1"/>
      <w:numFmt w:val="lowerRoman"/>
      <w:lvlText w:val="%3."/>
      <w:lvlJc w:val="right"/>
      <w:pPr>
        <w:ind w:left="1320" w:hanging="440"/>
      </w:pPr>
      <w:rPr>
        <w:rFonts w:hint="eastAsia"/>
      </w:rPr>
    </w:lvl>
    <w:lvl w:ilvl="3" w:tentative="0">
      <w:start w:val="1"/>
      <w:numFmt w:val="decimal"/>
      <w:lvlText w:val="%4."/>
      <w:lvlJc w:val="left"/>
      <w:pPr>
        <w:ind w:left="1760" w:hanging="440"/>
      </w:pPr>
      <w:rPr>
        <w:rFonts w:hint="eastAsia"/>
      </w:rPr>
    </w:lvl>
    <w:lvl w:ilvl="4" w:tentative="0">
      <w:start w:val="1"/>
      <w:numFmt w:val="lowerLetter"/>
      <w:lvlText w:val="%5)"/>
      <w:lvlJc w:val="left"/>
      <w:pPr>
        <w:ind w:left="2200" w:hanging="440"/>
      </w:pPr>
      <w:rPr>
        <w:rFonts w:hint="eastAsia"/>
      </w:rPr>
    </w:lvl>
    <w:lvl w:ilvl="5" w:tentative="0">
      <w:start w:val="1"/>
      <w:numFmt w:val="lowerRoman"/>
      <w:lvlText w:val="%6."/>
      <w:lvlJc w:val="right"/>
      <w:pPr>
        <w:ind w:left="2640" w:hanging="440"/>
      </w:pPr>
      <w:rPr>
        <w:rFonts w:hint="eastAsia"/>
      </w:rPr>
    </w:lvl>
    <w:lvl w:ilvl="6" w:tentative="0">
      <w:start w:val="1"/>
      <w:numFmt w:val="decimal"/>
      <w:lvlText w:val="%7."/>
      <w:lvlJc w:val="left"/>
      <w:pPr>
        <w:ind w:left="3080" w:hanging="440"/>
      </w:pPr>
      <w:rPr>
        <w:rFonts w:hint="eastAsia"/>
      </w:rPr>
    </w:lvl>
    <w:lvl w:ilvl="7" w:tentative="0">
      <w:start w:val="1"/>
      <w:numFmt w:val="lowerLetter"/>
      <w:lvlText w:val="%8)"/>
      <w:lvlJc w:val="left"/>
      <w:pPr>
        <w:ind w:left="3520" w:hanging="440"/>
      </w:pPr>
      <w:rPr>
        <w:rFonts w:hint="eastAsia"/>
      </w:rPr>
    </w:lvl>
    <w:lvl w:ilvl="8" w:tentative="0">
      <w:start w:val="1"/>
      <w:numFmt w:val="lowerRoman"/>
      <w:lvlText w:val="%9."/>
      <w:lvlJc w:val="right"/>
      <w:pPr>
        <w:ind w:left="3960" w:hanging="440"/>
      </w:pPr>
      <w:rPr>
        <w:rFonts w:hint="eastAsia"/>
      </w:rPr>
    </w:lvl>
  </w:abstractNum>
  <w:abstractNum w:abstractNumId="1">
    <w:nsid w:val="38991644"/>
    <w:multiLevelType w:val="multilevel"/>
    <w:tmpl w:val="38991644"/>
    <w:lvl w:ilvl="0" w:tentative="0">
      <w:start w:val="1"/>
      <w:numFmt w:val="decimal"/>
      <w:lvlText w:val="%1."/>
      <w:lvlJc w:val="left"/>
      <w:pPr>
        <w:ind w:left="420" w:hanging="420"/>
      </w:pPr>
      <w:rPr>
        <w:rFonts w:hint="eastAsia"/>
        <w:b/>
        <w:bCs w:val="0"/>
        <w:color w:val="auto"/>
        <w:sz w:val="24"/>
        <w:szCs w:val="24"/>
        <w:vertAlign w:val="baseline"/>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55AA31D0"/>
    <w:multiLevelType w:val="multilevel"/>
    <w:tmpl w:val="55AA31D0"/>
    <w:lvl w:ilvl="0" w:tentative="0">
      <w:start w:val="1"/>
      <w:numFmt w:val="decimal"/>
      <w:lvlText w:val="%1"/>
      <w:lvlJc w:val="left"/>
      <w:pPr>
        <w:ind w:left="420" w:hanging="420"/>
      </w:pPr>
      <w:rPr>
        <w:rFonts w:hint="default" w:ascii="Times New Roman" w:hAnsi="Times New Roman" w:cs="Times New Roman"/>
        <w:sz w:val="24"/>
        <w:szCs w:val="24"/>
        <w:vertAlign w:val="superscrip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2"/>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9"/>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Nature&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zs2fp5r2f2x2e2esxe75ap2k2dx05tep55zx&quot;&gt;fegete-Saved&lt;record-ids&gt;&lt;item&gt;2985&lt;/item&gt;&lt;item&gt;2987&lt;/item&gt;&lt;item&gt;3003&lt;/item&gt;&lt;item&gt;3005&lt;/item&gt;&lt;item&gt;3007&lt;/item&gt;&lt;item&gt;3009&lt;/item&gt;&lt;item&gt;3011&lt;/item&gt;&lt;item&gt;3013&lt;/item&gt;&lt;item&gt;3015&lt;/item&gt;&lt;item&gt;3017&lt;/item&gt;&lt;item&gt;3019&lt;/item&gt;&lt;item&gt;3021&lt;/item&gt;&lt;item&gt;3023&lt;/item&gt;&lt;item&gt;3025&lt;/item&gt;&lt;item&gt;3027&lt;/item&gt;&lt;item&gt;3029&lt;/item&gt;&lt;item&gt;3031&lt;/item&gt;&lt;item&gt;3033&lt;/item&gt;&lt;item&gt;3035&lt;/item&gt;&lt;item&gt;3037&lt;/item&gt;&lt;item&gt;3039&lt;/item&gt;&lt;item&gt;3041&lt;/item&gt;&lt;item&gt;3057&lt;/item&gt;&lt;item&gt;3059&lt;/item&gt;&lt;/record-ids&gt;&lt;/item&gt;&lt;/Libraries&gt;"/>
  </w:docVars>
  <w:rsids>
    <w:rsidRoot w:val="004460B4"/>
    <w:rsid w:val="0000742C"/>
    <w:rsid w:val="00021CFE"/>
    <w:rsid w:val="000277E1"/>
    <w:rsid w:val="000442ED"/>
    <w:rsid w:val="00045603"/>
    <w:rsid w:val="000466C4"/>
    <w:rsid w:val="00047209"/>
    <w:rsid w:val="00050604"/>
    <w:rsid w:val="00053E94"/>
    <w:rsid w:val="0005764F"/>
    <w:rsid w:val="00077AA1"/>
    <w:rsid w:val="000913A8"/>
    <w:rsid w:val="00091E24"/>
    <w:rsid w:val="000A2DC6"/>
    <w:rsid w:val="000C311A"/>
    <w:rsid w:val="000D2113"/>
    <w:rsid w:val="000D31CE"/>
    <w:rsid w:val="000D3720"/>
    <w:rsid w:val="000E17DA"/>
    <w:rsid w:val="000E287E"/>
    <w:rsid w:val="000F4CDD"/>
    <w:rsid w:val="00116AEA"/>
    <w:rsid w:val="00116CDB"/>
    <w:rsid w:val="00117719"/>
    <w:rsid w:val="001242F1"/>
    <w:rsid w:val="00134505"/>
    <w:rsid w:val="001360D8"/>
    <w:rsid w:val="00164639"/>
    <w:rsid w:val="00176EA4"/>
    <w:rsid w:val="00177F4E"/>
    <w:rsid w:val="00181CE3"/>
    <w:rsid w:val="00184650"/>
    <w:rsid w:val="00187F6C"/>
    <w:rsid w:val="001931C8"/>
    <w:rsid w:val="001A1B15"/>
    <w:rsid w:val="001A2DF8"/>
    <w:rsid w:val="001A7A1F"/>
    <w:rsid w:val="001C6487"/>
    <w:rsid w:val="001D2A58"/>
    <w:rsid w:val="001F5D49"/>
    <w:rsid w:val="001F6724"/>
    <w:rsid w:val="00202BEA"/>
    <w:rsid w:val="002067EA"/>
    <w:rsid w:val="002148B7"/>
    <w:rsid w:val="00223D2B"/>
    <w:rsid w:val="00233CA6"/>
    <w:rsid w:val="002603F8"/>
    <w:rsid w:val="00265FC2"/>
    <w:rsid w:val="002822F9"/>
    <w:rsid w:val="00294B43"/>
    <w:rsid w:val="002A2A0E"/>
    <w:rsid w:val="002B1033"/>
    <w:rsid w:val="002C6BFA"/>
    <w:rsid w:val="002D1A06"/>
    <w:rsid w:val="002E6AA6"/>
    <w:rsid w:val="0030549C"/>
    <w:rsid w:val="00323832"/>
    <w:rsid w:val="00325895"/>
    <w:rsid w:val="00334D4F"/>
    <w:rsid w:val="0035033A"/>
    <w:rsid w:val="0035045F"/>
    <w:rsid w:val="003602F0"/>
    <w:rsid w:val="0036322F"/>
    <w:rsid w:val="0036611E"/>
    <w:rsid w:val="003665FF"/>
    <w:rsid w:val="00367C85"/>
    <w:rsid w:val="00375464"/>
    <w:rsid w:val="00377679"/>
    <w:rsid w:val="00377A24"/>
    <w:rsid w:val="0039791A"/>
    <w:rsid w:val="003A2A4C"/>
    <w:rsid w:val="003A5AEC"/>
    <w:rsid w:val="003A6729"/>
    <w:rsid w:val="003A7663"/>
    <w:rsid w:val="003B5EA8"/>
    <w:rsid w:val="004011AD"/>
    <w:rsid w:val="00401596"/>
    <w:rsid w:val="0040646A"/>
    <w:rsid w:val="0041029A"/>
    <w:rsid w:val="00416B6C"/>
    <w:rsid w:val="00425DDC"/>
    <w:rsid w:val="0042642C"/>
    <w:rsid w:val="00430818"/>
    <w:rsid w:val="00437C05"/>
    <w:rsid w:val="00444A85"/>
    <w:rsid w:val="00444B38"/>
    <w:rsid w:val="004460B4"/>
    <w:rsid w:val="00475EF0"/>
    <w:rsid w:val="0047696E"/>
    <w:rsid w:val="004842F4"/>
    <w:rsid w:val="00485A50"/>
    <w:rsid w:val="00495DC4"/>
    <w:rsid w:val="004A66E4"/>
    <w:rsid w:val="004B24D3"/>
    <w:rsid w:val="004B66B6"/>
    <w:rsid w:val="004B6D51"/>
    <w:rsid w:val="004C6AFD"/>
    <w:rsid w:val="004C6B4A"/>
    <w:rsid w:val="004D11D7"/>
    <w:rsid w:val="004E43BF"/>
    <w:rsid w:val="004F7F7F"/>
    <w:rsid w:val="00506B4D"/>
    <w:rsid w:val="0050718B"/>
    <w:rsid w:val="005107E9"/>
    <w:rsid w:val="00524D6E"/>
    <w:rsid w:val="00532058"/>
    <w:rsid w:val="00543FDB"/>
    <w:rsid w:val="0055153C"/>
    <w:rsid w:val="005605ED"/>
    <w:rsid w:val="0057740D"/>
    <w:rsid w:val="00577498"/>
    <w:rsid w:val="00582E1F"/>
    <w:rsid w:val="00593D54"/>
    <w:rsid w:val="005A1170"/>
    <w:rsid w:val="005A1C84"/>
    <w:rsid w:val="005A2BB0"/>
    <w:rsid w:val="005B12A5"/>
    <w:rsid w:val="005C002D"/>
    <w:rsid w:val="005C08CD"/>
    <w:rsid w:val="005C1469"/>
    <w:rsid w:val="005C2054"/>
    <w:rsid w:val="005C3D43"/>
    <w:rsid w:val="005D0C8B"/>
    <w:rsid w:val="005D258A"/>
    <w:rsid w:val="005D7E57"/>
    <w:rsid w:val="005E0D10"/>
    <w:rsid w:val="005E15D4"/>
    <w:rsid w:val="005E3B8F"/>
    <w:rsid w:val="005E69AD"/>
    <w:rsid w:val="006031C3"/>
    <w:rsid w:val="00605953"/>
    <w:rsid w:val="006066F2"/>
    <w:rsid w:val="006077AE"/>
    <w:rsid w:val="006140B1"/>
    <w:rsid w:val="006527D9"/>
    <w:rsid w:val="00661604"/>
    <w:rsid w:val="00666711"/>
    <w:rsid w:val="00667D03"/>
    <w:rsid w:val="00667F02"/>
    <w:rsid w:val="00671799"/>
    <w:rsid w:val="00674EDA"/>
    <w:rsid w:val="006853CD"/>
    <w:rsid w:val="006934AE"/>
    <w:rsid w:val="00693963"/>
    <w:rsid w:val="00694E01"/>
    <w:rsid w:val="006A4FC2"/>
    <w:rsid w:val="006C0D3E"/>
    <w:rsid w:val="006C20A1"/>
    <w:rsid w:val="006C2555"/>
    <w:rsid w:val="006C4A01"/>
    <w:rsid w:val="006D7DAD"/>
    <w:rsid w:val="006F041B"/>
    <w:rsid w:val="006F3325"/>
    <w:rsid w:val="006F4192"/>
    <w:rsid w:val="00706EC1"/>
    <w:rsid w:val="007074DF"/>
    <w:rsid w:val="00716857"/>
    <w:rsid w:val="00723FC9"/>
    <w:rsid w:val="00741BE6"/>
    <w:rsid w:val="00755068"/>
    <w:rsid w:val="00755864"/>
    <w:rsid w:val="00762533"/>
    <w:rsid w:val="00762A5F"/>
    <w:rsid w:val="00765F89"/>
    <w:rsid w:val="0078579B"/>
    <w:rsid w:val="00794326"/>
    <w:rsid w:val="00794E87"/>
    <w:rsid w:val="0079544C"/>
    <w:rsid w:val="007A1499"/>
    <w:rsid w:val="007A3648"/>
    <w:rsid w:val="007B5409"/>
    <w:rsid w:val="007B63D6"/>
    <w:rsid w:val="007C370A"/>
    <w:rsid w:val="007F512A"/>
    <w:rsid w:val="007F57FB"/>
    <w:rsid w:val="007F6A89"/>
    <w:rsid w:val="00802894"/>
    <w:rsid w:val="00804A67"/>
    <w:rsid w:val="00826300"/>
    <w:rsid w:val="00830BE1"/>
    <w:rsid w:val="008476B4"/>
    <w:rsid w:val="00850F4B"/>
    <w:rsid w:val="00851280"/>
    <w:rsid w:val="00855B94"/>
    <w:rsid w:val="00870B79"/>
    <w:rsid w:val="00871D05"/>
    <w:rsid w:val="00884E56"/>
    <w:rsid w:val="008B261E"/>
    <w:rsid w:val="008C77C3"/>
    <w:rsid w:val="009047AA"/>
    <w:rsid w:val="00910159"/>
    <w:rsid w:val="00913A25"/>
    <w:rsid w:val="00924C81"/>
    <w:rsid w:val="00926986"/>
    <w:rsid w:val="00926B15"/>
    <w:rsid w:val="00934873"/>
    <w:rsid w:val="0095096B"/>
    <w:rsid w:val="009518A4"/>
    <w:rsid w:val="009A5C5A"/>
    <w:rsid w:val="009A6A56"/>
    <w:rsid w:val="009A7CCC"/>
    <w:rsid w:val="009B4526"/>
    <w:rsid w:val="009B5EFF"/>
    <w:rsid w:val="009C262E"/>
    <w:rsid w:val="009C2A39"/>
    <w:rsid w:val="009C5561"/>
    <w:rsid w:val="009D2273"/>
    <w:rsid w:val="009D29B5"/>
    <w:rsid w:val="009E38FF"/>
    <w:rsid w:val="009E4DC0"/>
    <w:rsid w:val="009E5974"/>
    <w:rsid w:val="00A07EE2"/>
    <w:rsid w:val="00A13541"/>
    <w:rsid w:val="00A17EA1"/>
    <w:rsid w:val="00A2070D"/>
    <w:rsid w:val="00A3071A"/>
    <w:rsid w:val="00A32291"/>
    <w:rsid w:val="00A41FEF"/>
    <w:rsid w:val="00A630CD"/>
    <w:rsid w:val="00A65A68"/>
    <w:rsid w:val="00A7767D"/>
    <w:rsid w:val="00A97F46"/>
    <w:rsid w:val="00AD0098"/>
    <w:rsid w:val="00AD78D3"/>
    <w:rsid w:val="00AE164A"/>
    <w:rsid w:val="00AF2EB1"/>
    <w:rsid w:val="00B164E9"/>
    <w:rsid w:val="00B40D96"/>
    <w:rsid w:val="00B469F1"/>
    <w:rsid w:val="00B62460"/>
    <w:rsid w:val="00B70A53"/>
    <w:rsid w:val="00B74CFB"/>
    <w:rsid w:val="00B82405"/>
    <w:rsid w:val="00B91621"/>
    <w:rsid w:val="00B92166"/>
    <w:rsid w:val="00B94600"/>
    <w:rsid w:val="00B95103"/>
    <w:rsid w:val="00B96060"/>
    <w:rsid w:val="00BB7C8F"/>
    <w:rsid w:val="00BC24AB"/>
    <w:rsid w:val="00BE1150"/>
    <w:rsid w:val="00BE3103"/>
    <w:rsid w:val="00BE4254"/>
    <w:rsid w:val="00BF79A3"/>
    <w:rsid w:val="00C21F39"/>
    <w:rsid w:val="00C278A9"/>
    <w:rsid w:val="00C3437D"/>
    <w:rsid w:val="00C36E5C"/>
    <w:rsid w:val="00C5005C"/>
    <w:rsid w:val="00C53C2C"/>
    <w:rsid w:val="00C5567E"/>
    <w:rsid w:val="00C57162"/>
    <w:rsid w:val="00C70E04"/>
    <w:rsid w:val="00C72AAE"/>
    <w:rsid w:val="00C92801"/>
    <w:rsid w:val="00C92A0E"/>
    <w:rsid w:val="00C93C74"/>
    <w:rsid w:val="00CA282D"/>
    <w:rsid w:val="00CB13E4"/>
    <w:rsid w:val="00CC7A34"/>
    <w:rsid w:val="00CD308D"/>
    <w:rsid w:val="00CD7099"/>
    <w:rsid w:val="00CE5023"/>
    <w:rsid w:val="00CF4B89"/>
    <w:rsid w:val="00D006CC"/>
    <w:rsid w:val="00D05541"/>
    <w:rsid w:val="00D1039E"/>
    <w:rsid w:val="00D10E14"/>
    <w:rsid w:val="00D14566"/>
    <w:rsid w:val="00D16C31"/>
    <w:rsid w:val="00D24BEF"/>
    <w:rsid w:val="00D31872"/>
    <w:rsid w:val="00D502D3"/>
    <w:rsid w:val="00D73A3A"/>
    <w:rsid w:val="00D81681"/>
    <w:rsid w:val="00DA3FF7"/>
    <w:rsid w:val="00DB2DE6"/>
    <w:rsid w:val="00DC035D"/>
    <w:rsid w:val="00DC4B82"/>
    <w:rsid w:val="00DC5AFA"/>
    <w:rsid w:val="00DD4B04"/>
    <w:rsid w:val="00DE69DB"/>
    <w:rsid w:val="00DF6433"/>
    <w:rsid w:val="00E00772"/>
    <w:rsid w:val="00E12271"/>
    <w:rsid w:val="00E26C99"/>
    <w:rsid w:val="00E3300E"/>
    <w:rsid w:val="00E40113"/>
    <w:rsid w:val="00E42A84"/>
    <w:rsid w:val="00E57A25"/>
    <w:rsid w:val="00E67CE9"/>
    <w:rsid w:val="00E72AE3"/>
    <w:rsid w:val="00EA26FB"/>
    <w:rsid w:val="00EA5255"/>
    <w:rsid w:val="00EA6B5D"/>
    <w:rsid w:val="00ED1E2C"/>
    <w:rsid w:val="00EE3FE6"/>
    <w:rsid w:val="00EF77E7"/>
    <w:rsid w:val="00F151FF"/>
    <w:rsid w:val="00F322B1"/>
    <w:rsid w:val="00F3249C"/>
    <w:rsid w:val="00F36AEB"/>
    <w:rsid w:val="00F405FA"/>
    <w:rsid w:val="00F43711"/>
    <w:rsid w:val="00F50F12"/>
    <w:rsid w:val="00F66896"/>
    <w:rsid w:val="00F73685"/>
    <w:rsid w:val="00F82D0C"/>
    <w:rsid w:val="00F94DFB"/>
    <w:rsid w:val="00FA3BAB"/>
    <w:rsid w:val="00FD1BCA"/>
    <w:rsid w:val="00FD3D80"/>
    <w:rsid w:val="00FD7BB2"/>
    <w:rsid w:val="00FE032B"/>
    <w:rsid w:val="00FE15BA"/>
    <w:rsid w:val="00FE418D"/>
    <w:rsid w:val="00FE5E23"/>
    <w:rsid w:val="016519C1"/>
    <w:rsid w:val="01D735ED"/>
    <w:rsid w:val="01E56265"/>
    <w:rsid w:val="02477F19"/>
    <w:rsid w:val="03563CB7"/>
    <w:rsid w:val="037D3E66"/>
    <w:rsid w:val="04C3480C"/>
    <w:rsid w:val="057B5098"/>
    <w:rsid w:val="098B5CFE"/>
    <w:rsid w:val="0CDE6ACB"/>
    <w:rsid w:val="0EF36618"/>
    <w:rsid w:val="151B08BC"/>
    <w:rsid w:val="15B17473"/>
    <w:rsid w:val="15EF5C54"/>
    <w:rsid w:val="176B4C9A"/>
    <w:rsid w:val="1CFA3EE2"/>
    <w:rsid w:val="1EE83BEF"/>
    <w:rsid w:val="1F070C83"/>
    <w:rsid w:val="1FC14756"/>
    <w:rsid w:val="221C5C74"/>
    <w:rsid w:val="247E49C4"/>
    <w:rsid w:val="25DA7418"/>
    <w:rsid w:val="2F3C2DBE"/>
    <w:rsid w:val="31454BD5"/>
    <w:rsid w:val="325925CC"/>
    <w:rsid w:val="347F6E0E"/>
    <w:rsid w:val="37384BDF"/>
    <w:rsid w:val="38B44A00"/>
    <w:rsid w:val="3A351584"/>
    <w:rsid w:val="3B92704D"/>
    <w:rsid w:val="3FEE25A6"/>
    <w:rsid w:val="42F36125"/>
    <w:rsid w:val="48D736FD"/>
    <w:rsid w:val="4A2324A9"/>
    <w:rsid w:val="4D5075E4"/>
    <w:rsid w:val="50C7390D"/>
    <w:rsid w:val="50E1128D"/>
    <w:rsid w:val="53B67427"/>
    <w:rsid w:val="53C1438E"/>
    <w:rsid w:val="53D40704"/>
    <w:rsid w:val="564F65C4"/>
    <w:rsid w:val="5758598D"/>
    <w:rsid w:val="58841449"/>
    <w:rsid w:val="5E284C1F"/>
    <w:rsid w:val="60616447"/>
    <w:rsid w:val="611B6B1B"/>
    <w:rsid w:val="61AE6EDB"/>
    <w:rsid w:val="628E2F58"/>
    <w:rsid w:val="648D53BA"/>
    <w:rsid w:val="656C4216"/>
    <w:rsid w:val="71EE38E6"/>
    <w:rsid w:val="73A17354"/>
    <w:rsid w:val="74455059"/>
    <w:rsid w:val="76950CF0"/>
    <w:rsid w:val="775D6CD4"/>
    <w:rsid w:val="791B1956"/>
    <w:rsid w:val="7B9F5AE6"/>
    <w:rsid w:val="7D1D3EEF"/>
    <w:rsid w:val="7EAB552B"/>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qFormat="1"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99" w:semiHidden="0" w:name="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21"/>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22"/>
    <w:semiHidden/>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semiHidden/>
    <w:unhideWhenUsed/>
    <w:qFormat/>
    <w:uiPriority w:val="9"/>
    <w:pPr>
      <w:spacing w:beforeAutospacing="1" w:afterAutospacing="1"/>
      <w:jc w:val="left"/>
      <w:outlineLvl w:val="2"/>
    </w:pPr>
    <w:rPr>
      <w:rFonts w:hint="eastAsia" w:ascii="宋体" w:hAnsi="宋体" w:eastAsia="宋体" w:cs="Times New Roman"/>
      <w:b/>
      <w:bCs/>
      <w:kern w:val="0"/>
      <w:sz w:val="27"/>
      <w:szCs w:val="27"/>
    </w:rPr>
  </w:style>
  <w:style w:type="character" w:default="1" w:styleId="15">
    <w:name w:val="Default Paragraph Font"/>
    <w:semiHidden/>
    <w:unhideWhenUsed/>
    <w:uiPriority w:val="1"/>
  </w:style>
  <w:style w:type="table" w:default="1" w:styleId="13">
    <w:name w:val="Normal Table"/>
    <w:semiHidden/>
    <w:unhideWhenUsed/>
    <w:uiPriority w:val="99"/>
    <w:tblPr>
      <w:tblCellMar>
        <w:top w:w="0" w:type="dxa"/>
        <w:left w:w="108" w:type="dxa"/>
        <w:bottom w:w="0" w:type="dxa"/>
        <w:right w:w="108" w:type="dxa"/>
      </w:tblCellMar>
    </w:tblPr>
  </w:style>
  <w:style w:type="paragraph" w:styleId="5">
    <w:name w:val="annotation text"/>
    <w:basedOn w:val="1"/>
    <w:link w:val="23"/>
    <w:unhideWhenUsed/>
    <w:qFormat/>
    <w:uiPriority w:val="99"/>
    <w:rPr>
      <w:sz w:val="20"/>
      <w:szCs w:val="20"/>
    </w:rPr>
  </w:style>
  <w:style w:type="paragraph" w:styleId="6">
    <w:name w:val="Balloon Text"/>
    <w:basedOn w:val="1"/>
    <w:link w:val="24"/>
    <w:semiHidden/>
    <w:unhideWhenUsed/>
    <w:qFormat/>
    <w:uiPriority w:val="99"/>
    <w:rPr>
      <w:sz w:val="18"/>
      <w:szCs w:val="18"/>
    </w:rPr>
  </w:style>
  <w:style w:type="paragraph" w:styleId="7">
    <w:name w:val="footer"/>
    <w:basedOn w:val="1"/>
    <w:link w:val="25"/>
    <w:unhideWhenUsed/>
    <w:qFormat/>
    <w:uiPriority w:val="99"/>
    <w:pPr>
      <w:tabs>
        <w:tab w:val="center" w:pos="4153"/>
        <w:tab w:val="right" w:pos="8306"/>
      </w:tabs>
      <w:snapToGrid w:val="0"/>
      <w:jc w:val="left"/>
    </w:pPr>
    <w:rPr>
      <w:sz w:val="18"/>
      <w:szCs w:val="18"/>
    </w:rPr>
  </w:style>
  <w:style w:type="paragraph" w:styleId="8">
    <w:name w:val="header"/>
    <w:basedOn w:val="1"/>
    <w:link w:val="26"/>
    <w:unhideWhenUsed/>
    <w:qFormat/>
    <w:uiPriority w:val="99"/>
    <w:pPr>
      <w:pBdr>
        <w:bottom w:val="single" w:color="auto" w:sz="6" w:space="1"/>
      </w:pBdr>
      <w:tabs>
        <w:tab w:val="center" w:pos="4153"/>
        <w:tab w:val="right" w:pos="8306"/>
      </w:tabs>
      <w:snapToGrid w:val="0"/>
      <w:jc w:val="center"/>
    </w:pPr>
    <w:rPr>
      <w:sz w:val="18"/>
      <w:szCs w:val="18"/>
    </w:rPr>
  </w:style>
  <w:style w:type="paragraph" w:styleId="9">
    <w:name w:val="Subtitle"/>
    <w:basedOn w:val="1"/>
    <w:next w:val="1"/>
    <w:link w:val="45"/>
    <w:qFormat/>
    <w:uiPriority w:val="11"/>
    <w:pPr>
      <w:spacing w:before="240" w:after="60" w:line="312" w:lineRule="auto"/>
      <w:jc w:val="center"/>
      <w:outlineLvl w:val="1"/>
    </w:pPr>
    <w:rPr>
      <w:b/>
      <w:bCs/>
      <w:kern w:val="28"/>
      <w:sz w:val="32"/>
      <w:szCs w:val="32"/>
    </w:rPr>
  </w:style>
  <w:style w:type="paragraph" w:styleId="10">
    <w:name w:val="Normal (Web)"/>
    <w:basedOn w:val="1"/>
    <w:unhideWhenUsed/>
    <w:qFormat/>
    <w:uiPriority w:val="0"/>
    <w:pPr>
      <w:widowControl/>
      <w:spacing w:before="100" w:beforeAutospacing="1" w:after="100" w:afterAutospacing="1"/>
      <w:jc w:val="left"/>
    </w:pPr>
    <w:rPr>
      <w:rFonts w:ascii="宋体" w:hAnsi="宋体" w:eastAsia="宋体" w:cs="宋体"/>
      <w:kern w:val="0"/>
      <w:sz w:val="24"/>
      <w:szCs w:val="24"/>
    </w:rPr>
  </w:style>
  <w:style w:type="paragraph" w:styleId="11">
    <w:name w:val="Title"/>
    <w:basedOn w:val="1"/>
    <w:next w:val="1"/>
    <w:link w:val="44"/>
    <w:qFormat/>
    <w:uiPriority w:val="10"/>
    <w:pPr>
      <w:spacing w:before="240" w:after="60"/>
      <w:jc w:val="center"/>
      <w:outlineLvl w:val="0"/>
    </w:pPr>
    <w:rPr>
      <w:rFonts w:asciiTheme="majorHAnsi" w:hAnsiTheme="majorHAnsi" w:eastAsiaTheme="majorEastAsia" w:cstheme="majorBidi"/>
      <w:b/>
      <w:bCs/>
      <w:sz w:val="32"/>
      <w:szCs w:val="32"/>
    </w:rPr>
  </w:style>
  <w:style w:type="paragraph" w:styleId="12">
    <w:name w:val="annotation subject"/>
    <w:basedOn w:val="5"/>
    <w:next w:val="5"/>
    <w:link w:val="27"/>
    <w:semiHidden/>
    <w:unhideWhenUsed/>
    <w:qFormat/>
    <w:uiPriority w:val="99"/>
    <w:pPr>
      <w:jc w:val="left"/>
    </w:pPr>
    <w:rPr>
      <w:b/>
      <w:bCs/>
    </w:rPr>
  </w:style>
  <w:style w:type="table" w:styleId="14">
    <w:name w:val="Table Grid"/>
    <w:basedOn w:val="13"/>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6">
    <w:name w:val="Strong"/>
    <w:basedOn w:val="15"/>
    <w:qFormat/>
    <w:uiPriority w:val="22"/>
    <w:rPr>
      <w:b/>
    </w:rPr>
  </w:style>
  <w:style w:type="character" w:styleId="17">
    <w:name w:val="Emphasis"/>
    <w:basedOn w:val="15"/>
    <w:qFormat/>
    <w:uiPriority w:val="20"/>
    <w:rPr>
      <w:i/>
    </w:rPr>
  </w:style>
  <w:style w:type="character" w:styleId="18">
    <w:name w:val="line number"/>
    <w:basedOn w:val="15"/>
    <w:semiHidden/>
    <w:unhideWhenUsed/>
    <w:qFormat/>
    <w:uiPriority w:val="99"/>
  </w:style>
  <w:style w:type="character" w:styleId="19">
    <w:name w:val="Hyperlink"/>
    <w:basedOn w:val="15"/>
    <w:unhideWhenUsed/>
    <w:qFormat/>
    <w:uiPriority w:val="99"/>
    <w:rPr>
      <w:color w:val="0000FF"/>
      <w:u w:val="single"/>
    </w:rPr>
  </w:style>
  <w:style w:type="character" w:styleId="20">
    <w:name w:val="annotation reference"/>
    <w:basedOn w:val="15"/>
    <w:semiHidden/>
    <w:unhideWhenUsed/>
    <w:qFormat/>
    <w:uiPriority w:val="99"/>
    <w:rPr>
      <w:sz w:val="16"/>
      <w:szCs w:val="16"/>
    </w:rPr>
  </w:style>
  <w:style w:type="character" w:customStyle="1" w:styleId="21">
    <w:name w:val="标题 1 字符"/>
    <w:basedOn w:val="15"/>
    <w:link w:val="2"/>
    <w:qFormat/>
    <w:uiPriority w:val="9"/>
    <w:rPr>
      <w:b/>
      <w:bCs/>
      <w:kern w:val="44"/>
      <w:sz w:val="44"/>
      <w:szCs w:val="44"/>
    </w:rPr>
  </w:style>
  <w:style w:type="character" w:customStyle="1" w:styleId="22">
    <w:name w:val="标题 2 字符"/>
    <w:basedOn w:val="15"/>
    <w:link w:val="3"/>
    <w:semiHidden/>
    <w:qFormat/>
    <w:uiPriority w:val="9"/>
    <w:rPr>
      <w:rFonts w:asciiTheme="majorHAnsi" w:hAnsiTheme="majorHAnsi" w:eastAsiaTheme="majorEastAsia" w:cstheme="majorBidi"/>
      <w:b/>
      <w:bCs/>
      <w:sz w:val="32"/>
      <w:szCs w:val="32"/>
    </w:rPr>
  </w:style>
  <w:style w:type="character" w:customStyle="1" w:styleId="23">
    <w:name w:val="批注文字 字符"/>
    <w:basedOn w:val="15"/>
    <w:link w:val="5"/>
    <w:qFormat/>
    <w:uiPriority w:val="99"/>
    <w:rPr>
      <w:sz w:val="20"/>
      <w:szCs w:val="20"/>
    </w:rPr>
  </w:style>
  <w:style w:type="character" w:customStyle="1" w:styleId="24">
    <w:name w:val="批注框文本 字符"/>
    <w:basedOn w:val="15"/>
    <w:link w:val="6"/>
    <w:semiHidden/>
    <w:qFormat/>
    <w:uiPriority w:val="99"/>
    <w:rPr>
      <w:sz w:val="18"/>
      <w:szCs w:val="18"/>
    </w:rPr>
  </w:style>
  <w:style w:type="character" w:customStyle="1" w:styleId="25">
    <w:name w:val="页脚 字符"/>
    <w:basedOn w:val="15"/>
    <w:link w:val="7"/>
    <w:qFormat/>
    <w:uiPriority w:val="99"/>
    <w:rPr>
      <w:sz w:val="18"/>
      <w:szCs w:val="18"/>
    </w:rPr>
  </w:style>
  <w:style w:type="character" w:customStyle="1" w:styleId="26">
    <w:name w:val="页眉 字符"/>
    <w:basedOn w:val="15"/>
    <w:link w:val="8"/>
    <w:qFormat/>
    <w:uiPriority w:val="99"/>
    <w:rPr>
      <w:sz w:val="18"/>
      <w:szCs w:val="18"/>
    </w:rPr>
  </w:style>
  <w:style w:type="character" w:customStyle="1" w:styleId="27">
    <w:name w:val="批注主题 字符"/>
    <w:basedOn w:val="23"/>
    <w:link w:val="12"/>
    <w:semiHidden/>
    <w:qFormat/>
    <w:uiPriority w:val="99"/>
    <w:rPr>
      <w:b/>
      <w:bCs/>
      <w:sz w:val="20"/>
      <w:szCs w:val="20"/>
    </w:rPr>
  </w:style>
  <w:style w:type="character" w:styleId="28">
    <w:name w:val="Placeholder Text"/>
    <w:basedOn w:val="15"/>
    <w:semiHidden/>
    <w:qFormat/>
    <w:uiPriority w:val="99"/>
    <w:rPr>
      <w:color w:val="808080"/>
    </w:rPr>
  </w:style>
  <w:style w:type="paragraph" w:styleId="29">
    <w:name w:val="List Paragraph"/>
    <w:basedOn w:val="1"/>
    <w:qFormat/>
    <w:uiPriority w:val="34"/>
    <w:pPr>
      <w:widowControl/>
      <w:spacing w:after="156" w:afterLines="50" w:line="360" w:lineRule="auto"/>
      <w:ind w:left="420" w:hanging="420"/>
      <w:jc w:val="left"/>
    </w:pPr>
    <w:rPr>
      <w:rFonts w:ascii="Times New Roman" w:hAnsi="Times New Roman" w:cs="Times New Roman"/>
      <w:b/>
      <w:bCs/>
      <w:sz w:val="24"/>
      <w:szCs w:val="24"/>
    </w:rPr>
  </w:style>
  <w:style w:type="paragraph" w:customStyle="1" w:styleId="30">
    <w:name w:val="Default"/>
    <w:link w:val="31"/>
    <w:qFormat/>
    <w:uiPriority w:val="0"/>
    <w:pPr>
      <w:widowControl w:val="0"/>
      <w:autoSpaceDE w:val="0"/>
      <w:autoSpaceDN w:val="0"/>
      <w:adjustRightInd w:val="0"/>
      <w:spacing w:after="240" w:line="480" w:lineRule="atLeast"/>
      <w:jc w:val="both"/>
    </w:pPr>
    <w:rPr>
      <w:rFonts w:ascii="Times New Roman" w:hAnsi="Times New Roman" w:cs="Times New Roman" w:eastAsiaTheme="minorEastAsia"/>
      <w:color w:val="000000"/>
      <w:sz w:val="24"/>
      <w:szCs w:val="24"/>
      <w:lang w:val="en-US" w:eastAsia="zh-CN" w:bidi="ar-SA"/>
    </w:rPr>
  </w:style>
  <w:style w:type="character" w:customStyle="1" w:styleId="31">
    <w:name w:val="Default 字符"/>
    <w:basedOn w:val="15"/>
    <w:link w:val="30"/>
    <w:qFormat/>
    <w:uiPriority w:val="0"/>
    <w:rPr>
      <w:rFonts w:ascii="Times New Roman" w:hAnsi="Times New Roman" w:cs="Times New Roman"/>
      <w:color w:val="000000"/>
      <w:kern w:val="0"/>
      <w:sz w:val="24"/>
      <w:szCs w:val="24"/>
    </w:rPr>
  </w:style>
  <w:style w:type="paragraph" w:customStyle="1" w:styleId="32">
    <w:name w:val="EndNote Bibliography Title"/>
    <w:basedOn w:val="1"/>
    <w:link w:val="33"/>
    <w:qFormat/>
    <w:uiPriority w:val="0"/>
    <w:pPr>
      <w:jc w:val="center"/>
    </w:pPr>
    <w:rPr>
      <w:rFonts w:ascii="等线" w:hAnsi="等线" w:eastAsia="等线"/>
      <w:sz w:val="20"/>
    </w:rPr>
  </w:style>
  <w:style w:type="character" w:customStyle="1" w:styleId="33">
    <w:name w:val="EndNote Bibliography Title 字符"/>
    <w:basedOn w:val="15"/>
    <w:link w:val="32"/>
    <w:qFormat/>
    <w:uiPriority w:val="0"/>
    <w:rPr>
      <w:rFonts w:ascii="等线" w:hAnsi="等线" w:eastAsia="等线" w:cstheme="minorBidi"/>
      <w:kern w:val="2"/>
      <w:szCs w:val="22"/>
    </w:rPr>
  </w:style>
  <w:style w:type="paragraph" w:customStyle="1" w:styleId="34">
    <w:name w:val="EndNote Bibliography"/>
    <w:basedOn w:val="1"/>
    <w:link w:val="35"/>
    <w:qFormat/>
    <w:uiPriority w:val="0"/>
    <w:rPr>
      <w:rFonts w:ascii="等线" w:hAnsi="等线" w:eastAsia="等线"/>
      <w:sz w:val="20"/>
    </w:rPr>
  </w:style>
  <w:style w:type="character" w:customStyle="1" w:styleId="35">
    <w:name w:val="EndNote Bibliography 字符"/>
    <w:basedOn w:val="15"/>
    <w:link w:val="34"/>
    <w:qFormat/>
    <w:uiPriority w:val="0"/>
    <w:rPr>
      <w:rFonts w:ascii="等线" w:hAnsi="等线" w:eastAsia="等线" w:cstheme="minorBidi"/>
      <w:kern w:val="2"/>
      <w:szCs w:val="22"/>
    </w:rPr>
  </w:style>
  <w:style w:type="character" w:customStyle="1" w:styleId="36">
    <w:name w:val="未处理的提及1"/>
    <w:basedOn w:val="15"/>
    <w:semiHidden/>
    <w:unhideWhenUsed/>
    <w:qFormat/>
    <w:uiPriority w:val="99"/>
    <w:rPr>
      <w:color w:val="605E5C"/>
      <w:shd w:val="clear" w:color="auto" w:fill="E1DFDD"/>
    </w:rPr>
  </w:style>
  <w:style w:type="paragraph" w:customStyle="1" w:styleId="37">
    <w:name w:val="修订1"/>
    <w:hidden/>
    <w:semiHidden/>
    <w:qFormat/>
    <w:uiPriority w:val="99"/>
    <w:rPr>
      <w:rFonts w:asciiTheme="minorHAnsi" w:hAnsiTheme="minorHAnsi" w:eastAsiaTheme="minorEastAsia" w:cstheme="minorBidi"/>
      <w:kern w:val="2"/>
      <w:sz w:val="21"/>
      <w:szCs w:val="22"/>
      <w:lang w:val="en-US" w:eastAsia="zh-CN" w:bidi="ar-SA"/>
    </w:rPr>
  </w:style>
  <w:style w:type="character" w:customStyle="1" w:styleId="38">
    <w:name w:val="未处理的提及2"/>
    <w:basedOn w:val="15"/>
    <w:qFormat/>
    <w:uiPriority w:val="99"/>
    <w:rPr>
      <w:color w:val="605E5C"/>
      <w:shd w:val="clear" w:color="auto" w:fill="E1DFDD"/>
    </w:rPr>
  </w:style>
  <w:style w:type="character" w:customStyle="1" w:styleId="39">
    <w:name w:val="未处理的提及3"/>
    <w:basedOn w:val="15"/>
    <w:semiHidden/>
    <w:unhideWhenUsed/>
    <w:qFormat/>
    <w:uiPriority w:val="99"/>
    <w:rPr>
      <w:color w:val="605E5C"/>
      <w:shd w:val="clear" w:color="auto" w:fill="E1DFDD"/>
    </w:rPr>
  </w:style>
  <w:style w:type="character" w:customStyle="1" w:styleId="40">
    <w:name w:val="未处理的提及4"/>
    <w:basedOn w:val="15"/>
    <w:semiHidden/>
    <w:unhideWhenUsed/>
    <w:qFormat/>
    <w:uiPriority w:val="99"/>
    <w:rPr>
      <w:color w:val="605E5C"/>
      <w:shd w:val="clear" w:color="auto" w:fill="E1DFDD"/>
    </w:rPr>
  </w:style>
  <w:style w:type="character" w:customStyle="1" w:styleId="41">
    <w:name w:val="未处理的提及5"/>
    <w:basedOn w:val="15"/>
    <w:qFormat/>
    <w:uiPriority w:val="99"/>
    <w:rPr>
      <w:color w:val="605E5C"/>
      <w:shd w:val="clear" w:color="auto" w:fill="E1DFDD"/>
    </w:rPr>
  </w:style>
  <w:style w:type="character" w:customStyle="1" w:styleId="42">
    <w:name w:val="未处理的提及6"/>
    <w:basedOn w:val="15"/>
    <w:semiHidden/>
    <w:unhideWhenUsed/>
    <w:qFormat/>
    <w:uiPriority w:val="99"/>
    <w:rPr>
      <w:color w:val="605E5C"/>
      <w:shd w:val="clear" w:color="auto" w:fill="E1DFDD"/>
    </w:rPr>
  </w:style>
  <w:style w:type="paragraph" w:customStyle="1" w:styleId="43">
    <w:name w:val="修订2"/>
    <w:hidden/>
    <w:semiHidden/>
    <w:qFormat/>
    <w:uiPriority w:val="99"/>
    <w:rPr>
      <w:rFonts w:asciiTheme="minorHAnsi" w:hAnsiTheme="minorHAnsi" w:eastAsiaTheme="minorEastAsia" w:cstheme="minorBidi"/>
      <w:kern w:val="2"/>
      <w:sz w:val="21"/>
      <w:szCs w:val="22"/>
      <w:lang w:val="en-US" w:eastAsia="zh-CN" w:bidi="ar-SA"/>
    </w:rPr>
  </w:style>
  <w:style w:type="character" w:customStyle="1" w:styleId="44">
    <w:name w:val="标题 字符"/>
    <w:basedOn w:val="15"/>
    <w:link w:val="11"/>
    <w:qFormat/>
    <w:uiPriority w:val="10"/>
    <w:rPr>
      <w:rFonts w:asciiTheme="majorHAnsi" w:hAnsiTheme="majorHAnsi" w:eastAsiaTheme="majorEastAsia" w:cstheme="majorBidi"/>
      <w:b/>
      <w:bCs/>
      <w:sz w:val="32"/>
      <w:szCs w:val="32"/>
    </w:rPr>
  </w:style>
  <w:style w:type="character" w:customStyle="1" w:styleId="45">
    <w:name w:val="副标题 字符"/>
    <w:basedOn w:val="15"/>
    <w:link w:val="9"/>
    <w:qFormat/>
    <w:uiPriority w:val="11"/>
    <w:rPr>
      <w:b/>
      <w:bCs/>
      <w:kern w:val="28"/>
      <w:sz w:val="32"/>
      <w:szCs w:val="32"/>
    </w:rPr>
  </w:style>
  <w:style w:type="paragraph" w:styleId="46">
    <w:name w:val="Quote"/>
    <w:basedOn w:val="1"/>
    <w:next w:val="1"/>
    <w:link w:val="47"/>
    <w:qFormat/>
    <w:uiPriority w:val="99"/>
    <w:pPr>
      <w:spacing w:before="200" w:after="160"/>
      <w:ind w:left="864" w:right="864"/>
      <w:jc w:val="center"/>
    </w:pPr>
    <w:rPr>
      <w:i/>
      <w:iCs/>
      <w:color w:val="404040" w:themeColor="text1" w:themeTint="BF"/>
      <w14:textFill>
        <w14:solidFill>
          <w14:schemeClr w14:val="tx1">
            <w14:lumMod w14:val="75000"/>
            <w14:lumOff w14:val="25000"/>
          </w14:schemeClr>
        </w14:solidFill>
      </w14:textFill>
    </w:rPr>
  </w:style>
  <w:style w:type="character" w:customStyle="1" w:styleId="47">
    <w:name w:val="引用 字符"/>
    <w:basedOn w:val="15"/>
    <w:link w:val="46"/>
    <w:qFormat/>
    <w:uiPriority w:val="99"/>
    <w:rPr>
      <w:i/>
      <w:iCs/>
      <w:color w:val="404040" w:themeColor="text1" w:themeTint="BF"/>
      <w14:textFill>
        <w14:solidFill>
          <w14:schemeClr w14:val="tx1">
            <w14:lumMod w14:val="75000"/>
            <w14:lumOff w14:val="25000"/>
          </w14:schemeClr>
        </w14:solidFill>
      </w14:textFill>
    </w:rPr>
  </w:style>
  <w:style w:type="table" w:customStyle="1" w:styleId="48">
    <w:name w:val="网格型1"/>
    <w:basedOn w:val="13"/>
    <w:qFormat/>
    <w:uiPriority w:val="39"/>
    <w:pPr>
      <w:jc w:val="center"/>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9">
    <w:name w:val="网格型11"/>
    <w:basedOn w:val="13"/>
    <w:qFormat/>
    <w:uiPriority w:val="0"/>
    <w:pPr>
      <w:jc w:val="center"/>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0">
    <w:name w:val="网格型12"/>
    <w:basedOn w:val="13"/>
    <w:qFormat/>
    <w:uiPriority w:val="0"/>
    <w:pPr>
      <w:jc w:val="center"/>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51">
    <w:name w:val="修订3"/>
    <w:hidden/>
    <w:semiHidden/>
    <w:qFormat/>
    <w:uiPriority w:val="99"/>
    <w:rPr>
      <w:rFonts w:asciiTheme="minorHAnsi" w:hAnsiTheme="minorHAnsi" w:eastAsiaTheme="minorEastAsia" w:cstheme="minorBidi"/>
      <w:kern w:val="2"/>
      <w:sz w:val="21"/>
      <w:szCs w:val="22"/>
      <w:lang w:val="en-US" w:eastAsia="zh-CN" w:bidi="ar-SA"/>
    </w:rPr>
  </w:style>
  <w:style w:type="character" w:customStyle="1" w:styleId="52">
    <w:name w:val="未处理的提及7"/>
    <w:basedOn w:val="15"/>
    <w:semiHidden/>
    <w:unhideWhenUsed/>
    <w:qFormat/>
    <w:uiPriority w:val="99"/>
    <w:rPr>
      <w:color w:val="605E5C"/>
      <w:shd w:val="clear" w:color="auto" w:fill="E1DFDD"/>
    </w:rPr>
  </w:style>
  <w:style w:type="character" w:customStyle="1" w:styleId="53">
    <w:name w:val="未处理的提及8"/>
    <w:basedOn w:val="15"/>
    <w:semiHidden/>
    <w:unhideWhenUsed/>
    <w:qFormat/>
    <w:uiPriority w:val="99"/>
    <w:rPr>
      <w:color w:val="605E5C"/>
      <w:shd w:val="clear" w:color="auto" w:fill="E1DFDD"/>
    </w:rPr>
  </w:style>
  <w:style w:type="paragraph" w:customStyle="1" w:styleId="54">
    <w:name w:val="Revision"/>
    <w:hidden/>
    <w:unhideWhenUsed/>
    <w:qFormat/>
    <w:uiPriority w:val="99"/>
    <w:rPr>
      <w:rFonts w:asciiTheme="minorHAnsi" w:hAnsiTheme="minorHAnsi" w:eastAsiaTheme="minorEastAsia" w:cstheme="minorBidi"/>
      <w:kern w:val="2"/>
      <w:sz w:val="21"/>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emf"/><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1" Type="http://schemas.openxmlformats.org/officeDocument/2006/relationships/fontTable" Target="fontTable.xml"/><Relationship Id="rId30" Type="http://schemas.openxmlformats.org/officeDocument/2006/relationships/customXml" Target="../customXml/item1.xml"/><Relationship Id="rId3" Type="http://schemas.openxmlformats.org/officeDocument/2006/relationships/header" Target="header1.xml"/><Relationship Id="rId29" Type="http://schemas.openxmlformats.org/officeDocument/2006/relationships/numbering" Target="numbering.xml"/><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8FF1BD-E9E3-4BFB-826F-95B70C9BEE01}">
  <ds:schemaRefs/>
</ds:datastoreItem>
</file>

<file path=docProps/app.xml><?xml version="1.0" encoding="utf-8"?>
<Properties xmlns="http://schemas.openxmlformats.org/officeDocument/2006/extended-properties" xmlns:vt="http://schemas.openxmlformats.org/officeDocument/2006/docPropsVTypes">
  <Template>Normal.dotm</Template>
  <Pages>48</Pages>
  <Words>6937</Words>
  <Characters>41626</Characters>
  <Lines>626</Lines>
  <Paragraphs>176</Paragraphs>
  <TotalTime>507</TotalTime>
  <ScaleCrop>false</ScaleCrop>
  <LinksUpToDate>false</LinksUpToDate>
  <CharactersWithSpaces>48204</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2026-01-15T13:41:00Z</dcterms:created>
  <dc:creator>user</dc:creator>
  <cp:lastModifiedBy>user</cp:lastModifiedBy>
  <cp:lastPrinted>2024-12-11T02:57:00Z</cp:lastPrinted>
  <dcterms:modified xsi:type="dcterms:W3CDTF">2026-04-20T05:24:40Z</dcterms:modified>
  <cp:revision>15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0BD486A4F6A746F5B61CF6659CEF0EDB_13</vt:lpwstr>
  </property>
  <property fmtid="{D5CDD505-2E9C-101B-9397-08002B2CF9AE}" pid="4" name="KSOTemplateDocerSaveRecord">
    <vt:lpwstr>eyJoZGlkIjoiYjBkNDk1N2U2YTgxZWVkZWRhMmViYjkxMWM2ZDcyYTciLCJ1c2VySWQiOiIxNjU3MTQxNjU0In0=</vt:lpwstr>
  </property>
</Properties>
</file>