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3EB7" w14:textId="77777777" w:rsidR="004942DD" w:rsidRPr="002D0F2E" w:rsidRDefault="004942DD" w:rsidP="004942DD">
      <w:pPr>
        <w:pStyle w:val="Caption"/>
        <w:keepNext/>
        <w:jc w:val="left"/>
        <w:rPr>
          <w:rFonts w:ascii="Times New Roman" w:hAnsi="Times New Roman" w:cs="Times New Roman"/>
          <w:sz w:val="21"/>
        </w:rPr>
      </w:pPr>
      <w:bookmarkStart w:id="0" w:name="_Hlk230819329"/>
      <w:r w:rsidRPr="002D0F2E">
        <w:rPr>
          <w:rStyle w:val="Strong"/>
          <w:rFonts w:ascii="Times New Roman" w:eastAsia="SimSun" w:hAnsi="Times New Roman" w:cs="Times New Roman"/>
          <w:color w:val="0F1115"/>
          <w:kern w:val="0"/>
          <w:sz w:val="21"/>
          <w:shd w:val="clear" w:color="auto" w:fill="FFFFFF"/>
        </w:rPr>
        <w:t xml:space="preserve">Table3. </w:t>
      </w:r>
      <w:r w:rsidRPr="002D0F2E">
        <w:rPr>
          <w:rStyle w:val="Strong"/>
          <w:rFonts w:ascii="Times New Roman" w:hAnsi="Times New Roman" w:cs="Times New Roman"/>
          <w:b w:val="0"/>
          <w:bCs w:val="0"/>
          <w:sz w:val="21"/>
        </w:rPr>
        <w:t>Subgroup analysis for the association between NPS (as a continuous variable, per 1</w:t>
      </w:r>
      <w:r w:rsidRPr="002D0F2E">
        <w:rPr>
          <w:rStyle w:val="Strong"/>
          <w:rFonts w:ascii="Times New Roman" w:hAnsi="Times New Roman" w:cs="Times New Roman"/>
          <w:b w:val="0"/>
          <w:bCs w:val="0"/>
          <w:sz w:val="21"/>
        </w:rPr>
        <w:noBreakHyphen/>
        <w:t>point increase) and 3</w:t>
      </w:r>
      <w:r w:rsidRPr="002D0F2E">
        <w:rPr>
          <w:rStyle w:val="Strong"/>
          <w:rFonts w:ascii="Times New Roman" w:hAnsi="Times New Roman" w:cs="Times New Roman"/>
          <w:b w:val="0"/>
          <w:bCs w:val="0"/>
          <w:sz w:val="21"/>
        </w:rPr>
        <w:noBreakHyphen/>
        <w:t>year all</w:t>
      </w:r>
      <w:r w:rsidRPr="002D0F2E">
        <w:rPr>
          <w:rStyle w:val="Strong"/>
          <w:rFonts w:ascii="Times New Roman" w:hAnsi="Times New Roman" w:cs="Times New Roman"/>
          <w:b w:val="0"/>
          <w:bCs w:val="0"/>
          <w:sz w:val="21"/>
        </w:rPr>
        <w:noBreakHyphen/>
        <w:t xml:space="preserve">cause mortality. </w:t>
      </w:r>
      <w:r w:rsidRPr="002D0F2E">
        <w:rPr>
          <w:rStyle w:val="Strong"/>
          <w:rFonts w:ascii="Times New Roman" w:hAnsi="Times New Roman" w:cs="Times New Roman"/>
          <w:b w:val="0"/>
          <w:bCs w:val="0"/>
          <w:sz w:val="24"/>
          <w:szCs w:val="22"/>
        </w:rPr>
        <w:t>HR, hazard ratio; CI, confidence interval; HT, hypertension; CKD, chronic kidney disease; Revas, revascularization; Hb, hemoglobin; ICU, intensive care unit.</w:t>
      </w:r>
    </w:p>
    <w:p w14:paraId="7E13CECA" w14:textId="77777777" w:rsidR="004942DD" w:rsidRPr="002D0F2E" w:rsidRDefault="004942DD" w:rsidP="004942DD">
      <w:pPr>
        <w:pStyle w:val="NormalWeb"/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37A29B9" wp14:editId="709F7FC3">
            <wp:extent cx="4883469" cy="3137881"/>
            <wp:effectExtent l="0" t="0" r="0" b="5715"/>
            <wp:docPr id="20" name="图片 20" descr="表格  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表格  AI 生成的内容可能不正确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3" t="5381" r="3072" b="10512"/>
                    <a:stretch/>
                  </pic:blipFill>
                  <pic:spPr bwMode="auto">
                    <a:xfrm>
                      <a:off x="0" y="0"/>
                      <a:ext cx="4883717" cy="313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8F11331" w14:textId="77777777" w:rsidR="004942DD" w:rsidRDefault="004942DD" w:rsidP="004942DD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14:paraId="5E571906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DD"/>
    <w:rsid w:val="000905F0"/>
    <w:rsid w:val="00112C91"/>
    <w:rsid w:val="00242B4F"/>
    <w:rsid w:val="00302F9E"/>
    <w:rsid w:val="004942DD"/>
    <w:rsid w:val="004E23CF"/>
    <w:rsid w:val="00692403"/>
    <w:rsid w:val="006D5216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0B22"/>
  <w15:chartTrackingRefBased/>
  <w15:docId w15:val="{892412D1-A587-4127-A48D-20D651A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2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42DD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lang w:val="en-US"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4942DD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4942DD"/>
    <w:pPr>
      <w:widowControl w:val="0"/>
      <w:spacing w:after="0" w:line="240" w:lineRule="auto"/>
      <w:jc w:val="both"/>
    </w:pPr>
    <w:rPr>
      <w:rFonts w:asciiTheme="majorHAnsi" w:eastAsia="SimHei" w:hAnsiTheme="majorHAnsi" w:cstheme="majorBidi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2026-07-20T06:39:00Z</dcterms:created>
  <dcterms:modified xsi:type="dcterms:W3CDTF">2026-07-20T06:39:00Z</dcterms:modified>
</cp:coreProperties>
</file>