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57D95" w14:textId="77777777" w:rsidR="006053B0" w:rsidRPr="006053B0" w:rsidRDefault="006053B0" w:rsidP="006053B0">
      <w:pPr>
        <w:rPr>
          <w:lang w:val="en-US"/>
        </w:rPr>
      </w:pPr>
      <w:r w:rsidRPr="006053B0">
        <w:rPr>
          <w:lang w:val="en-US"/>
        </w:rPr>
        <w:drawing>
          <wp:inline distT="0" distB="0" distL="0" distR="0" wp14:anchorId="0FCE886E" wp14:editId="01549545">
            <wp:extent cx="4762500" cy="3200400"/>
            <wp:effectExtent l="0" t="0" r="0" b="0"/>
            <wp:docPr id="6084738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F81D8" w14:textId="77777777" w:rsidR="006053B0" w:rsidRPr="006053B0" w:rsidRDefault="006053B0" w:rsidP="006053B0">
      <w:pPr>
        <w:rPr>
          <w:lang w:val="en-US"/>
        </w:rPr>
      </w:pPr>
      <w:r w:rsidRPr="006053B0">
        <w:rPr>
          <w:lang w:val="en-US"/>
        </w:rPr>
        <w:t xml:space="preserve">Supplemental Figure 1: Total Robotic case experience differences between one and two-year HPB fellowships compared by year. Trend line represents the mean case </w:t>
      </w:r>
      <w:proofErr w:type="gramStart"/>
      <w:r w:rsidRPr="006053B0">
        <w:rPr>
          <w:lang w:val="en-US"/>
        </w:rPr>
        <w:t>volume,</w:t>
      </w:r>
      <w:proofErr w:type="gramEnd"/>
      <w:r w:rsidRPr="006053B0">
        <w:rPr>
          <w:lang w:val="en-US"/>
        </w:rPr>
        <w:t xml:space="preserve"> each data point represents a distinct fellow. </w:t>
      </w:r>
    </w:p>
    <w:p w14:paraId="0204DE3D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3B0"/>
    <w:rsid w:val="006053B0"/>
    <w:rsid w:val="00767E38"/>
    <w:rsid w:val="00866F7D"/>
    <w:rsid w:val="009F18AA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F90E7"/>
  <w15:chartTrackingRefBased/>
  <w15:docId w15:val="{F451BA31-1E98-4958-88DE-DA3122C9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53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53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53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53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53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53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53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53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53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3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53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53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53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53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53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53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53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53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53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53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53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53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53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53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53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53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53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53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53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2026-07-02T11:29:00Z</dcterms:created>
  <dcterms:modified xsi:type="dcterms:W3CDTF">2026-07-02T11:29:00Z</dcterms:modified>
</cp:coreProperties>
</file>