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BA9E" w14:textId="77777777" w:rsidR="001D1CF9" w:rsidRPr="00BE36D9" w:rsidRDefault="001D1CF9" w:rsidP="001D1CF9">
      <w:pPr>
        <w:spacing w:line="240" w:lineRule="auto"/>
        <w:jc w:val="both"/>
        <w:rPr>
          <w:rFonts w:ascii="Times New Roman" w:hAnsi="Times New Roman" w:cs="Times New Roman"/>
          <w:sz w:val="24"/>
          <w:szCs w:val="24"/>
        </w:rPr>
      </w:pPr>
      <w:r w:rsidRPr="00BE36D9">
        <w:rPr>
          <w:rFonts w:ascii="Times New Roman" w:hAnsi="Times New Roman" w:cs="Times New Roman"/>
          <w:b/>
          <w:bCs/>
          <w:sz w:val="24"/>
          <w:szCs w:val="24"/>
        </w:rPr>
        <w:t>Table 1.</w:t>
      </w:r>
      <w:r w:rsidRPr="00BE36D9">
        <w:rPr>
          <w:rFonts w:ascii="Times New Roman" w:hAnsi="Times New Roman" w:cs="Times New Roman"/>
          <w:sz w:val="24"/>
          <w:szCs w:val="24"/>
        </w:rPr>
        <w:t xml:space="preserve"> Epidemiological characteristics of domestic pigs </w:t>
      </w:r>
      <w:r>
        <w:rPr>
          <w:rFonts w:ascii="Times New Roman" w:hAnsi="Times New Roman" w:cs="Times New Roman"/>
          <w:sz w:val="24"/>
          <w:szCs w:val="24"/>
        </w:rPr>
        <w:t xml:space="preserve">and </w:t>
      </w:r>
      <w:r w:rsidRPr="00BE36D9">
        <w:rPr>
          <w:rFonts w:ascii="Times New Roman" w:hAnsi="Times New Roman" w:cs="Times New Roman"/>
          <w:sz w:val="24"/>
          <w:szCs w:val="24"/>
        </w:rPr>
        <w:t xml:space="preserve">wild boars included in the study. Data are expressed as n (%). Animals were classified according to sex, age category and </w:t>
      </w:r>
      <w:r w:rsidRPr="00BE36D9">
        <w:rPr>
          <w:rFonts w:ascii="Times New Roman" w:hAnsi="Times New Roman" w:cs="Times New Roman"/>
          <w:i/>
          <w:iCs/>
          <w:sz w:val="24"/>
          <w:szCs w:val="24"/>
        </w:rPr>
        <w:t>Leishmania infantum</w:t>
      </w:r>
      <w:r w:rsidRPr="00BE36D9">
        <w:rPr>
          <w:rFonts w:ascii="Times New Roman" w:hAnsi="Times New Roman" w:cs="Times New Roman"/>
          <w:sz w:val="24"/>
          <w:szCs w:val="24"/>
        </w:rPr>
        <w:t xml:space="preserve"> infection status based on ELISA and PCR analyses.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997"/>
        <w:gridCol w:w="2252"/>
        <w:gridCol w:w="2972"/>
        <w:gridCol w:w="2854"/>
        <w:gridCol w:w="1966"/>
        <w:gridCol w:w="1963"/>
      </w:tblGrid>
      <w:tr w:rsidR="001D1CF9" w:rsidRPr="00BE36D9" w14:paraId="1745DDF0" w14:textId="77777777" w:rsidTr="004E3154">
        <w:trPr>
          <w:jc w:val="center"/>
        </w:trPr>
        <w:tc>
          <w:tcPr>
            <w:tcW w:w="1517" w:type="pct"/>
            <w:gridSpan w:val="2"/>
            <w:shd w:val="clear" w:color="auto" w:fill="BFBFBF" w:themeFill="background1" w:themeFillShade="BF"/>
          </w:tcPr>
          <w:p w14:paraId="01D01605" w14:textId="77777777" w:rsidR="001D1CF9" w:rsidRPr="00BE36D9" w:rsidRDefault="001D1CF9" w:rsidP="004E3154">
            <w:pPr>
              <w:jc w:val="center"/>
              <w:rPr>
                <w:rFonts w:ascii="Times New Roman" w:hAnsi="Times New Roman" w:cs="Times New Roman"/>
                <w:b/>
                <w:bCs/>
                <w:sz w:val="24"/>
                <w:szCs w:val="24"/>
              </w:rPr>
            </w:pPr>
            <w:r w:rsidRPr="00BE36D9">
              <w:rPr>
                <w:rFonts w:ascii="Times New Roman" w:hAnsi="Times New Roman" w:cs="Times New Roman"/>
                <w:b/>
                <w:bCs/>
                <w:sz w:val="24"/>
                <w:szCs w:val="24"/>
              </w:rPr>
              <w:t>Variable</w:t>
            </w:r>
          </w:p>
        </w:tc>
        <w:tc>
          <w:tcPr>
            <w:tcW w:w="1061" w:type="pct"/>
            <w:shd w:val="clear" w:color="auto" w:fill="BFBFBF" w:themeFill="background1" w:themeFillShade="BF"/>
          </w:tcPr>
          <w:p w14:paraId="26E97065" w14:textId="77777777" w:rsidR="001D1CF9" w:rsidRPr="00BE36D9" w:rsidRDefault="001D1CF9" w:rsidP="004E3154">
            <w:pPr>
              <w:jc w:val="center"/>
              <w:rPr>
                <w:rFonts w:ascii="Times New Roman" w:hAnsi="Times New Roman" w:cs="Times New Roman"/>
                <w:b/>
                <w:bCs/>
                <w:sz w:val="24"/>
                <w:szCs w:val="24"/>
              </w:rPr>
            </w:pPr>
            <w:r w:rsidRPr="00BE36D9">
              <w:rPr>
                <w:rFonts w:ascii="Times New Roman" w:hAnsi="Times New Roman" w:cs="Times New Roman"/>
                <w:b/>
                <w:bCs/>
                <w:sz w:val="24"/>
                <w:szCs w:val="24"/>
              </w:rPr>
              <w:t>Domestic pigs (n = 48)</w:t>
            </w:r>
          </w:p>
        </w:tc>
        <w:tc>
          <w:tcPr>
            <w:tcW w:w="1019" w:type="pct"/>
            <w:shd w:val="clear" w:color="auto" w:fill="BFBFBF" w:themeFill="background1" w:themeFillShade="BF"/>
          </w:tcPr>
          <w:p w14:paraId="64899D78" w14:textId="77777777" w:rsidR="001D1CF9" w:rsidRPr="00BE36D9" w:rsidRDefault="001D1CF9" w:rsidP="004E3154">
            <w:pPr>
              <w:jc w:val="center"/>
              <w:rPr>
                <w:rFonts w:ascii="Times New Roman" w:hAnsi="Times New Roman" w:cs="Times New Roman"/>
                <w:b/>
                <w:bCs/>
                <w:sz w:val="24"/>
                <w:szCs w:val="24"/>
              </w:rPr>
            </w:pPr>
            <w:r w:rsidRPr="00BE36D9">
              <w:rPr>
                <w:rFonts w:ascii="Times New Roman" w:hAnsi="Times New Roman" w:cs="Times New Roman"/>
                <w:b/>
                <w:bCs/>
                <w:sz w:val="24"/>
                <w:szCs w:val="24"/>
              </w:rPr>
              <w:t>Wild boars (n = 19)</w:t>
            </w:r>
          </w:p>
        </w:tc>
        <w:tc>
          <w:tcPr>
            <w:tcW w:w="702" w:type="pct"/>
            <w:shd w:val="clear" w:color="auto" w:fill="BFBFBF" w:themeFill="background1" w:themeFillShade="BF"/>
          </w:tcPr>
          <w:p w14:paraId="0E6B0014" w14:textId="77777777" w:rsidR="001D1CF9" w:rsidRPr="00BE36D9" w:rsidRDefault="001D1CF9" w:rsidP="004E3154">
            <w:pPr>
              <w:jc w:val="center"/>
              <w:rPr>
                <w:rFonts w:ascii="Times New Roman" w:hAnsi="Times New Roman" w:cs="Times New Roman"/>
                <w:b/>
                <w:bCs/>
                <w:sz w:val="24"/>
                <w:szCs w:val="24"/>
              </w:rPr>
            </w:pPr>
            <w:r w:rsidRPr="00BE36D9">
              <w:rPr>
                <w:rFonts w:ascii="Times New Roman" w:hAnsi="Times New Roman" w:cs="Times New Roman"/>
                <w:b/>
                <w:bCs/>
                <w:sz w:val="24"/>
                <w:szCs w:val="24"/>
              </w:rPr>
              <w:t xml:space="preserve">Total (n = </w:t>
            </w:r>
            <w:r>
              <w:rPr>
                <w:rFonts w:ascii="Times New Roman" w:hAnsi="Times New Roman" w:cs="Times New Roman"/>
                <w:b/>
                <w:bCs/>
                <w:sz w:val="24"/>
                <w:szCs w:val="24"/>
              </w:rPr>
              <w:t>67</w:t>
            </w:r>
            <w:r w:rsidRPr="00BE36D9">
              <w:rPr>
                <w:rFonts w:ascii="Times New Roman" w:hAnsi="Times New Roman" w:cs="Times New Roman"/>
                <w:b/>
                <w:bCs/>
                <w:sz w:val="24"/>
                <w:szCs w:val="24"/>
              </w:rPr>
              <w:t>)</w:t>
            </w:r>
          </w:p>
        </w:tc>
        <w:tc>
          <w:tcPr>
            <w:tcW w:w="701" w:type="pct"/>
            <w:shd w:val="clear" w:color="auto" w:fill="BFBFBF" w:themeFill="background1" w:themeFillShade="BF"/>
          </w:tcPr>
          <w:p w14:paraId="39EEBFEE" w14:textId="77777777" w:rsidR="001D1CF9" w:rsidRPr="00BE36D9" w:rsidRDefault="001D1CF9" w:rsidP="004E3154">
            <w:pPr>
              <w:jc w:val="center"/>
              <w:rPr>
                <w:rFonts w:ascii="Times New Roman" w:hAnsi="Times New Roman" w:cs="Times New Roman"/>
                <w:b/>
                <w:bCs/>
                <w:sz w:val="24"/>
                <w:szCs w:val="24"/>
              </w:rPr>
            </w:pPr>
            <w:r w:rsidRPr="00945445">
              <w:rPr>
                <w:rFonts w:ascii="Times New Roman" w:hAnsi="Times New Roman" w:cs="Times New Roman"/>
                <w:b/>
                <w:bCs/>
                <w:i/>
                <w:iCs/>
                <w:sz w:val="24"/>
                <w:szCs w:val="24"/>
              </w:rPr>
              <w:t>p</w:t>
            </w:r>
            <w:r>
              <w:rPr>
                <w:rFonts w:ascii="Times New Roman" w:hAnsi="Times New Roman" w:cs="Times New Roman"/>
                <w:b/>
                <w:bCs/>
                <w:sz w:val="24"/>
                <w:szCs w:val="24"/>
              </w:rPr>
              <w:t>-value</w:t>
            </w:r>
          </w:p>
        </w:tc>
      </w:tr>
      <w:tr w:rsidR="001D1CF9" w:rsidRPr="00BE36D9" w14:paraId="2D31CA8A" w14:textId="77777777" w:rsidTr="004E3154">
        <w:trPr>
          <w:jc w:val="center"/>
        </w:trPr>
        <w:tc>
          <w:tcPr>
            <w:tcW w:w="713" w:type="pct"/>
            <w:vMerge w:val="restart"/>
          </w:tcPr>
          <w:p w14:paraId="6E5FF6CF"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Sex</w:t>
            </w:r>
          </w:p>
        </w:tc>
        <w:tc>
          <w:tcPr>
            <w:tcW w:w="804" w:type="pct"/>
          </w:tcPr>
          <w:p w14:paraId="728C4CFF"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Male</w:t>
            </w:r>
          </w:p>
        </w:tc>
        <w:tc>
          <w:tcPr>
            <w:tcW w:w="1061" w:type="pct"/>
          </w:tcPr>
          <w:p w14:paraId="0B72BEC3"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15 (31.2%)</w:t>
            </w:r>
          </w:p>
        </w:tc>
        <w:tc>
          <w:tcPr>
            <w:tcW w:w="1019" w:type="pct"/>
          </w:tcPr>
          <w:p w14:paraId="4C0CF683"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10 (52.6%)</w:t>
            </w:r>
          </w:p>
        </w:tc>
        <w:tc>
          <w:tcPr>
            <w:tcW w:w="702" w:type="pct"/>
          </w:tcPr>
          <w:p w14:paraId="2859D7DB"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2</w:t>
            </w:r>
            <w:r>
              <w:rPr>
                <w:rFonts w:ascii="Times New Roman" w:hAnsi="Times New Roman" w:cs="Times New Roman"/>
                <w:sz w:val="24"/>
                <w:szCs w:val="24"/>
              </w:rPr>
              <w:t>5</w:t>
            </w:r>
            <w:r w:rsidRPr="00BE36D9">
              <w:rPr>
                <w:rFonts w:ascii="Times New Roman" w:hAnsi="Times New Roman" w:cs="Times New Roman"/>
                <w:sz w:val="24"/>
                <w:szCs w:val="24"/>
              </w:rPr>
              <w:t xml:space="preserve"> (37.</w:t>
            </w:r>
            <w:r>
              <w:rPr>
                <w:rFonts w:ascii="Times New Roman" w:hAnsi="Times New Roman" w:cs="Times New Roman"/>
                <w:sz w:val="24"/>
                <w:szCs w:val="24"/>
              </w:rPr>
              <w:t>3</w:t>
            </w:r>
            <w:r w:rsidRPr="00BE36D9">
              <w:rPr>
                <w:rFonts w:ascii="Times New Roman" w:hAnsi="Times New Roman" w:cs="Times New Roman"/>
                <w:sz w:val="24"/>
                <w:szCs w:val="24"/>
              </w:rPr>
              <w:t xml:space="preserve"> %)</w:t>
            </w:r>
          </w:p>
        </w:tc>
        <w:tc>
          <w:tcPr>
            <w:tcW w:w="701" w:type="pct"/>
            <w:vMerge w:val="restart"/>
            <w:vAlign w:val="center"/>
          </w:tcPr>
          <w:p w14:paraId="19BAC55A" w14:textId="77777777" w:rsidR="001D1CF9" w:rsidRPr="00BE36D9" w:rsidRDefault="001D1CF9" w:rsidP="004E3154">
            <w:pPr>
              <w:jc w:val="center"/>
              <w:rPr>
                <w:rFonts w:ascii="Times New Roman" w:hAnsi="Times New Roman" w:cs="Times New Roman"/>
                <w:sz w:val="24"/>
                <w:szCs w:val="24"/>
              </w:rPr>
            </w:pPr>
            <w:r>
              <w:rPr>
                <w:rFonts w:ascii="Times New Roman" w:hAnsi="Times New Roman" w:cs="Times New Roman"/>
                <w:sz w:val="24"/>
                <w:szCs w:val="24"/>
              </w:rPr>
              <w:t>0.160</w:t>
            </w:r>
          </w:p>
        </w:tc>
      </w:tr>
      <w:tr w:rsidR="001D1CF9" w:rsidRPr="00BE36D9" w14:paraId="32490967" w14:textId="77777777" w:rsidTr="004E3154">
        <w:trPr>
          <w:jc w:val="center"/>
        </w:trPr>
        <w:tc>
          <w:tcPr>
            <w:tcW w:w="713" w:type="pct"/>
            <w:vMerge/>
          </w:tcPr>
          <w:p w14:paraId="6A33D67D" w14:textId="77777777" w:rsidR="001D1CF9" w:rsidRPr="00BE36D9" w:rsidRDefault="001D1CF9" w:rsidP="004E3154">
            <w:pPr>
              <w:jc w:val="both"/>
              <w:rPr>
                <w:rFonts w:ascii="Times New Roman" w:hAnsi="Times New Roman" w:cs="Times New Roman"/>
                <w:sz w:val="24"/>
                <w:szCs w:val="24"/>
              </w:rPr>
            </w:pPr>
          </w:p>
        </w:tc>
        <w:tc>
          <w:tcPr>
            <w:tcW w:w="804" w:type="pct"/>
          </w:tcPr>
          <w:p w14:paraId="61B868C0"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Female</w:t>
            </w:r>
          </w:p>
        </w:tc>
        <w:tc>
          <w:tcPr>
            <w:tcW w:w="1061" w:type="pct"/>
          </w:tcPr>
          <w:p w14:paraId="7A978ACD"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33 (68.8%)</w:t>
            </w:r>
          </w:p>
        </w:tc>
        <w:tc>
          <w:tcPr>
            <w:tcW w:w="1019" w:type="pct"/>
          </w:tcPr>
          <w:p w14:paraId="22B4E0BF"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9 (47.4%)</w:t>
            </w:r>
          </w:p>
        </w:tc>
        <w:tc>
          <w:tcPr>
            <w:tcW w:w="702" w:type="pct"/>
          </w:tcPr>
          <w:p w14:paraId="101EC60C"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4</w:t>
            </w:r>
            <w:r>
              <w:rPr>
                <w:rFonts w:ascii="Times New Roman" w:hAnsi="Times New Roman" w:cs="Times New Roman"/>
                <w:sz w:val="24"/>
                <w:szCs w:val="24"/>
              </w:rPr>
              <w:t>2</w:t>
            </w:r>
            <w:r w:rsidRPr="00BE36D9">
              <w:rPr>
                <w:rFonts w:ascii="Times New Roman" w:hAnsi="Times New Roman" w:cs="Times New Roman"/>
                <w:sz w:val="24"/>
                <w:szCs w:val="24"/>
              </w:rPr>
              <w:t xml:space="preserve"> (62.</w:t>
            </w:r>
            <w:r>
              <w:rPr>
                <w:rFonts w:ascii="Times New Roman" w:hAnsi="Times New Roman" w:cs="Times New Roman"/>
                <w:sz w:val="24"/>
                <w:szCs w:val="24"/>
              </w:rPr>
              <w:t>7</w:t>
            </w:r>
            <w:r w:rsidRPr="00BE36D9">
              <w:rPr>
                <w:rFonts w:ascii="Times New Roman" w:hAnsi="Times New Roman" w:cs="Times New Roman"/>
                <w:sz w:val="24"/>
                <w:szCs w:val="24"/>
              </w:rPr>
              <w:t>%)</w:t>
            </w:r>
          </w:p>
        </w:tc>
        <w:tc>
          <w:tcPr>
            <w:tcW w:w="701" w:type="pct"/>
            <w:vMerge/>
          </w:tcPr>
          <w:p w14:paraId="07A078DA" w14:textId="77777777" w:rsidR="001D1CF9" w:rsidRPr="00BE36D9" w:rsidRDefault="001D1CF9" w:rsidP="004E3154">
            <w:pPr>
              <w:jc w:val="center"/>
              <w:rPr>
                <w:rFonts w:ascii="Times New Roman" w:hAnsi="Times New Roman" w:cs="Times New Roman"/>
                <w:sz w:val="24"/>
                <w:szCs w:val="24"/>
              </w:rPr>
            </w:pPr>
          </w:p>
        </w:tc>
      </w:tr>
      <w:tr w:rsidR="001D1CF9" w:rsidRPr="00BE36D9" w14:paraId="2D5A5C4B" w14:textId="77777777" w:rsidTr="004E3154">
        <w:trPr>
          <w:jc w:val="center"/>
        </w:trPr>
        <w:tc>
          <w:tcPr>
            <w:tcW w:w="713" w:type="pct"/>
            <w:vMerge w:val="restart"/>
          </w:tcPr>
          <w:p w14:paraId="36FA95D3"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Age category</w:t>
            </w:r>
          </w:p>
        </w:tc>
        <w:tc>
          <w:tcPr>
            <w:tcW w:w="804" w:type="pct"/>
          </w:tcPr>
          <w:p w14:paraId="46529E96"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Piglet</w:t>
            </w:r>
          </w:p>
        </w:tc>
        <w:tc>
          <w:tcPr>
            <w:tcW w:w="1061" w:type="pct"/>
          </w:tcPr>
          <w:p w14:paraId="6A9ABFA6"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33 (68.8%)</w:t>
            </w:r>
          </w:p>
        </w:tc>
        <w:tc>
          <w:tcPr>
            <w:tcW w:w="1019" w:type="pct"/>
          </w:tcPr>
          <w:p w14:paraId="4DB7375E"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0</w:t>
            </w:r>
          </w:p>
        </w:tc>
        <w:tc>
          <w:tcPr>
            <w:tcW w:w="702" w:type="pct"/>
          </w:tcPr>
          <w:p w14:paraId="08D3F8DA"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3</w:t>
            </w:r>
            <w:r>
              <w:rPr>
                <w:rFonts w:ascii="Times New Roman" w:hAnsi="Times New Roman" w:cs="Times New Roman"/>
                <w:sz w:val="24"/>
                <w:szCs w:val="24"/>
              </w:rPr>
              <w:t>3</w:t>
            </w:r>
            <w:r w:rsidRPr="00BE36D9">
              <w:rPr>
                <w:rFonts w:ascii="Times New Roman" w:hAnsi="Times New Roman" w:cs="Times New Roman"/>
                <w:sz w:val="24"/>
                <w:szCs w:val="24"/>
              </w:rPr>
              <w:t xml:space="preserve"> (</w:t>
            </w:r>
            <w:r>
              <w:rPr>
                <w:rFonts w:ascii="Times New Roman" w:hAnsi="Times New Roman" w:cs="Times New Roman"/>
                <w:sz w:val="24"/>
                <w:szCs w:val="24"/>
              </w:rPr>
              <w:t>49.3</w:t>
            </w:r>
            <w:r w:rsidRPr="00BE36D9">
              <w:rPr>
                <w:rFonts w:ascii="Times New Roman" w:hAnsi="Times New Roman" w:cs="Times New Roman"/>
                <w:sz w:val="24"/>
                <w:szCs w:val="24"/>
              </w:rPr>
              <w:t>%)</w:t>
            </w:r>
          </w:p>
        </w:tc>
        <w:tc>
          <w:tcPr>
            <w:tcW w:w="701" w:type="pct"/>
            <w:vMerge w:val="restart"/>
            <w:vAlign w:val="center"/>
          </w:tcPr>
          <w:p w14:paraId="46FE85A8" w14:textId="77777777" w:rsidR="001D1CF9" w:rsidRPr="00945445" w:rsidRDefault="001D1CF9" w:rsidP="004E3154">
            <w:pPr>
              <w:jc w:val="center"/>
              <w:rPr>
                <w:rFonts w:ascii="Times New Roman" w:hAnsi="Times New Roman" w:cs="Times New Roman"/>
                <w:b/>
                <w:bCs/>
                <w:sz w:val="24"/>
                <w:szCs w:val="24"/>
              </w:rPr>
            </w:pPr>
            <w:r w:rsidRPr="00945445">
              <w:rPr>
                <w:rFonts w:ascii="Times New Roman" w:hAnsi="Times New Roman" w:cs="Times New Roman"/>
                <w:b/>
                <w:bCs/>
                <w:sz w:val="24"/>
                <w:szCs w:val="24"/>
              </w:rPr>
              <w:t>&lt; 0.001</w:t>
            </w:r>
          </w:p>
        </w:tc>
      </w:tr>
      <w:tr w:rsidR="001D1CF9" w:rsidRPr="00BE36D9" w14:paraId="5826C841" w14:textId="77777777" w:rsidTr="004E3154">
        <w:trPr>
          <w:jc w:val="center"/>
        </w:trPr>
        <w:tc>
          <w:tcPr>
            <w:tcW w:w="713" w:type="pct"/>
            <w:vMerge/>
          </w:tcPr>
          <w:p w14:paraId="7E93700D" w14:textId="77777777" w:rsidR="001D1CF9" w:rsidRPr="00BE36D9" w:rsidRDefault="001D1CF9" w:rsidP="004E3154">
            <w:pPr>
              <w:jc w:val="both"/>
              <w:rPr>
                <w:rFonts w:ascii="Times New Roman" w:hAnsi="Times New Roman" w:cs="Times New Roman"/>
                <w:sz w:val="24"/>
                <w:szCs w:val="24"/>
              </w:rPr>
            </w:pPr>
          </w:p>
        </w:tc>
        <w:tc>
          <w:tcPr>
            <w:tcW w:w="804" w:type="pct"/>
          </w:tcPr>
          <w:p w14:paraId="793E9582"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Yearling</w:t>
            </w:r>
          </w:p>
        </w:tc>
        <w:tc>
          <w:tcPr>
            <w:tcW w:w="1061" w:type="pct"/>
          </w:tcPr>
          <w:p w14:paraId="70FAA6EB"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14 (29.9%)</w:t>
            </w:r>
          </w:p>
        </w:tc>
        <w:tc>
          <w:tcPr>
            <w:tcW w:w="1019" w:type="pct"/>
          </w:tcPr>
          <w:p w14:paraId="5AE2679A"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11 (57.9%)</w:t>
            </w:r>
          </w:p>
        </w:tc>
        <w:tc>
          <w:tcPr>
            <w:tcW w:w="702" w:type="pct"/>
          </w:tcPr>
          <w:p w14:paraId="3AAD5DE1"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25 (3</w:t>
            </w:r>
            <w:r>
              <w:rPr>
                <w:rFonts w:ascii="Times New Roman" w:hAnsi="Times New Roman" w:cs="Times New Roman"/>
                <w:sz w:val="24"/>
                <w:szCs w:val="24"/>
              </w:rPr>
              <w:t>7.3</w:t>
            </w:r>
            <w:r w:rsidRPr="00BE36D9">
              <w:rPr>
                <w:rFonts w:ascii="Times New Roman" w:hAnsi="Times New Roman" w:cs="Times New Roman"/>
                <w:sz w:val="24"/>
                <w:szCs w:val="24"/>
              </w:rPr>
              <w:t>%)</w:t>
            </w:r>
          </w:p>
        </w:tc>
        <w:tc>
          <w:tcPr>
            <w:tcW w:w="701" w:type="pct"/>
            <w:vMerge/>
          </w:tcPr>
          <w:p w14:paraId="27F75FE6" w14:textId="77777777" w:rsidR="001D1CF9" w:rsidRPr="00BE36D9" w:rsidRDefault="001D1CF9" w:rsidP="004E3154">
            <w:pPr>
              <w:jc w:val="center"/>
              <w:rPr>
                <w:rFonts w:ascii="Times New Roman" w:hAnsi="Times New Roman" w:cs="Times New Roman"/>
                <w:sz w:val="24"/>
                <w:szCs w:val="24"/>
              </w:rPr>
            </w:pPr>
          </w:p>
        </w:tc>
      </w:tr>
      <w:tr w:rsidR="001D1CF9" w:rsidRPr="00BE36D9" w14:paraId="703F5725" w14:textId="77777777" w:rsidTr="004E3154">
        <w:trPr>
          <w:jc w:val="center"/>
        </w:trPr>
        <w:tc>
          <w:tcPr>
            <w:tcW w:w="713" w:type="pct"/>
            <w:vMerge/>
          </w:tcPr>
          <w:p w14:paraId="62DD4D50" w14:textId="77777777" w:rsidR="001D1CF9" w:rsidRPr="00BE36D9" w:rsidRDefault="001D1CF9" w:rsidP="004E3154">
            <w:pPr>
              <w:jc w:val="both"/>
              <w:rPr>
                <w:rFonts w:ascii="Times New Roman" w:hAnsi="Times New Roman" w:cs="Times New Roman"/>
                <w:sz w:val="24"/>
                <w:szCs w:val="24"/>
              </w:rPr>
            </w:pPr>
          </w:p>
        </w:tc>
        <w:tc>
          <w:tcPr>
            <w:tcW w:w="804" w:type="pct"/>
          </w:tcPr>
          <w:p w14:paraId="5EEBDEE3"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Adult</w:t>
            </w:r>
          </w:p>
        </w:tc>
        <w:tc>
          <w:tcPr>
            <w:tcW w:w="1061" w:type="pct"/>
          </w:tcPr>
          <w:p w14:paraId="19D288BA"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 (2.1%)</w:t>
            </w:r>
          </w:p>
        </w:tc>
        <w:tc>
          <w:tcPr>
            <w:tcW w:w="1019" w:type="pct"/>
          </w:tcPr>
          <w:p w14:paraId="3CD40E61"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8 (42.1%)</w:t>
            </w:r>
          </w:p>
        </w:tc>
        <w:tc>
          <w:tcPr>
            <w:tcW w:w="702" w:type="pct"/>
          </w:tcPr>
          <w:p w14:paraId="2E386BAB"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9 (1</w:t>
            </w:r>
            <w:r>
              <w:rPr>
                <w:rFonts w:ascii="Times New Roman" w:hAnsi="Times New Roman" w:cs="Times New Roman"/>
                <w:sz w:val="24"/>
                <w:szCs w:val="24"/>
              </w:rPr>
              <w:t>3.4</w:t>
            </w:r>
            <w:r w:rsidRPr="00BE36D9">
              <w:rPr>
                <w:rFonts w:ascii="Times New Roman" w:hAnsi="Times New Roman" w:cs="Times New Roman"/>
                <w:sz w:val="24"/>
                <w:szCs w:val="24"/>
              </w:rPr>
              <w:t>%)</w:t>
            </w:r>
          </w:p>
        </w:tc>
        <w:tc>
          <w:tcPr>
            <w:tcW w:w="701" w:type="pct"/>
            <w:vMerge/>
          </w:tcPr>
          <w:p w14:paraId="45873D16" w14:textId="77777777" w:rsidR="001D1CF9" w:rsidRPr="00BE36D9" w:rsidRDefault="001D1CF9" w:rsidP="004E3154">
            <w:pPr>
              <w:jc w:val="center"/>
              <w:rPr>
                <w:rFonts w:ascii="Times New Roman" w:hAnsi="Times New Roman" w:cs="Times New Roman"/>
                <w:sz w:val="24"/>
                <w:szCs w:val="24"/>
              </w:rPr>
            </w:pPr>
          </w:p>
        </w:tc>
      </w:tr>
      <w:tr w:rsidR="001D1CF9" w:rsidRPr="00BE36D9" w14:paraId="74279D3F" w14:textId="77777777" w:rsidTr="004E3154">
        <w:trPr>
          <w:jc w:val="center"/>
        </w:trPr>
        <w:tc>
          <w:tcPr>
            <w:tcW w:w="713" w:type="pct"/>
            <w:vMerge w:val="restart"/>
          </w:tcPr>
          <w:p w14:paraId="48FF24B2"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ELISA status</w:t>
            </w:r>
          </w:p>
        </w:tc>
        <w:tc>
          <w:tcPr>
            <w:tcW w:w="804" w:type="pct"/>
          </w:tcPr>
          <w:p w14:paraId="7F2F9D0C"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Negative</w:t>
            </w:r>
          </w:p>
        </w:tc>
        <w:tc>
          <w:tcPr>
            <w:tcW w:w="1061" w:type="pct"/>
          </w:tcPr>
          <w:p w14:paraId="60A8D423"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44 (91.7%)</w:t>
            </w:r>
          </w:p>
        </w:tc>
        <w:tc>
          <w:tcPr>
            <w:tcW w:w="1019" w:type="pct"/>
          </w:tcPr>
          <w:p w14:paraId="47DF2971"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17 (89.5%)</w:t>
            </w:r>
          </w:p>
        </w:tc>
        <w:tc>
          <w:tcPr>
            <w:tcW w:w="702" w:type="pct"/>
          </w:tcPr>
          <w:p w14:paraId="5745AF03"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6</w:t>
            </w:r>
            <w:r>
              <w:rPr>
                <w:rFonts w:ascii="Times New Roman" w:hAnsi="Times New Roman" w:cs="Times New Roman"/>
                <w:sz w:val="24"/>
                <w:szCs w:val="24"/>
              </w:rPr>
              <w:t>1</w:t>
            </w:r>
            <w:r w:rsidRPr="00BE36D9">
              <w:rPr>
                <w:rFonts w:ascii="Times New Roman" w:hAnsi="Times New Roman" w:cs="Times New Roman"/>
                <w:sz w:val="24"/>
                <w:szCs w:val="24"/>
              </w:rPr>
              <w:t xml:space="preserve"> (91.</w:t>
            </w:r>
            <w:r>
              <w:rPr>
                <w:rFonts w:ascii="Times New Roman" w:hAnsi="Times New Roman" w:cs="Times New Roman"/>
                <w:sz w:val="24"/>
                <w:szCs w:val="24"/>
              </w:rPr>
              <w:t>0</w:t>
            </w:r>
            <w:r w:rsidRPr="00BE36D9">
              <w:rPr>
                <w:rFonts w:ascii="Times New Roman" w:hAnsi="Times New Roman" w:cs="Times New Roman"/>
                <w:sz w:val="24"/>
                <w:szCs w:val="24"/>
              </w:rPr>
              <w:t>%)</w:t>
            </w:r>
          </w:p>
        </w:tc>
        <w:tc>
          <w:tcPr>
            <w:tcW w:w="701" w:type="pct"/>
            <w:vMerge w:val="restart"/>
            <w:vAlign w:val="center"/>
          </w:tcPr>
          <w:p w14:paraId="2757F390" w14:textId="77777777" w:rsidR="001D1CF9" w:rsidRPr="00BE36D9" w:rsidRDefault="001D1CF9" w:rsidP="004E3154">
            <w:pPr>
              <w:jc w:val="center"/>
              <w:rPr>
                <w:rFonts w:ascii="Times New Roman" w:hAnsi="Times New Roman" w:cs="Times New Roman"/>
                <w:sz w:val="24"/>
                <w:szCs w:val="24"/>
              </w:rPr>
            </w:pPr>
            <w:r>
              <w:rPr>
                <w:rFonts w:ascii="Times New Roman" w:hAnsi="Times New Roman" w:cs="Times New Roman"/>
                <w:sz w:val="24"/>
                <w:szCs w:val="24"/>
              </w:rPr>
              <w:t>1.000</w:t>
            </w:r>
          </w:p>
        </w:tc>
      </w:tr>
      <w:tr w:rsidR="001D1CF9" w:rsidRPr="00BE36D9" w14:paraId="3476DB0B" w14:textId="77777777" w:rsidTr="004E3154">
        <w:trPr>
          <w:jc w:val="center"/>
        </w:trPr>
        <w:tc>
          <w:tcPr>
            <w:tcW w:w="713" w:type="pct"/>
            <w:vMerge/>
          </w:tcPr>
          <w:p w14:paraId="2EC87419" w14:textId="77777777" w:rsidR="001D1CF9" w:rsidRPr="00BE36D9" w:rsidRDefault="001D1CF9" w:rsidP="004E3154">
            <w:pPr>
              <w:jc w:val="both"/>
              <w:rPr>
                <w:rFonts w:ascii="Times New Roman" w:hAnsi="Times New Roman" w:cs="Times New Roman"/>
                <w:sz w:val="24"/>
                <w:szCs w:val="24"/>
              </w:rPr>
            </w:pPr>
          </w:p>
        </w:tc>
        <w:tc>
          <w:tcPr>
            <w:tcW w:w="804" w:type="pct"/>
          </w:tcPr>
          <w:p w14:paraId="5B1AA072"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Positive</w:t>
            </w:r>
          </w:p>
        </w:tc>
        <w:tc>
          <w:tcPr>
            <w:tcW w:w="1061" w:type="pct"/>
          </w:tcPr>
          <w:p w14:paraId="278A2C8D"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4 (8.3%)</w:t>
            </w:r>
          </w:p>
        </w:tc>
        <w:tc>
          <w:tcPr>
            <w:tcW w:w="1019" w:type="pct"/>
          </w:tcPr>
          <w:p w14:paraId="7ADBEFB7"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2 (10.5%)</w:t>
            </w:r>
          </w:p>
        </w:tc>
        <w:tc>
          <w:tcPr>
            <w:tcW w:w="702" w:type="pct"/>
          </w:tcPr>
          <w:p w14:paraId="62883F28"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6 (</w:t>
            </w:r>
            <w:r>
              <w:rPr>
                <w:rFonts w:ascii="Times New Roman" w:hAnsi="Times New Roman" w:cs="Times New Roman"/>
                <w:sz w:val="24"/>
                <w:szCs w:val="24"/>
              </w:rPr>
              <w:t>9.0</w:t>
            </w:r>
            <w:r w:rsidRPr="00BE36D9">
              <w:rPr>
                <w:rFonts w:ascii="Times New Roman" w:hAnsi="Times New Roman" w:cs="Times New Roman"/>
                <w:sz w:val="24"/>
                <w:szCs w:val="24"/>
              </w:rPr>
              <w:t>%)</w:t>
            </w:r>
          </w:p>
        </w:tc>
        <w:tc>
          <w:tcPr>
            <w:tcW w:w="701" w:type="pct"/>
            <w:vMerge/>
          </w:tcPr>
          <w:p w14:paraId="1FEBCF27" w14:textId="77777777" w:rsidR="001D1CF9" w:rsidRPr="00BE36D9" w:rsidRDefault="001D1CF9" w:rsidP="004E3154">
            <w:pPr>
              <w:jc w:val="center"/>
              <w:rPr>
                <w:rFonts w:ascii="Times New Roman" w:hAnsi="Times New Roman" w:cs="Times New Roman"/>
                <w:sz w:val="24"/>
                <w:szCs w:val="24"/>
              </w:rPr>
            </w:pPr>
          </w:p>
        </w:tc>
      </w:tr>
      <w:tr w:rsidR="001D1CF9" w:rsidRPr="00BE36D9" w14:paraId="2C37BDCC" w14:textId="77777777" w:rsidTr="004E3154">
        <w:trPr>
          <w:jc w:val="center"/>
        </w:trPr>
        <w:tc>
          <w:tcPr>
            <w:tcW w:w="713" w:type="pct"/>
            <w:vMerge w:val="restart"/>
          </w:tcPr>
          <w:p w14:paraId="4EBE0099"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PCR status*</w:t>
            </w:r>
          </w:p>
        </w:tc>
        <w:tc>
          <w:tcPr>
            <w:tcW w:w="804" w:type="pct"/>
          </w:tcPr>
          <w:p w14:paraId="6A29D1FC"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Negative</w:t>
            </w:r>
          </w:p>
        </w:tc>
        <w:tc>
          <w:tcPr>
            <w:tcW w:w="1061" w:type="pct"/>
          </w:tcPr>
          <w:p w14:paraId="616999AB"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13 (54.2%)</w:t>
            </w:r>
          </w:p>
        </w:tc>
        <w:tc>
          <w:tcPr>
            <w:tcW w:w="1019" w:type="pct"/>
          </w:tcPr>
          <w:p w14:paraId="2B392F41"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11 (57.9%)</w:t>
            </w:r>
          </w:p>
        </w:tc>
        <w:tc>
          <w:tcPr>
            <w:tcW w:w="702" w:type="pct"/>
          </w:tcPr>
          <w:p w14:paraId="4BD6AD4D"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2</w:t>
            </w:r>
            <w:r>
              <w:rPr>
                <w:rFonts w:ascii="Times New Roman" w:hAnsi="Times New Roman" w:cs="Times New Roman"/>
                <w:sz w:val="24"/>
                <w:szCs w:val="24"/>
              </w:rPr>
              <w:t>4</w:t>
            </w:r>
            <w:r w:rsidRPr="00BE36D9">
              <w:rPr>
                <w:rFonts w:ascii="Times New Roman" w:hAnsi="Times New Roman" w:cs="Times New Roman"/>
                <w:sz w:val="24"/>
                <w:szCs w:val="24"/>
              </w:rPr>
              <w:t xml:space="preserve"> (</w:t>
            </w:r>
            <w:r>
              <w:rPr>
                <w:rFonts w:ascii="Times New Roman" w:hAnsi="Times New Roman" w:cs="Times New Roman"/>
                <w:sz w:val="24"/>
                <w:szCs w:val="24"/>
              </w:rPr>
              <w:t>55.8</w:t>
            </w:r>
            <w:r w:rsidRPr="00BE36D9">
              <w:rPr>
                <w:rFonts w:ascii="Times New Roman" w:hAnsi="Times New Roman" w:cs="Times New Roman"/>
                <w:sz w:val="24"/>
                <w:szCs w:val="24"/>
              </w:rPr>
              <w:t>%)</w:t>
            </w:r>
          </w:p>
        </w:tc>
        <w:tc>
          <w:tcPr>
            <w:tcW w:w="701" w:type="pct"/>
            <w:vMerge w:val="restart"/>
            <w:vAlign w:val="center"/>
          </w:tcPr>
          <w:p w14:paraId="05C330E7" w14:textId="77777777" w:rsidR="001D1CF9" w:rsidRPr="00BE36D9" w:rsidRDefault="001D1CF9" w:rsidP="004E3154">
            <w:pPr>
              <w:jc w:val="center"/>
              <w:rPr>
                <w:rFonts w:ascii="Times New Roman" w:hAnsi="Times New Roman" w:cs="Times New Roman"/>
                <w:sz w:val="24"/>
                <w:szCs w:val="24"/>
              </w:rPr>
            </w:pPr>
            <w:r>
              <w:rPr>
                <w:rFonts w:ascii="Times New Roman" w:hAnsi="Times New Roman" w:cs="Times New Roman"/>
                <w:sz w:val="24"/>
                <w:szCs w:val="24"/>
              </w:rPr>
              <w:t>1.000</w:t>
            </w:r>
          </w:p>
        </w:tc>
      </w:tr>
      <w:tr w:rsidR="001D1CF9" w:rsidRPr="00BE36D9" w14:paraId="0261A0C1" w14:textId="77777777" w:rsidTr="004E3154">
        <w:trPr>
          <w:jc w:val="center"/>
        </w:trPr>
        <w:tc>
          <w:tcPr>
            <w:tcW w:w="713" w:type="pct"/>
            <w:vMerge/>
          </w:tcPr>
          <w:p w14:paraId="71791791" w14:textId="77777777" w:rsidR="001D1CF9" w:rsidRPr="00BE36D9" w:rsidRDefault="001D1CF9" w:rsidP="004E3154">
            <w:pPr>
              <w:jc w:val="both"/>
              <w:rPr>
                <w:rFonts w:ascii="Times New Roman" w:hAnsi="Times New Roman" w:cs="Times New Roman"/>
                <w:sz w:val="24"/>
                <w:szCs w:val="24"/>
              </w:rPr>
            </w:pPr>
          </w:p>
        </w:tc>
        <w:tc>
          <w:tcPr>
            <w:tcW w:w="804" w:type="pct"/>
          </w:tcPr>
          <w:p w14:paraId="4D8A1B6C" w14:textId="77777777" w:rsidR="001D1CF9" w:rsidRPr="00BE36D9" w:rsidRDefault="001D1CF9" w:rsidP="004E3154">
            <w:pPr>
              <w:jc w:val="both"/>
              <w:rPr>
                <w:rFonts w:ascii="Times New Roman" w:hAnsi="Times New Roman" w:cs="Times New Roman"/>
                <w:sz w:val="24"/>
                <w:szCs w:val="24"/>
              </w:rPr>
            </w:pPr>
            <w:r w:rsidRPr="00BE36D9">
              <w:rPr>
                <w:rFonts w:ascii="Times New Roman" w:hAnsi="Times New Roman" w:cs="Times New Roman"/>
                <w:sz w:val="24"/>
                <w:szCs w:val="24"/>
              </w:rPr>
              <w:t>Positive</w:t>
            </w:r>
          </w:p>
        </w:tc>
        <w:tc>
          <w:tcPr>
            <w:tcW w:w="1061" w:type="pct"/>
          </w:tcPr>
          <w:p w14:paraId="464AE0EA"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11 (45.8%)</w:t>
            </w:r>
          </w:p>
        </w:tc>
        <w:tc>
          <w:tcPr>
            <w:tcW w:w="1019" w:type="pct"/>
          </w:tcPr>
          <w:p w14:paraId="41A35350"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8 (42.1%)</w:t>
            </w:r>
          </w:p>
        </w:tc>
        <w:tc>
          <w:tcPr>
            <w:tcW w:w="702" w:type="pct"/>
          </w:tcPr>
          <w:p w14:paraId="31C009E4" w14:textId="77777777" w:rsidR="001D1CF9" w:rsidRPr="00BE36D9" w:rsidRDefault="001D1CF9" w:rsidP="004E3154">
            <w:pPr>
              <w:jc w:val="center"/>
              <w:rPr>
                <w:rFonts w:ascii="Times New Roman" w:hAnsi="Times New Roman" w:cs="Times New Roman"/>
                <w:sz w:val="24"/>
                <w:szCs w:val="24"/>
              </w:rPr>
            </w:pPr>
            <w:r w:rsidRPr="00BE36D9">
              <w:rPr>
                <w:rFonts w:ascii="Times New Roman" w:hAnsi="Times New Roman" w:cs="Times New Roman"/>
                <w:sz w:val="24"/>
                <w:szCs w:val="24"/>
              </w:rPr>
              <w:t>19 (</w:t>
            </w:r>
            <w:r>
              <w:rPr>
                <w:rFonts w:ascii="Times New Roman" w:hAnsi="Times New Roman" w:cs="Times New Roman"/>
                <w:sz w:val="24"/>
                <w:szCs w:val="24"/>
              </w:rPr>
              <w:t>44.2</w:t>
            </w:r>
            <w:r w:rsidRPr="00BE36D9">
              <w:rPr>
                <w:rFonts w:ascii="Times New Roman" w:hAnsi="Times New Roman" w:cs="Times New Roman"/>
                <w:sz w:val="24"/>
                <w:szCs w:val="24"/>
              </w:rPr>
              <w:t>%)</w:t>
            </w:r>
          </w:p>
        </w:tc>
        <w:tc>
          <w:tcPr>
            <w:tcW w:w="701" w:type="pct"/>
            <w:vMerge/>
          </w:tcPr>
          <w:p w14:paraId="2F4843E6" w14:textId="77777777" w:rsidR="001D1CF9" w:rsidRPr="00BE36D9" w:rsidRDefault="001D1CF9" w:rsidP="004E3154">
            <w:pPr>
              <w:jc w:val="center"/>
              <w:rPr>
                <w:rFonts w:ascii="Times New Roman" w:hAnsi="Times New Roman" w:cs="Times New Roman"/>
                <w:sz w:val="24"/>
                <w:szCs w:val="24"/>
              </w:rPr>
            </w:pPr>
          </w:p>
        </w:tc>
      </w:tr>
    </w:tbl>
    <w:p w14:paraId="7660C98D" w14:textId="77777777" w:rsidR="001D1CF9" w:rsidRDefault="001D1CF9" w:rsidP="001D1CF9">
      <w:pPr>
        <w:spacing w:line="480" w:lineRule="auto"/>
        <w:jc w:val="both"/>
        <w:rPr>
          <w:rFonts w:ascii="Times New Roman" w:hAnsi="Times New Roman" w:cs="Times New Roman"/>
          <w:sz w:val="24"/>
          <w:szCs w:val="24"/>
        </w:rPr>
      </w:pPr>
      <w:r w:rsidRPr="00BE36D9">
        <w:rPr>
          <w:rFonts w:ascii="Times New Roman" w:hAnsi="Times New Roman" w:cs="Times New Roman"/>
          <w:sz w:val="24"/>
          <w:szCs w:val="24"/>
        </w:rPr>
        <w:t>*PCR results were available for 4</w:t>
      </w:r>
      <w:r>
        <w:rPr>
          <w:rFonts w:ascii="Times New Roman" w:hAnsi="Times New Roman" w:cs="Times New Roman"/>
          <w:sz w:val="24"/>
          <w:szCs w:val="24"/>
        </w:rPr>
        <w:t>3</w:t>
      </w:r>
      <w:r w:rsidRPr="00BE36D9">
        <w:rPr>
          <w:rFonts w:ascii="Times New Roman" w:hAnsi="Times New Roman" w:cs="Times New Roman"/>
          <w:sz w:val="24"/>
          <w:szCs w:val="24"/>
        </w:rPr>
        <w:t xml:space="preserve"> animals.</w:t>
      </w:r>
    </w:p>
    <w:p w14:paraId="7A212453" w14:textId="77777777" w:rsidR="001D1CF9" w:rsidRDefault="001D1CF9" w:rsidP="001D1CF9">
      <w:pPr>
        <w:spacing w:line="240" w:lineRule="auto"/>
        <w:jc w:val="both"/>
        <w:rPr>
          <w:rFonts w:ascii="Times New Roman" w:hAnsi="Times New Roman" w:cs="Times New Roman"/>
          <w:b/>
          <w:bCs/>
          <w:sz w:val="24"/>
          <w:szCs w:val="24"/>
        </w:rPr>
      </w:pPr>
    </w:p>
    <w:p w14:paraId="647B8FE4" w14:textId="77777777" w:rsidR="001D1CF9" w:rsidRDefault="001D1CF9" w:rsidP="001D1CF9">
      <w:pPr>
        <w:spacing w:line="240" w:lineRule="auto"/>
        <w:jc w:val="both"/>
        <w:rPr>
          <w:rFonts w:ascii="Times New Roman" w:hAnsi="Times New Roman" w:cs="Times New Roman"/>
          <w:b/>
          <w:bCs/>
          <w:sz w:val="24"/>
          <w:szCs w:val="24"/>
        </w:rPr>
      </w:pPr>
    </w:p>
    <w:p w14:paraId="734C14E3" w14:textId="77777777" w:rsidR="001D1CF9" w:rsidRDefault="001D1CF9" w:rsidP="001D1CF9">
      <w:pPr>
        <w:spacing w:line="240" w:lineRule="auto"/>
        <w:jc w:val="both"/>
        <w:rPr>
          <w:rFonts w:ascii="Times New Roman" w:hAnsi="Times New Roman" w:cs="Times New Roman"/>
          <w:b/>
          <w:bCs/>
          <w:sz w:val="24"/>
          <w:szCs w:val="24"/>
        </w:rPr>
      </w:pPr>
    </w:p>
    <w:p w14:paraId="48CA3A5B" w14:textId="77777777" w:rsidR="001D1CF9" w:rsidRDefault="001D1CF9" w:rsidP="001D1CF9">
      <w:pPr>
        <w:spacing w:line="240" w:lineRule="auto"/>
        <w:jc w:val="both"/>
        <w:rPr>
          <w:rFonts w:ascii="Times New Roman" w:hAnsi="Times New Roman" w:cs="Times New Roman"/>
          <w:b/>
          <w:bCs/>
          <w:sz w:val="24"/>
          <w:szCs w:val="24"/>
        </w:rPr>
      </w:pPr>
    </w:p>
    <w:p w14:paraId="112D927F" w14:textId="77777777" w:rsidR="001D1CF9" w:rsidRDefault="001D1CF9" w:rsidP="001D1CF9">
      <w:pPr>
        <w:spacing w:line="240" w:lineRule="auto"/>
        <w:jc w:val="both"/>
        <w:rPr>
          <w:rFonts w:ascii="Times New Roman" w:hAnsi="Times New Roman" w:cs="Times New Roman"/>
          <w:b/>
          <w:bCs/>
          <w:sz w:val="24"/>
          <w:szCs w:val="24"/>
        </w:rPr>
      </w:pPr>
    </w:p>
    <w:p w14:paraId="1C59D905" w14:textId="77777777" w:rsidR="001D1CF9" w:rsidRDefault="001D1CF9" w:rsidP="001D1CF9">
      <w:pPr>
        <w:spacing w:line="240" w:lineRule="auto"/>
        <w:jc w:val="both"/>
        <w:rPr>
          <w:rFonts w:ascii="Times New Roman" w:hAnsi="Times New Roman" w:cs="Times New Roman"/>
          <w:b/>
          <w:bCs/>
          <w:sz w:val="24"/>
          <w:szCs w:val="24"/>
        </w:rPr>
      </w:pPr>
    </w:p>
    <w:p w14:paraId="3DE76836" w14:textId="77777777" w:rsidR="001D1CF9" w:rsidRPr="005C523F" w:rsidRDefault="001D1CF9" w:rsidP="001D1CF9">
      <w:pPr>
        <w:spacing w:line="240" w:lineRule="auto"/>
        <w:jc w:val="both"/>
        <w:rPr>
          <w:rFonts w:ascii="Times New Roman" w:hAnsi="Times New Roman" w:cs="Times New Roman"/>
          <w:sz w:val="24"/>
          <w:szCs w:val="24"/>
        </w:rPr>
      </w:pPr>
      <w:r w:rsidRPr="003F309C">
        <w:rPr>
          <w:rFonts w:ascii="Times New Roman" w:hAnsi="Times New Roman" w:cs="Times New Roman"/>
          <w:b/>
          <w:bCs/>
          <w:sz w:val="24"/>
          <w:szCs w:val="24"/>
        </w:rPr>
        <w:t>Table 2.</w:t>
      </w:r>
      <w:r>
        <w:rPr>
          <w:rFonts w:ascii="Times New Roman" w:hAnsi="Times New Roman" w:cs="Times New Roman"/>
          <w:sz w:val="24"/>
          <w:szCs w:val="24"/>
        </w:rPr>
        <w:t xml:space="preserve"> </w:t>
      </w:r>
      <w:r w:rsidRPr="00735B78">
        <w:rPr>
          <w:rFonts w:ascii="Times New Roman" w:hAnsi="Times New Roman" w:cs="Times New Roman"/>
          <w:sz w:val="24"/>
          <w:szCs w:val="24"/>
        </w:rPr>
        <w:t>Circulating cytokine concentrations in domestic pigs (</w:t>
      </w:r>
      <w:r w:rsidRPr="00735B78">
        <w:rPr>
          <w:rFonts w:ascii="Times New Roman" w:hAnsi="Times New Roman" w:cs="Times New Roman"/>
          <w:i/>
          <w:iCs/>
          <w:sz w:val="24"/>
          <w:szCs w:val="24"/>
        </w:rPr>
        <w:t>Sus scrofa domesticus</w:t>
      </w:r>
      <w:r w:rsidRPr="00735B78">
        <w:rPr>
          <w:rFonts w:ascii="Times New Roman" w:hAnsi="Times New Roman" w:cs="Times New Roman"/>
          <w:sz w:val="24"/>
          <w:szCs w:val="24"/>
        </w:rPr>
        <w:t>) and wild boars (</w:t>
      </w:r>
      <w:r w:rsidRPr="00735B78">
        <w:rPr>
          <w:rFonts w:ascii="Times New Roman" w:hAnsi="Times New Roman" w:cs="Times New Roman"/>
          <w:i/>
          <w:iCs/>
          <w:sz w:val="24"/>
          <w:szCs w:val="24"/>
        </w:rPr>
        <w:t>Sus scrofa</w:t>
      </w:r>
      <w:r w:rsidRPr="00735B78">
        <w:rPr>
          <w:rFonts w:ascii="Times New Roman" w:hAnsi="Times New Roman" w:cs="Times New Roman"/>
          <w:sz w:val="24"/>
          <w:szCs w:val="24"/>
        </w:rPr>
        <w:t xml:space="preserve">). Data are presented as median and interquartile range (IQR) because cytokine concentrations did not follow a normal distribution. Comparisons between host populations were performed using the Mann–Whitney U test. To account for multiple testing across the nine cytokines analysed, </w:t>
      </w:r>
      <w:r w:rsidRPr="00735B78">
        <w:rPr>
          <w:rFonts w:ascii="Times New Roman" w:hAnsi="Times New Roman" w:cs="Times New Roman"/>
          <w:i/>
          <w:iCs/>
          <w:sz w:val="24"/>
          <w:szCs w:val="24"/>
        </w:rPr>
        <w:t>p</w:t>
      </w:r>
      <w:r w:rsidRPr="00735B78">
        <w:rPr>
          <w:rFonts w:ascii="Times New Roman" w:hAnsi="Times New Roman" w:cs="Times New Roman"/>
          <w:sz w:val="24"/>
          <w:szCs w:val="24"/>
        </w:rPr>
        <w:t xml:space="preserve">-values were adjusted using the Benjamini–Hochberg false discovery rate (FDR) procedure. Effect size was estimated using Cliff’s delta (δ), a non-parametric measure of stochastic </w:t>
      </w:r>
      <w:r w:rsidRPr="00735B78">
        <w:rPr>
          <w:rFonts w:ascii="Times New Roman" w:hAnsi="Times New Roman" w:cs="Times New Roman"/>
          <w:sz w:val="24"/>
          <w:szCs w:val="24"/>
        </w:rPr>
        <w:lastRenderedPageBreak/>
        <w:t xml:space="preserve">superiority. Cytokine concentrations are expressed as pg/mL. Statistically significant </w:t>
      </w:r>
      <w:r w:rsidRPr="00735B78">
        <w:rPr>
          <w:rFonts w:ascii="Times New Roman" w:hAnsi="Times New Roman" w:cs="Times New Roman"/>
          <w:i/>
          <w:iCs/>
          <w:sz w:val="24"/>
          <w:szCs w:val="24"/>
        </w:rPr>
        <w:t>p</w:t>
      </w:r>
      <w:r w:rsidRPr="00735B78">
        <w:rPr>
          <w:rFonts w:ascii="Times New Roman" w:hAnsi="Times New Roman" w:cs="Times New Roman"/>
          <w:sz w:val="24"/>
          <w:szCs w:val="24"/>
        </w:rPr>
        <w:t xml:space="preserve">-values and FDR-adjusted </w:t>
      </w:r>
      <w:r w:rsidRPr="00735B78">
        <w:rPr>
          <w:rFonts w:ascii="Times New Roman" w:hAnsi="Times New Roman" w:cs="Times New Roman"/>
          <w:i/>
          <w:iCs/>
          <w:sz w:val="24"/>
          <w:szCs w:val="24"/>
        </w:rPr>
        <w:t>p</w:t>
      </w:r>
      <w:r w:rsidRPr="00735B78">
        <w:rPr>
          <w:rFonts w:ascii="Times New Roman" w:hAnsi="Times New Roman" w:cs="Times New Roman"/>
          <w:sz w:val="24"/>
          <w:szCs w:val="24"/>
        </w:rPr>
        <w:t>-values (</w:t>
      </w:r>
      <w:r w:rsidRPr="00735B78">
        <w:rPr>
          <w:rFonts w:ascii="Times New Roman" w:hAnsi="Times New Roman" w:cs="Times New Roman"/>
          <w:i/>
          <w:iCs/>
          <w:sz w:val="24"/>
          <w:szCs w:val="24"/>
        </w:rPr>
        <w:t>p</w:t>
      </w:r>
      <w:r w:rsidRPr="00735B78">
        <w:rPr>
          <w:rFonts w:ascii="Times New Roman" w:hAnsi="Times New Roman" w:cs="Times New Roman"/>
          <w:sz w:val="24"/>
          <w:szCs w:val="24"/>
        </w:rPr>
        <w:t xml:space="preserve"> &lt; 0.05) are shown in bold. Negative Cliff’s delta values indicate higher cytokine concentrations in wild boars, whereas positive values indicate higher concentrations in domestic pigs.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28"/>
        <w:gridCol w:w="2818"/>
        <w:gridCol w:w="3117"/>
        <w:gridCol w:w="1560"/>
        <w:gridCol w:w="2512"/>
        <w:gridCol w:w="1143"/>
      </w:tblGrid>
      <w:tr w:rsidR="001D1CF9" w14:paraId="6471B90A" w14:textId="77777777" w:rsidTr="004E3154">
        <w:tc>
          <w:tcPr>
            <w:tcW w:w="759" w:type="pct"/>
            <w:tcBorders>
              <w:top w:val="single" w:sz="4" w:space="0" w:color="auto"/>
              <w:bottom w:val="single" w:sz="4" w:space="0" w:color="auto"/>
            </w:tcBorders>
            <w:shd w:val="clear" w:color="auto" w:fill="BFBFBF" w:themeFill="background1" w:themeFillShade="BF"/>
          </w:tcPr>
          <w:p w14:paraId="7195BFD3" w14:textId="77777777" w:rsidR="001D1CF9" w:rsidRPr="00712953" w:rsidRDefault="001D1CF9" w:rsidP="004E3154">
            <w:pPr>
              <w:jc w:val="center"/>
              <w:rPr>
                <w:rFonts w:ascii="Times New Roman" w:hAnsi="Times New Roman" w:cs="Times New Roman"/>
                <w:b/>
                <w:bCs/>
                <w:sz w:val="24"/>
                <w:szCs w:val="24"/>
              </w:rPr>
            </w:pPr>
            <w:r w:rsidRPr="00712953">
              <w:rPr>
                <w:rFonts w:ascii="Times New Roman" w:hAnsi="Times New Roman" w:cs="Times New Roman"/>
                <w:b/>
                <w:bCs/>
                <w:sz w:val="24"/>
                <w:szCs w:val="24"/>
              </w:rPr>
              <w:t>Cytokine (pg/mL)</w:t>
            </w:r>
          </w:p>
        </w:tc>
        <w:tc>
          <w:tcPr>
            <w:tcW w:w="1266" w:type="pct"/>
            <w:gridSpan w:val="2"/>
            <w:tcBorders>
              <w:top w:val="single" w:sz="4" w:space="0" w:color="auto"/>
              <w:bottom w:val="single" w:sz="4" w:space="0" w:color="auto"/>
            </w:tcBorders>
            <w:shd w:val="clear" w:color="auto" w:fill="BFBFBF" w:themeFill="background1" w:themeFillShade="BF"/>
          </w:tcPr>
          <w:p w14:paraId="18ECE430" w14:textId="77777777" w:rsidR="001D1CF9" w:rsidRPr="00712953" w:rsidRDefault="001D1CF9" w:rsidP="004E3154">
            <w:pPr>
              <w:jc w:val="center"/>
              <w:rPr>
                <w:rFonts w:ascii="Times New Roman" w:hAnsi="Times New Roman" w:cs="Times New Roman"/>
                <w:b/>
                <w:bCs/>
                <w:sz w:val="24"/>
                <w:szCs w:val="24"/>
              </w:rPr>
            </w:pPr>
            <w:r w:rsidRPr="00712953">
              <w:rPr>
                <w:rFonts w:ascii="Times New Roman" w:hAnsi="Times New Roman" w:cs="Times New Roman"/>
                <w:b/>
                <w:bCs/>
                <w:sz w:val="24"/>
                <w:szCs w:val="24"/>
              </w:rPr>
              <w:t>Domestic pigs median (IQR)</w:t>
            </w:r>
          </w:p>
        </w:tc>
        <w:tc>
          <w:tcPr>
            <w:tcW w:w="1113" w:type="pct"/>
            <w:tcBorders>
              <w:top w:val="single" w:sz="4" w:space="0" w:color="auto"/>
              <w:bottom w:val="single" w:sz="4" w:space="0" w:color="auto"/>
            </w:tcBorders>
            <w:shd w:val="clear" w:color="auto" w:fill="BFBFBF" w:themeFill="background1" w:themeFillShade="BF"/>
          </w:tcPr>
          <w:p w14:paraId="52FAB384" w14:textId="77777777" w:rsidR="001D1CF9" w:rsidRPr="00712953" w:rsidRDefault="001D1CF9" w:rsidP="004E3154">
            <w:pPr>
              <w:jc w:val="center"/>
              <w:rPr>
                <w:rFonts w:ascii="Times New Roman" w:hAnsi="Times New Roman" w:cs="Times New Roman"/>
                <w:b/>
                <w:bCs/>
                <w:sz w:val="24"/>
                <w:szCs w:val="24"/>
              </w:rPr>
            </w:pPr>
            <w:r w:rsidRPr="00712953">
              <w:rPr>
                <w:rFonts w:ascii="Times New Roman" w:hAnsi="Times New Roman" w:cs="Times New Roman"/>
                <w:b/>
                <w:bCs/>
                <w:sz w:val="24"/>
                <w:szCs w:val="24"/>
              </w:rPr>
              <w:t>Wi</w:t>
            </w:r>
            <w:r>
              <w:rPr>
                <w:rFonts w:ascii="Times New Roman" w:hAnsi="Times New Roman" w:cs="Times New Roman"/>
                <w:b/>
                <w:bCs/>
                <w:sz w:val="24"/>
                <w:szCs w:val="24"/>
              </w:rPr>
              <w:t>l</w:t>
            </w:r>
            <w:r w:rsidRPr="00712953">
              <w:rPr>
                <w:rFonts w:ascii="Times New Roman" w:hAnsi="Times New Roman" w:cs="Times New Roman"/>
                <w:b/>
                <w:bCs/>
                <w:sz w:val="24"/>
                <w:szCs w:val="24"/>
              </w:rPr>
              <w:t>d boars median (IQR)</w:t>
            </w:r>
          </w:p>
        </w:tc>
        <w:tc>
          <w:tcPr>
            <w:tcW w:w="557" w:type="pct"/>
            <w:tcBorders>
              <w:top w:val="single" w:sz="4" w:space="0" w:color="auto"/>
              <w:bottom w:val="single" w:sz="4" w:space="0" w:color="auto"/>
            </w:tcBorders>
            <w:shd w:val="clear" w:color="auto" w:fill="BFBFBF" w:themeFill="background1" w:themeFillShade="BF"/>
          </w:tcPr>
          <w:p w14:paraId="76C5C3FD" w14:textId="77777777" w:rsidR="001D1CF9" w:rsidRPr="00712953" w:rsidRDefault="001D1CF9" w:rsidP="004E3154">
            <w:pPr>
              <w:jc w:val="center"/>
              <w:rPr>
                <w:rFonts w:ascii="Times New Roman" w:hAnsi="Times New Roman" w:cs="Times New Roman"/>
                <w:b/>
                <w:bCs/>
                <w:sz w:val="24"/>
                <w:szCs w:val="24"/>
              </w:rPr>
            </w:pPr>
            <w:r w:rsidRPr="007134C9">
              <w:rPr>
                <w:rFonts w:ascii="Times New Roman" w:hAnsi="Times New Roman" w:cs="Times New Roman"/>
                <w:b/>
                <w:bCs/>
                <w:i/>
                <w:iCs/>
                <w:sz w:val="24"/>
                <w:szCs w:val="24"/>
              </w:rPr>
              <w:t>p</w:t>
            </w:r>
            <w:r w:rsidRPr="00712953">
              <w:rPr>
                <w:rFonts w:ascii="Times New Roman" w:hAnsi="Times New Roman" w:cs="Times New Roman"/>
                <w:b/>
                <w:bCs/>
                <w:sz w:val="24"/>
                <w:szCs w:val="24"/>
              </w:rPr>
              <w:t>-values</w:t>
            </w:r>
          </w:p>
        </w:tc>
        <w:tc>
          <w:tcPr>
            <w:tcW w:w="897" w:type="pct"/>
            <w:tcBorders>
              <w:top w:val="single" w:sz="4" w:space="0" w:color="auto"/>
              <w:bottom w:val="single" w:sz="4" w:space="0" w:color="auto"/>
            </w:tcBorders>
            <w:shd w:val="clear" w:color="auto" w:fill="BFBFBF" w:themeFill="background1" w:themeFillShade="BF"/>
          </w:tcPr>
          <w:p w14:paraId="1BFCB67A" w14:textId="77777777" w:rsidR="001D1CF9" w:rsidRPr="00712953" w:rsidRDefault="001D1CF9" w:rsidP="004E3154">
            <w:pPr>
              <w:jc w:val="center"/>
              <w:rPr>
                <w:rFonts w:ascii="Times New Roman" w:hAnsi="Times New Roman" w:cs="Times New Roman"/>
                <w:b/>
                <w:bCs/>
                <w:sz w:val="24"/>
                <w:szCs w:val="24"/>
              </w:rPr>
            </w:pPr>
            <w:r>
              <w:rPr>
                <w:rFonts w:ascii="Times New Roman" w:hAnsi="Times New Roman" w:cs="Times New Roman"/>
                <w:b/>
                <w:bCs/>
                <w:sz w:val="24"/>
                <w:szCs w:val="24"/>
              </w:rPr>
              <w:t xml:space="preserve">FDR-adjusted </w:t>
            </w:r>
            <w:r w:rsidRPr="00462023">
              <w:rPr>
                <w:rFonts w:ascii="Times New Roman" w:hAnsi="Times New Roman" w:cs="Times New Roman"/>
                <w:b/>
                <w:bCs/>
                <w:i/>
                <w:iCs/>
                <w:sz w:val="24"/>
                <w:szCs w:val="24"/>
              </w:rPr>
              <w:t>p</w:t>
            </w:r>
          </w:p>
        </w:tc>
        <w:tc>
          <w:tcPr>
            <w:tcW w:w="408" w:type="pct"/>
            <w:tcBorders>
              <w:top w:val="single" w:sz="4" w:space="0" w:color="auto"/>
              <w:bottom w:val="single" w:sz="4" w:space="0" w:color="auto"/>
            </w:tcBorders>
            <w:shd w:val="clear" w:color="auto" w:fill="BFBFBF" w:themeFill="background1" w:themeFillShade="BF"/>
          </w:tcPr>
          <w:p w14:paraId="48F119A5" w14:textId="77777777" w:rsidR="001D1CF9" w:rsidRPr="00712953" w:rsidRDefault="001D1CF9" w:rsidP="004E3154">
            <w:pPr>
              <w:jc w:val="center"/>
              <w:rPr>
                <w:rFonts w:ascii="Times New Roman" w:hAnsi="Times New Roman" w:cs="Times New Roman"/>
                <w:b/>
                <w:bCs/>
                <w:sz w:val="24"/>
                <w:szCs w:val="24"/>
              </w:rPr>
            </w:pPr>
            <w:r>
              <w:rPr>
                <w:rFonts w:ascii="Times New Roman" w:hAnsi="Times New Roman" w:cs="Times New Roman"/>
                <w:b/>
                <w:bCs/>
                <w:sz w:val="24"/>
                <w:szCs w:val="24"/>
              </w:rPr>
              <w:t>Cliff’s δ</w:t>
            </w:r>
          </w:p>
        </w:tc>
      </w:tr>
      <w:tr w:rsidR="001D1CF9" w14:paraId="47305111" w14:textId="77777777" w:rsidTr="004E3154">
        <w:tc>
          <w:tcPr>
            <w:tcW w:w="1019" w:type="pct"/>
            <w:gridSpan w:val="2"/>
          </w:tcPr>
          <w:p w14:paraId="79D49643" w14:textId="77777777" w:rsidR="001D1CF9" w:rsidRDefault="001D1CF9" w:rsidP="004E3154">
            <w:pPr>
              <w:jc w:val="both"/>
              <w:rPr>
                <w:rFonts w:ascii="Times New Roman" w:hAnsi="Times New Roman" w:cs="Times New Roman"/>
                <w:sz w:val="24"/>
                <w:szCs w:val="24"/>
              </w:rPr>
            </w:pPr>
            <w:r w:rsidRPr="00412976">
              <w:rPr>
                <w:rFonts w:ascii="Times New Roman" w:hAnsi="Times New Roman" w:cs="Times New Roman"/>
                <w:sz w:val="24"/>
                <w:szCs w:val="24"/>
              </w:rPr>
              <w:t>IL-1β</w:t>
            </w:r>
          </w:p>
        </w:tc>
        <w:tc>
          <w:tcPr>
            <w:tcW w:w="1006" w:type="pct"/>
          </w:tcPr>
          <w:p w14:paraId="6B957C2D"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15.92 (9.64–37.42)</w:t>
            </w:r>
          </w:p>
        </w:tc>
        <w:tc>
          <w:tcPr>
            <w:tcW w:w="1113" w:type="pct"/>
          </w:tcPr>
          <w:p w14:paraId="60C9C3A8"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64.72 (30.68–101.71)</w:t>
            </w:r>
          </w:p>
        </w:tc>
        <w:tc>
          <w:tcPr>
            <w:tcW w:w="557" w:type="pct"/>
          </w:tcPr>
          <w:p w14:paraId="3763E0DE" w14:textId="77777777" w:rsidR="001D1CF9" w:rsidRPr="00962898" w:rsidRDefault="001D1CF9" w:rsidP="004E3154">
            <w:pPr>
              <w:jc w:val="center"/>
              <w:rPr>
                <w:rFonts w:ascii="Times New Roman" w:hAnsi="Times New Roman" w:cs="Times New Roman"/>
                <w:sz w:val="24"/>
                <w:szCs w:val="24"/>
              </w:rPr>
            </w:pPr>
            <w:r w:rsidRPr="00962898">
              <w:rPr>
                <w:rFonts w:ascii="Times New Roman" w:hAnsi="Times New Roman" w:cs="Times New Roman"/>
                <w:sz w:val="24"/>
                <w:szCs w:val="24"/>
              </w:rPr>
              <w:t>0.00</w:t>
            </w:r>
            <w:r>
              <w:rPr>
                <w:rFonts w:ascii="Times New Roman" w:hAnsi="Times New Roman" w:cs="Times New Roman"/>
                <w:sz w:val="24"/>
                <w:szCs w:val="24"/>
              </w:rPr>
              <w:t>48</w:t>
            </w:r>
          </w:p>
        </w:tc>
        <w:tc>
          <w:tcPr>
            <w:tcW w:w="897" w:type="pct"/>
          </w:tcPr>
          <w:p w14:paraId="0DB68084" w14:textId="77777777" w:rsidR="001D1CF9" w:rsidRPr="00962898" w:rsidRDefault="001D1CF9" w:rsidP="004E3154">
            <w:pPr>
              <w:jc w:val="center"/>
              <w:rPr>
                <w:rFonts w:ascii="Times New Roman" w:hAnsi="Times New Roman" w:cs="Times New Roman"/>
                <w:b/>
                <w:bCs/>
                <w:sz w:val="24"/>
                <w:szCs w:val="24"/>
              </w:rPr>
            </w:pPr>
            <w:r w:rsidRPr="00962898">
              <w:rPr>
                <w:rFonts w:ascii="Times New Roman" w:hAnsi="Times New Roman" w:cs="Times New Roman"/>
                <w:b/>
                <w:bCs/>
                <w:sz w:val="24"/>
                <w:szCs w:val="24"/>
              </w:rPr>
              <w:t>0.021</w:t>
            </w:r>
            <w:r>
              <w:rPr>
                <w:rFonts w:ascii="Times New Roman" w:hAnsi="Times New Roman" w:cs="Times New Roman"/>
                <w:b/>
                <w:bCs/>
                <w:sz w:val="24"/>
                <w:szCs w:val="24"/>
              </w:rPr>
              <w:t>4</w:t>
            </w:r>
          </w:p>
        </w:tc>
        <w:tc>
          <w:tcPr>
            <w:tcW w:w="408" w:type="pct"/>
          </w:tcPr>
          <w:p w14:paraId="2D6CEF97" w14:textId="77777777" w:rsidR="001D1CF9" w:rsidRPr="006362A6" w:rsidRDefault="001D1CF9" w:rsidP="004E3154">
            <w:pPr>
              <w:jc w:val="center"/>
              <w:rPr>
                <w:rFonts w:ascii="Times New Roman" w:hAnsi="Times New Roman" w:cs="Times New Roman"/>
                <w:sz w:val="24"/>
                <w:szCs w:val="24"/>
              </w:rPr>
            </w:pPr>
            <w:r>
              <w:rPr>
                <w:rFonts w:ascii="Times New Roman" w:hAnsi="Times New Roman" w:cs="Times New Roman"/>
                <w:sz w:val="24"/>
                <w:szCs w:val="24"/>
              </w:rPr>
              <w:t>-0.445</w:t>
            </w:r>
          </w:p>
        </w:tc>
      </w:tr>
      <w:tr w:rsidR="001D1CF9" w14:paraId="25A1E0B3" w14:textId="77777777" w:rsidTr="004E3154">
        <w:tc>
          <w:tcPr>
            <w:tcW w:w="1019" w:type="pct"/>
            <w:gridSpan w:val="2"/>
          </w:tcPr>
          <w:p w14:paraId="23A2D185" w14:textId="77777777" w:rsidR="001D1CF9" w:rsidRDefault="001D1CF9" w:rsidP="004E3154">
            <w:pPr>
              <w:jc w:val="both"/>
              <w:rPr>
                <w:rFonts w:ascii="Times New Roman" w:hAnsi="Times New Roman" w:cs="Times New Roman"/>
                <w:sz w:val="24"/>
                <w:szCs w:val="24"/>
              </w:rPr>
            </w:pPr>
            <w:r w:rsidRPr="00412976">
              <w:rPr>
                <w:rFonts w:ascii="Times New Roman" w:hAnsi="Times New Roman" w:cs="Times New Roman"/>
                <w:sz w:val="24"/>
                <w:szCs w:val="24"/>
              </w:rPr>
              <w:t>IL-4</w:t>
            </w:r>
          </w:p>
        </w:tc>
        <w:tc>
          <w:tcPr>
            <w:tcW w:w="1006" w:type="pct"/>
          </w:tcPr>
          <w:p w14:paraId="384C94B6"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1.77 (1.38–4.79)</w:t>
            </w:r>
          </w:p>
        </w:tc>
        <w:tc>
          <w:tcPr>
            <w:tcW w:w="1113" w:type="pct"/>
          </w:tcPr>
          <w:p w14:paraId="6CF1E933"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3.88 (1.38–5.22)</w:t>
            </w:r>
          </w:p>
        </w:tc>
        <w:tc>
          <w:tcPr>
            <w:tcW w:w="557" w:type="pct"/>
          </w:tcPr>
          <w:p w14:paraId="178C36A0" w14:textId="77777777" w:rsidR="001D1CF9" w:rsidRPr="00962898" w:rsidRDefault="001D1CF9" w:rsidP="004E3154">
            <w:pPr>
              <w:jc w:val="center"/>
              <w:rPr>
                <w:rFonts w:ascii="Times New Roman" w:hAnsi="Times New Roman" w:cs="Times New Roman"/>
                <w:sz w:val="24"/>
                <w:szCs w:val="24"/>
              </w:rPr>
            </w:pPr>
            <w:r w:rsidRPr="00962898">
              <w:rPr>
                <w:rFonts w:ascii="Times New Roman" w:hAnsi="Times New Roman" w:cs="Times New Roman"/>
                <w:sz w:val="24"/>
                <w:szCs w:val="24"/>
              </w:rPr>
              <w:t>0.475</w:t>
            </w:r>
            <w:r>
              <w:rPr>
                <w:rFonts w:ascii="Times New Roman" w:hAnsi="Times New Roman" w:cs="Times New Roman"/>
                <w:sz w:val="24"/>
                <w:szCs w:val="24"/>
              </w:rPr>
              <w:t>5</w:t>
            </w:r>
          </w:p>
        </w:tc>
        <w:tc>
          <w:tcPr>
            <w:tcW w:w="897" w:type="pct"/>
          </w:tcPr>
          <w:p w14:paraId="79185D95" w14:textId="77777777" w:rsidR="001D1CF9" w:rsidRDefault="001D1CF9" w:rsidP="004E3154">
            <w:pPr>
              <w:jc w:val="center"/>
              <w:rPr>
                <w:rFonts w:ascii="Times New Roman" w:hAnsi="Times New Roman" w:cs="Times New Roman"/>
                <w:sz w:val="24"/>
                <w:szCs w:val="24"/>
              </w:rPr>
            </w:pPr>
            <w:r>
              <w:rPr>
                <w:rFonts w:ascii="Times New Roman" w:hAnsi="Times New Roman" w:cs="Times New Roman"/>
                <w:sz w:val="24"/>
                <w:szCs w:val="24"/>
              </w:rPr>
              <w:t>0.5336</w:t>
            </w:r>
          </w:p>
        </w:tc>
        <w:tc>
          <w:tcPr>
            <w:tcW w:w="408" w:type="pct"/>
          </w:tcPr>
          <w:p w14:paraId="36CB0594" w14:textId="77777777" w:rsidR="001D1CF9" w:rsidRPr="006362A6" w:rsidRDefault="001D1CF9" w:rsidP="004E3154">
            <w:pPr>
              <w:jc w:val="center"/>
              <w:rPr>
                <w:rFonts w:ascii="Times New Roman" w:hAnsi="Times New Roman" w:cs="Times New Roman"/>
                <w:sz w:val="24"/>
                <w:szCs w:val="24"/>
              </w:rPr>
            </w:pPr>
            <w:r>
              <w:rPr>
                <w:rFonts w:ascii="Times New Roman" w:hAnsi="Times New Roman" w:cs="Times New Roman"/>
                <w:sz w:val="24"/>
                <w:szCs w:val="24"/>
              </w:rPr>
              <w:t>-0.113</w:t>
            </w:r>
          </w:p>
        </w:tc>
      </w:tr>
      <w:tr w:rsidR="001D1CF9" w14:paraId="2D2BBAD1" w14:textId="77777777" w:rsidTr="004E3154">
        <w:tc>
          <w:tcPr>
            <w:tcW w:w="1019" w:type="pct"/>
            <w:gridSpan w:val="2"/>
          </w:tcPr>
          <w:p w14:paraId="4E35F603" w14:textId="77777777" w:rsidR="001D1CF9" w:rsidRDefault="001D1CF9" w:rsidP="004E3154">
            <w:pPr>
              <w:jc w:val="both"/>
              <w:rPr>
                <w:rFonts w:ascii="Times New Roman" w:hAnsi="Times New Roman" w:cs="Times New Roman"/>
                <w:sz w:val="24"/>
                <w:szCs w:val="24"/>
              </w:rPr>
            </w:pPr>
            <w:r w:rsidRPr="00412976">
              <w:rPr>
                <w:rFonts w:ascii="Times New Roman" w:hAnsi="Times New Roman" w:cs="Times New Roman"/>
                <w:sz w:val="24"/>
                <w:szCs w:val="24"/>
              </w:rPr>
              <w:t>IL-6</w:t>
            </w:r>
          </w:p>
        </w:tc>
        <w:tc>
          <w:tcPr>
            <w:tcW w:w="1006" w:type="pct"/>
          </w:tcPr>
          <w:p w14:paraId="072BB9C5"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4.44 (2.89–11.79)</w:t>
            </w:r>
          </w:p>
        </w:tc>
        <w:tc>
          <w:tcPr>
            <w:tcW w:w="1113" w:type="pct"/>
          </w:tcPr>
          <w:p w14:paraId="33826487"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92.83 (37.39–187.25)</w:t>
            </w:r>
          </w:p>
        </w:tc>
        <w:tc>
          <w:tcPr>
            <w:tcW w:w="557" w:type="pct"/>
          </w:tcPr>
          <w:p w14:paraId="2C575E18" w14:textId="77777777" w:rsidR="001D1CF9" w:rsidRPr="00962898" w:rsidRDefault="001D1CF9" w:rsidP="004E3154">
            <w:pPr>
              <w:jc w:val="center"/>
              <w:rPr>
                <w:rFonts w:ascii="Times New Roman" w:hAnsi="Times New Roman" w:cs="Times New Roman"/>
                <w:sz w:val="24"/>
                <w:szCs w:val="24"/>
              </w:rPr>
            </w:pPr>
            <w:r w:rsidRPr="00962898">
              <w:rPr>
                <w:rFonts w:ascii="Times New Roman" w:hAnsi="Times New Roman" w:cs="Times New Roman"/>
                <w:sz w:val="24"/>
                <w:szCs w:val="24"/>
              </w:rPr>
              <w:t>&lt;0.00</w:t>
            </w:r>
            <w:r>
              <w:rPr>
                <w:rFonts w:ascii="Times New Roman" w:hAnsi="Times New Roman" w:cs="Times New Roman"/>
                <w:sz w:val="24"/>
                <w:szCs w:val="24"/>
              </w:rPr>
              <w:t>00</w:t>
            </w:r>
            <w:r w:rsidRPr="00962898">
              <w:rPr>
                <w:rFonts w:ascii="Times New Roman" w:hAnsi="Times New Roman" w:cs="Times New Roman"/>
                <w:sz w:val="24"/>
                <w:szCs w:val="24"/>
              </w:rPr>
              <w:t>1</w:t>
            </w:r>
          </w:p>
        </w:tc>
        <w:tc>
          <w:tcPr>
            <w:tcW w:w="897" w:type="pct"/>
          </w:tcPr>
          <w:p w14:paraId="2EC18A66" w14:textId="77777777" w:rsidR="001D1CF9" w:rsidRPr="00412976" w:rsidRDefault="001D1CF9" w:rsidP="004E3154">
            <w:pPr>
              <w:jc w:val="center"/>
              <w:rPr>
                <w:rFonts w:ascii="Times New Roman" w:hAnsi="Times New Roman" w:cs="Times New Roman"/>
                <w:b/>
                <w:bCs/>
                <w:sz w:val="24"/>
                <w:szCs w:val="24"/>
              </w:rPr>
            </w:pPr>
            <w:r>
              <w:rPr>
                <w:rFonts w:ascii="Times New Roman" w:hAnsi="Times New Roman" w:cs="Times New Roman"/>
                <w:b/>
                <w:bCs/>
                <w:sz w:val="24"/>
                <w:szCs w:val="24"/>
              </w:rPr>
              <w:t>&lt; 0.00001</w:t>
            </w:r>
          </w:p>
        </w:tc>
        <w:tc>
          <w:tcPr>
            <w:tcW w:w="408" w:type="pct"/>
          </w:tcPr>
          <w:p w14:paraId="51E73010" w14:textId="77777777" w:rsidR="001D1CF9" w:rsidRPr="006362A6" w:rsidRDefault="001D1CF9" w:rsidP="004E3154">
            <w:pPr>
              <w:jc w:val="center"/>
              <w:rPr>
                <w:rFonts w:ascii="Times New Roman" w:hAnsi="Times New Roman" w:cs="Times New Roman"/>
                <w:sz w:val="24"/>
                <w:szCs w:val="24"/>
              </w:rPr>
            </w:pPr>
            <w:r>
              <w:rPr>
                <w:rFonts w:ascii="Times New Roman" w:hAnsi="Times New Roman" w:cs="Times New Roman"/>
                <w:sz w:val="24"/>
                <w:szCs w:val="24"/>
              </w:rPr>
              <w:t>-0.760</w:t>
            </w:r>
          </w:p>
        </w:tc>
      </w:tr>
      <w:tr w:rsidR="001D1CF9" w14:paraId="40DDF2E6" w14:textId="77777777" w:rsidTr="004E3154">
        <w:tc>
          <w:tcPr>
            <w:tcW w:w="1019" w:type="pct"/>
            <w:gridSpan w:val="2"/>
          </w:tcPr>
          <w:p w14:paraId="01AAB813" w14:textId="77777777" w:rsidR="001D1CF9" w:rsidRDefault="001D1CF9" w:rsidP="004E3154">
            <w:pPr>
              <w:jc w:val="both"/>
              <w:rPr>
                <w:rFonts w:ascii="Times New Roman" w:hAnsi="Times New Roman" w:cs="Times New Roman"/>
                <w:sz w:val="24"/>
                <w:szCs w:val="24"/>
              </w:rPr>
            </w:pPr>
            <w:r>
              <w:rPr>
                <w:rFonts w:ascii="Times New Roman" w:hAnsi="Times New Roman" w:cs="Times New Roman"/>
                <w:sz w:val="24"/>
                <w:szCs w:val="24"/>
              </w:rPr>
              <w:t>IL-8</w:t>
            </w:r>
          </w:p>
        </w:tc>
        <w:tc>
          <w:tcPr>
            <w:tcW w:w="1006" w:type="pct"/>
          </w:tcPr>
          <w:p w14:paraId="0D6463B5"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124.64 (72.82–213.27)</w:t>
            </w:r>
          </w:p>
        </w:tc>
        <w:tc>
          <w:tcPr>
            <w:tcW w:w="1113" w:type="pct"/>
          </w:tcPr>
          <w:p w14:paraId="5F51D013"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230.10 (61.26–999.44)</w:t>
            </w:r>
          </w:p>
        </w:tc>
        <w:tc>
          <w:tcPr>
            <w:tcW w:w="557" w:type="pct"/>
          </w:tcPr>
          <w:p w14:paraId="60A85805" w14:textId="77777777" w:rsidR="001D1CF9" w:rsidRPr="00962898" w:rsidRDefault="001D1CF9" w:rsidP="004E3154">
            <w:pPr>
              <w:jc w:val="center"/>
              <w:rPr>
                <w:rFonts w:ascii="Times New Roman" w:hAnsi="Times New Roman" w:cs="Times New Roman"/>
                <w:sz w:val="24"/>
                <w:szCs w:val="24"/>
              </w:rPr>
            </w:pPr>
            <w:r w:rsidRPr="00962898">
              <w:rPr>
                <w:rFonts w:ascii="Times New Roman" w:hAnsi="Times New Roman" w:cs="Times New Roman"/>
                <w:sz w:val="24"/>
                <w:szCs w:val="24"/>
              </w:rPr>
              <w:t>0.290</w:t>
            </w:r>
            <w:r>
              <w:rPr>
                <w:rFonts w:ascii="Times New Roman" w:hAnsi="Times New Roman" w:cs="Times New Roman"/>
                <w:sz w:val="24"/>
                <w:szCs w:val="24"/>
              </w:rPr>
              <w:t>4</w:t>
            </w:r>
          </w:p>
        </w:tc>
        <w:tc>
          <w:tcPr>
            <w:tcW w:w="897" w:type="pct"/>
          </w:tcPr>
          <w:p w14:paraId="35459FF8" w14:textId="77777777" w:rsidR="001D1CF9" w:rsidRDefault="001D1CF9" w:rsidP="004E3154">
            <w:pPr>
              <w:jc w:val="center"/>
              <w:rPr>
                <w:rFonts w:ascii="Times New Roman" w:hAnsi="Times New Roman" w:cs="Times New Roman"/>
                <w:sz w:val="24"/>
                <w:szCs w:val="24"/>
              </w:rPr>
            </w:pPr>
            <w:r>
              <w:rPr>
                <w:rFonts w:ascii="Times New Roman" w:hAnsi="Times New Roman" w:cs="Times New Roman"/>
                <w:sz w:val="24"/>
                <w:szCs w:val="24"/>
              </w:rPr>
              <w:t>0.4356</w:t>
            </w:r>
          </w:p>
        </w:tc>
        <w:tc>
          <w:tcPr>
            <w:tcW w:w="408" w:type="pct"/>
          </w:tcPr>
          <w:p w14:paraId="4B16B300" w14:textId="77777777" w:rsidR="001D1CF9" w:rsidRPr="00066AD7" w:rsidRDefault="001D1CF9" w:rsidP="004E3154">
            <w:pPr>
              <w:jc w:val="center"/>
              <w:rPr>
                <w:rFonts w:ascii="Times New Roman" w:hAnsi="Times New Roman" w:cs="Times New Roman"/>
                <w:sz w:val="24"/>
                <w:szCs w:val="24"/>
              </w:rPr>
            </w:pPr>
            <w:r>
              <w:rPr>
                <w:rFonts w:ascii="Times New Roman" w:hAnsi="Times New Roman" w:cs="Times New Roman"/>
                <w:sz w:val="24"/>
                <w:szCs w:val="24"/>
              </w:rPr>
              <w:t>-</w:t>
            </w:r>
            <w:r w:rsidRPr="00066AD7">
              <w:rPr>
                <w:rFonts w:ascii="Times New Roman" w:hAnsi="Times New Roman" w:cs="Times New Roman"/>
                <w:sz w:val="24"/>
                <w:szCs w:val="24"/>
              </w:rPr>
              <w:t>0.168</w:t>
            </w:r>
          </w:p>
        </w:tc>
      </w:tr>
      <w:tr w:rsidR="001D1CF9" w14:paraId="28C7C2A9" w14:textId="77777777" w:rsidTr="004E3154">
        <w:tc>
          <w:tcPr>
            <w:tcW w:w="1019" w:type="pct"/>
            <w:gridSpan w:val="2"/>
          </w:tcPr>
          <w:p w14:paraId="1DBC2A9D" w14:textId="77777777" w:rsidR="001D1CF9" w:rsidRDefault="001D1CF9" w:rsidP="004E3154">
            <w:pPr>
              <w:jc w:val="both"/>
              <w:rPr>
                <w:rFonts w:ascii="Times New Roman" w:hAnsi="Times New Roman" w:cs="Times New Roman"/>
                <w:sz w:val="24"/>
                <w:szCs w:val="24"/>
              </w:rPr>
            </w:pPr>
            <w:r w:rsidRPr="00412976">
              <w:rPr>
                <w:rFonts w:ascii="Times New Roman" w:hAnsi="Times New Roman" w:cs="Times New Roman"/>
                <w:sz w:val="24"/>
                <w:szCs w:val="24"/>
              </w:rPr>
              <w:t>IL-10</w:t>
            </w:r>
          </w:p>
        </w:tc>
        <w:tc>
          <w:tcPr>
            <w:tcW w:w="1006" w:type="pct"/>
          </w:tcPr>
          <w:p w14:paraId="56BB8055"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20.48 (13.97–37.45)</w:t>
            </w:r>
          </w:p>
        </w:tc>
        <w:tc>
          <w:tcPr>
            <w:tcW w:w="1113" w:type="pct"/>
          </w:tcPr>
          <w:p w14:paraId="723718AA"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7.59 (4.53–29.41)</w:t>
            </w:r>
          </w:p>
        </w:tc>
        <w:tc>
          <w:tcPr>
            <w:tcW w:w="557" w:type="pct"/>
          </w:tcPr>
          <w:p w14:paraId="46BA1F27" w14:textId="77777777" w:rsidR="001D1CF9" w:rsidRPr="00962898" w:rsidRDefault="001D1CF9" w:rsidP="004E3154">
            <w:pPr>
              <w:jc w:val="center"/>
              <w:rPr>
                <w:rFonts w:ascii="Times New Roman" w:hAnsi="Times New Roman" w:cs="Times New Roman"/>
                <w:sz w:val="24"/>
                <w:szCs w:val="24"/>
              </w:rPr>
            </w:pPr>
            <w:r w:rsidRPr="00962898">
              <w:rPr>
                <w:rFonts w:ascii="Times New Roman" w:hAnsi="Times New Roman" w:cs="Times New Roman"/>
                <w:sz w:val="24"/>
                <w:szCs w:val="24"/>
              </w:rPr>
              <w:t>0.135</w:t>
            </w:r>
            <w:r>
              <w:rPr>
                <w:rFonts w:ascii="Times New Roman" w:hAnsi="Times New Roman" w:cs="Times New Roman"/>
                <w:sz w:val="24"/>
                <w:szCs w:val="24"/>
              </w:rPr>
              <w:t>2</w:t>
            </w:r>
          </w:p>
        </w:tc>
        <w:tc>
          <w:tcPr>
            <w:tcW w:w="897" w:type="pct"/>
          </w:tcPr>
          <w:p w14:paraId="6D49FC7F" w14:textId="77777777" w:rsidR="001D1CF9" w:rsidRPr="00412976" w:rsidRDefault="001D1CF9" w:rsidP="004E3154">
            <w:pPr>
              <w:jc w:val="center"/>
              <w:rPr>
                <w:rFonts w:ascii="Times New Roman" w:hAnsi="Times New Roman" w:cs="Times New Roman"/>
                <w:sz w:val="24"/>
                <w:szCs w:val="24"/>
              </w:rPr>
            </w:pPr>
            <w:r>
              <w:rPr>
                <w:rFonts w:ascii="Times New Roman" w:hAnsi="Times New Roman" w:cs="Times New Roman"/>
                <w:sz w:val="24"/>
                <w:szCs w:val="24"/>
              </w:rPr>
              <w:t>0.2913</w:t>
            </w:r>
          </w:p>
        </w:tc>
        <w:tc>
          <w:tcPr>
            <w:tcW w:w="408" w:type="pct"/>
          </w:tcPr>
          <w:p w14:paraId="4A689277" w14:textId="77777777" w:rsidR="001D1CF9" w:rsidRPr="006362A6" w:rsidRDefault="001D1CF9" w:rsidP="004E3154">
            <w:pPr>
              <w:jc w:val="center"/>
              <w:rPr>
                <w:rFonts w:ascii="Times New Roman" w:hAnsi="Times New Roman" w:cs="Times New Roman"/>
                <w:sz w:val="24"/>
                <w:szCs w:val="24"/>
              </w:rPr>
            </w:pPr>
            <w:r>
              <w:rPr>
                <w:rFonts w:ascii="Times New Roman" w:hAnsi="Times New Roman" w:cs="Times New Roman"/>
                <w:sz w:val="24"/>
                <w:szCs w:val="24"/>
              </w:rPr>
              <w:t>0.236</w:t>
            </w:r>
          </w:p>
        </w:tc>
      </w:tr>
      <w:tr w:rsidR="001D1CF9" w14:paraId="474B1FC8" w14:textId="77777777" w:rsidTr="004E3154">
        <w:tc>
          <w:tcPr>
            <w:tcW w:w="1019" w:type="pct"/>
            <w:gridSpan w:val="2"/>
            <w:vAlign w:val="center"/>
          </w:tcPr>
          <w:p w14:paraId="1283A8A9" w14:textId="77777777" w:rsidR="001D1CF9" w:rsidRDefault="001D1CF9" w:rsidP="004E3154">
            <w:pPr>
              <w:jc w:val="both"/>
              <w:rPr>
                <w:rFonts w:ascii="Times New Roman" w:hAnsi="Times New Roman" w:cs="Times New Roman"/>
                <w:sz w:val="24"/>
                <w:szCs w:val="24"/>
              </w:rPr>
            </w:pPr>
            <w:r w:rsidRPr="00412976">
              <w:rPr>
                <w:rFonts w:ascii="Times New Roman" w:hAnsi="Times New Roman" w:cs="Times New Roman"/>
                <w:sz w:val="24"/>
                <w:szCs w:val="24"/>
              </w:rPr>
              <w:t>IL-12/IL-23p40</w:t>
            </w:r>
          </w:p>
        </w:tc>
        <w:tc>
          <w:tcPr>
            <w:tcW w:w="1006" w:type="pct"/>
            <w:vAlign w:val="center"/>
          </w:tcPr>
          <w:p w14:paraId="5FEA1803"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420.81 (111.14–699.06)</w:t>
            </w:r>
          </w:p>
        </w:tc>
        <w:tc>
          <w:tcPr>
            <w:tcW w:w="1113" w:type="pct"/>
            <w:vAlign w:val="center"/>
          </w:tcPr>
          <w:p w14:paraId="32A802E8"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156.18 (82.42–275.40)</w:t>
            </w:r>
          </w:p>
        </w:tc>
        <w:tc>
          <w:tcPr>
            <w:tcW w:w="557" w:type="pct"/>
            <w:vAlign w:val="center"/>
          </w:tcPr>
          <w:p w14:paraId="7284539F" w14:textId="77777777" w:rsidR="001D1CF9" w:rsidRPr="00962898" w:rsidRDefault="001D1CF9" w:rsidP="004E3154">
            <w:pPr>
              <w:jc w:val="center"/>
              <w:rPr>
                <w:rFonts w:ascii="Times New Roman" w:hAnsi="Times New Roman" w:cs="Times New Roman"/>
                <w:sz w:val="24"/>
                <w:szCs w:val="24"/>
              </w:rPr>
            </w:pPr>
            <w:r w:rsidRPr="00962898">
              <w:rPr>
                <w:rFonts w:ascii="Times New Roman" w:hAnsi="Times New Roman" w:cs="Times New Roman"/>
                <w:sz w:val="24"/>
                <w:szCs w:val="24"/>
              </w:rPr>
              <w:t>0.014</w:t>
            </w:r>
            <w:r>
              <w:rPr>
                <w:rFonts w:ascii="Times New Roman" w:hAnsi="Times New Roman" w:cs="Times New Roman"/>
                <w:sz w:val="24"/>
                <w:szCs w:val="24"/>
              </w:rPr>
              <w:t>3</w:t>
            </w:r>
          </w:p>
        </w:tc>
        <w:tc>
          <w:tcPr>
            <w:tcW w:w="897" w:type="pct"/>
          </w:tcPr>
          <w:p w14:paraId="5988F6B1" w14:textId="77777777" w:rsidR="001D1CF9" w:rsidRPr="00962898" w:rsidRDefault="001D1CF9" w:rsidP="004E3154">
            <w:pPr>
              <w:jc w:val="center"/>
              <w:rPr>
                <w:rFonts w:ascii="Times New Roman" w:hAnsi="Times New Roman" w:cs="Times New Roman"/>
                <w:b/>
                <w:bCs/>
                <w:sz w:val="24"/>
                <w:szCs w:val="24"/>
              </w:rPr>
            </w:pPr>
            <w:r w:rsidRPr="00962898">
              <w:rPr>
                <w:rFonts w:ascii="Times New Roman" w:hAnsi="Times New Roman" w:cs="Times New Roman"/>
                <w:b/>
                <w:bCs/>
                <w:sz w:val="24"/>
                <w:szCs w:val="24"/>
              </w:rPr>
              <w:t>0.043</w:t>
            </w:r>
            <w:r>
              <w:rPr>
                <w:rFonts w:ascii="Times New Roman" w:hAnsi="Times New Roman" w:cs="Times New Roman"/>
                <w:b/>
                <w:bCs/>
                <w:sz w:val="24"/>
                <w:szCs w:val="24"/>
              </w:rPr>
              <w:t>0</w:t>
            </w:r>
          </w:p>
        </w:tc>
        <w:tc>
          <w:tcPr>
            <w:tcW w:w="408" w:type="pct"/>
            <w:vAlign w:val="center"/>
          </w:tcPr>
          <w:p w14:paraId="766CCEEC" w14:textId="77777777" w:rsidR="001D1CF9" w:rsidRPr="006362A6" w:rsidRDefault="001D1CF9" w:rsidP="004E3154">
            <w:pPr>
              <w:jc w:val="center"/>
              <w:rPr>
                <w:rFonts w:ascii="Times New Roman" w:hAnsi="Times New Roman" w:cs="Times New Roman"/>
                <w:sz w:val="24"/>
                <w:szCs w:val="24"/>
              </w:rPr>
            </w:pPr>
            <w:r>
              <w:rPr>
                <w:rFonts w:ascii="Times New Roman" w:hAnsi="Times New Roman" w:cs="Times New Roman"/>
                <w:sz w:val="24"/>
                <w:szCs w:val="24"/>
              </w:rPr>
              <w:t>0.387</w:t>
            </w:r>
          </w:p>
        </w:tc>
      </w:tr>
      <w:tr w:rsidR="001D1CF9" w14:paraId="66D34C16" w14:textId="77777777" w:rsidTr="004E3154">
        <w:tc>
          <w:tcPr>
            <w:tcW w:w="1019" w:type="pct"/>
            <w:gridSpan w:val="2"/>
          </w:tcPr>
          <w:p w14:paraId="280F12CD" w14:textId="77777777" w:rsidR="001D1CF9" w:rsidRPr="00412976" w:rsidRDefault="001D1CF9" w:rsidP="004E3154">
            <w:pPr>
              <w:jc w:val="both"/>
              <w:rPr>
                <w:rFonts w:ascii="Times New Roman" w:hAnsi="Times New Roman" w:cs="Times New Roman"/>
                <w:sz w:val="24"/>
                <w:szCs w:val="24"/>
              </w:rPr>
            </w:pPr>
            <w:r w:rsidRPr="00412976">
              <w:rPr>
                <w:rFonts w:ascii="Times New Roman" w:hAnsi="Times New Roman" w:cs="Times New Roman"/>
                <w:sz w:val="24"/>
                <w:szCs w:val="24"/>
              </w:rPr>
              <w:t>IFN-α</w:t>
            </w:r>
          </w:p>
        </w:tc>
        <w:tc>
          <w:tcPr>
            <w:tcW w:w="1006" w:type="pct"/>
          </w:tcPr>
          <w:p w14:paraId="6550FF76" w14:textId="77777777" w:rsidR="001D1CF9" w:rsidRPr="00412976"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1.55 (0.37–6.84)</w:t>
            </w:r>
          </w:p>
        </w:tc>
        <w:tc>
          <w:tcPr>
            <w:tcW w:w="1113" w:type="pct"/>
          </w:tcPr>
          <w:p w14:paraId="6F654C86" w14:textId="77777777" w:rsidR="001D1CF9" w:rsidRPr="00412976"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1.38 (0.37–2.25)</w:t>
            </w:r>
          </w:p>
        </w:tc>
        <w:tc>
          <w:tcPr>
            <w:tcW w:w="557" w:type="pct"/>
          </w:tcPr>
          <w:p w14:paraId="1C3597C9" w14:textId="77777777" w:rsidR="001D1CF9" w:rsidRPr="00962898" w:rsidRDefault="001D1CF9" w:rsidP="004E3154">
            <w:pPr>
              <w:jc w:val="center"/>
              <w:rPr>
                <w:rFonts w:ascii="Times New Roman" w:hAnsi="Times New Roman" w:cs="Times New Roman"/>
                <w:sz w:val="24"/>
                <w:szCs w:val="24"/>
              </w:rPr>
            </w:pPr>
            <w:r w:rsidRPr="00962898">
              <w:rPr>
                <w:rFonts w:ascii="Times New Roman" w:hAnsi="Times New Roman" w:cs="Times New Roman"/>
                <w:sz w:val="24"/>
                <w:szCs w:val="24"/>
              </w:rPr>
              <w:t>0.16</w:t>
            </w:r>
            <w:r>
              <w:rPr>
                <w:rFonts w:ascii="Times New Roman" w:hAnsi="Times New Roman" w:cs="Times New Roman"/>
                <w:sz w:val="24"/>
                <w:szCs w:val="24"/>
              </w:rPr>
              <w:t>18</w:t>
            </w:r>
          </w:p>
        </w:tc>
        <w:tc>
          <w:tcPr>
            <w:tcW w:w="897" w:type="pct"/>
          </w:tcPr>
          <w:p w14:paraId="4F0CAB19" w14:textId="77777777" w:rsidR="001D1CF9" w:rsidRPr="00CF5084" w:rsidRDefault="001D1CF9" w:rsidP="004E3154">
            <w:pPr>
              <w:jc w:val="center"/>
              <w:rPr>
                <w:rFonts w:ascii="Times New Roman" w:hAnsi="Times New Roman" w:cs="Times New Roman"/>
                <w:sz w:val="24"/>
                <w:szCs w:val="24"/>
              </w:rPr>
            </w:pPr>
            <w:r>
              <w:rPr>
                <w:rFonts w:ascii="Times New Roman" w:hAnsi="Times New Roman" w:cs="Times New Roman"/>
                <w:sz w:val="24"/>
                <w:szCs w:val="24"/>
              </w:rPr>
              <w:t>0.2913</w:t>
            </w:r>
          </w:p>
        </w:tc>
        <w:tc>
          <w:tcPr>
            <w:tcW w:w="408" w:type="pct"/>
          </w:tcPr>
          <w:p w14:paraId="340CB6F3" w14:textId="77777777" w:rsidR="001D1CF9" w:rsidRPr="00CF5084" w:rsidRDefault="001D1CF9" w:rsidP="004E3154">
            <w:pPr>
              <w:jc w:val="center"/>
              <w:rPr>
                <w:rFonts w:ascii="Times New Roman" w:hAnsi="Times New Roman" w:cs="Times New Roman"/>
                <w:sz w:val="24"/>
                <w:szCs w:val="24"/>
              </w:rPr>
            </w:pPr>
            <w:r>
              <w:rPr>
                <w:rFonts w:ascii="Times New Roman" w:hAnsi="Times New Roman" w:cs="Times New Roman"/>
                <w:sz w:val="24"/>
                <w:szCs w:val="24"/>
              </w:rPr>
              <w:t>0.220</w:t>
            </w:r>
          </w:p>
        </w:tc>
      </w:tr>
      <w:tr w:rsidR="001D1CF9" w14:paraId="1BD44E5E" w14:textId="77777777" w:rsidTr="004E3154">
        <w:tc>
          <w:tcPr>
            <w:tcW w:w="1019" w:type="pct"/>
            <w:gridSpan w:val="2"/>
          </w:tcPr>
          <w:p w14:paraId="531AD097" w14:textId="77777777" w:rsidR="001D1CF9" w:rsidRPr="00412976" w:rsidRDefault="001D1CF9" w:rsidP="004E3154">
            <w:pPr>
              <w:jc w:val="both"/>
              <w:rPr>
                <w:rFonts w:ascii="Times New Roman" w:hAnsi="Times New Roman" w:cs="Times New Roman"/>
                <w:sz w:val="24"/>
                <w:szCs w:val="24"/>
              </w:rPr>
            </w:pPr>
            <w:r w:rsidRPr="00412976">
              <w:rPr>
                <w:rFonts w:ascii="Times New Roman" w:hAnsi="Times New Roman" w:cs="Times New Roman"/>
                <w:sz w:val="24"/>
                <w:szCs w:val="24"/>
              </w:rPr>
              <w:t>IFN-γ</w:t>
            </w:r>
          </w:p>
        </w:tc>
        <w:tc>
          <w:tcPr>
            <w:tcW w:w="1006" w:type="pct"/>
          </w:tcPr>
          <w:p w14:paraId="46C12093" w14:textId="77777777" w:rsidR="001D1CF9" w:rsidRPr="00412976"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2.49 (2.45–7.30)</w:t>
            </w:r>
          </w:p>
        </w:tc>
        <w:tc>
          <w:tcPr>
            <w:tcW w:w="1113" w:type="pct"/>
          </w:tcPr>
          <w:p w14:paraId="7A0B7A92" w14:textId="77777777" w:rsidR="001D1CF9" w:rsidRPr="00412976"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2.49 (2.33–7.30)</w:t>
            </w:r>
          </w:p>
        </w:tc>
        <w:tc>
          <w:tcPr>
            <w:tcW w:w="557" w:type="pct"/>
          </w:tcPr>
          <w:p w14:paraId="256A24B5" w14:textId="77777777" w:rsidR="001D1CF9" w:rsidRPr="00962898" w:rsidRDefault="001D1CF9" w:rsidP="004E3154">
            <w:pPr>
              <w:jc w:val="center"/>
              <w:rPr>
                <w:rFonts w:ascii="Times New Roman" w:hAnsi="Times New Roman" w:cs="Times New Roman"/>
                <w:sz w:val="24"/>
                <w:szCs w:val="24"/>
              </w:rPr>
            </w:pPr>
            <w:r w:rsidRPr="00962898">
              <w:rPr>
                <w:rFonts w:ascii="Times New Roman" w:hAnsi="Times New Roman" w:cs="Times New Roman"/>
                <w:sz w:val="24"/>
                <w:szCs w:val="24"/>
              </w:rPr>
              <w:t>0.472</w:t>
            </w:r>
            <w:r>
              <w:rPr>
                <w:rFonts w:ascii="Times New Roman" w:hAnsi="Times New Roman" w:cs="Times New Roman"/>
                <w:sz w:val="24"/>
                <w:szCs w:val="24"/>
              </w:rPr>
              <w:t>5</w:t>
            </w:r>
          </w:p>
        </w:tc>
        <w:tc>
          <w:tcPr>
            <w:tcW w:w="897" w:type="pct"/>
          </w:tcPr>
          <w:p w14:paraId="740EFC5B" w14:textId="77777777" w:rsidR="001D1CF9" w:rsidRPr="00CF5084" w:rsidRDefault="001D1CF9" w:rsidP="004E3154">
            <w:pPr>
              <w:jc w:val="center"/>
              <w:rPr>
                <w:rFonts w:ascii="Times New Roman" w:hAnsi="Times New Roman" w:cs="Times New Roman"/>
                <w:sz w:val="24"/>
                <w:szCs w:val="24"/>
              </w:rPr>
            </w:pPr>
            <w:r>
              <w:rPr>
                <w:rFonts w:ascii="Times New Roman" w:hAnsi="Times New Roman" w:cs="Times New Roman"/>
                <w:sz w:val="24"/>
                <w:szCs w:val="24"/>
              </w:rPr>
              <w:t>0.5336</w:t>
            </w:r>
          </w:p>
        </w:tc>
        <w:tc>
          <w:tcPr>
            <w:tcW w:w="408" w:type="pct"/>
          </w:tcPr>
          <w:p w14:paraId="7DF42FA2" w14:textId="77777777" w:rsidR="001D1CF9" w:rsidRPr="00066AD7" w:rsidRDefault="001D1CF9" w:rsidP="004E3154">
            <w:pPr>
              <w:jc w:val="center"/>
              <w:rPr>
                <w:rFonts w:ascii="Times New Roman" w:hAnsi="Times New Roman" w:cs="Times New Roman"/>
                <w:sz w:val="24"/>
                <w:szCs w:val="24"/>
              </w:rPr>
            </w:pPr>
            <w:r w:rsidRPr="00066AD7">
              <w:rPr>
                <w:rFonts w:ascii="Times New Roman" w:hAnsi="Times New Roman" w:cs="Times New Roman"/>
                <w:sz w:val="24"/>
                <w:szCs w:val="24"/>
              </w:rPr>
              <w:t>0.112</w:t>
            </w:r>
          </w:p>
        </w:tc>
      </w:tr>
      <w:tr w:rsidR="001D1CF9" w14:paraId="2CAD42B5" w14:textId="77777777" w:rsidTr="004E3154">
        <w:tc>
          <w:tcPr>
            <w:tcW w:w="1019" w:type="pct"/>
            <w:gridSpan w:val="2"/>
            <w:vAlign w:val="center"/>
          </w:tcPr>
          <w:p w14:paraId="3ACF3102" w14:textId="77777777" w:rsidR="001D1CF9" w:rsidRDefault="001D1CF9" w:rsidP="004E3154">
            <w:pPr>
              <w:jc w:val="both"/>
              <w:rPr>
                <w:rFonts w:ascii="Times New Roman" w:hAnsi="Times New Roman" w:cs="Times New Roman"/>
                <w:sz w:val="24"/>
                <w:szCs w:val="24"/>
              </w:rPr>
            </w:pPr>
            <w:r w:rsidRPr="00412976">
              <w:rPr>
                <w:rFonts w:ascii="Times New Roman" w:hAnsi="Times New Roman" w:cs="Times New Roman"/>
                <w:sz w:val="24"/>
                <w:szCs w:val="24"/>
              </w:rPr>
              <w:t>TNF-α</w:t>
            </w:r>
          </w:p>
        </w:tc>
        <w:tc>
          <w:tcPr>
            <w:tcW w:w="1006" w:type="pct"/>
            <w:vAlign w:val="center"/>
          </w:tcPr>
          <w:p w14:paraId="3997F0CB"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99.25 (46.56–167.66)</w:t>
            </w:r>
          </w:p>
        </w:tc>
        <w:tc>
          <w:tcPr>
            <w:tcW w:w="1113" w:type="pct"/>
            <w:vAlign w:val="center"/>
          </w:tcPr>
          <w:p w14:paraId="14FD7823" w14:textId="77777777" w:rsidR="001D1CF9" w:rsidRDefault="001D1CF9" w:rsidP="004E3154">
            <w:pPr>
              <w:jc w:val="center"/>
              <w:rPr>
                <w:rFonts w:ascii="Times New Roman" w:hAnsi="Times New Roman" w:cs="Times New Roman"/>
                <w:sz w:val="24"/>
                <w:szCs w:val="24"/>
              </w:rPr>
            </w:pPr>
            <w:r w:rsidRPr="00412976">
              <w:rPr>
                <w:rFonts w:ascii="Times New Roman" w:hAnsi="Times New Roman" w:cs="Times New Roman"/>
                <w:sz w:val="24"/>
                <w:szCs w:val="24"/>
              </w:rPr>
              <w:t>79.23 (25.67–146.62)</w:t>
            </w:r>
          </w:p>
        </w:tc>
        <w:tc>
          <w:tcPr>
            <w:tcW w:w="557" w:type="pct"/>
            <w:vAlign w:val="center"/>
          </w:tcPr>
          <w:p w14:paraId="5AF688C4" w14:textId="77777777" w:rsidR="001D1CF9" w:rsidRPr="00962898" w:rsidRDefault="001D1CF9" w:rsidP="004E3154">
            <w:pPr>
              <w:jc w:val="center"/>
              <w:rPr>
                <w:rFonts w:ascii="Times New Roman" w:hAnsi="Times New Roman" w:cs="Times New Roman"/>
                <w:sz w:val="24"/>
                <w:szCs w:val="24"/>
              </w:rPr>
            </w:pPr>
            <w:r w:rsidRPr="00962898">
              <w:rPr>
                <w:rFonts w:ascii="Times New Roman" w:hAnsi="Times New Roman" w:cs="Times New Roman"/>
                <w:sz w:val="24"/>
                <w:szCs w:val="24"/>
              </w:rPr>
              <w:t>0.53</w:t>
            </w:r>
            <w:r>
              <w:rPr>
                <w:rFonts w:ascii="Times New Roman" w:hAnsi="Times New Roman" w:cs="Times New Roman"/>
                <w:sz w:val="24"/>
                <w:szCs w:val="24"/>
              </w:rPr>
              <w:t>36</w:t>
            </w:r>
          </w:p>
        </w:tc>
        <w:tc>
          <w:tcPr>
            <w:tcW w:w="897" w:type="pct"/>
          </w:tcPr>
          <w:p w14:paraId="3EE9ADEE" w14:textId="77777777" w:rsidR="001D1CF9" w:rsidRDefault="001D1CF9" w:rsidP="004E3154">
            <w:pPr>
              <w:jc w:val="center"/>
              <w:rPr>
                <w:rFonts w:ascii="Times New Roman" w:hAnsi="Times New Roman" w:cs="Times New Roman"/>
                <w:sz w:val="24"/>
                <w:szCs w:val="24"/>
              </w:rPr>
            </w:pPr>
            <w:r>
              <w:rPr>
                <w:rFonts w:ascii="Times New Roman" w:hAnsi="Times New Roman" w:cs="Times New Roman"/>
                <w:sz w:val="24"/>
                <w:szCs w:val="24"/>
              </w:rPr>
              <w:t>0.5336</w:t>
            </w:r>
          </w:p>
        </w:tc>
        <w:tc>
          <w:tcPr>
            <w:tcW w:w="408" w:type="pct"/>
          </w:tcPr>
          <w:p w14:paraId="25C25E6D" w14:textId="77777777" w:rsidR="001D1CF9" w:rsidRPr="00954439" w:rsidRDefault="001D1CF9" w:rsidP="004E3154">
            <w:pPr>
              <w:jc w:val="center"/>
              <w:rPr>
                <w:rFonts w:ascii="Times New Roman" w:hAnsi="Times New Roman" w:cs="Times New Roman"/>
                <w:sz w:val="24"/>
                <w:szCs w:val="24"/>
              </w:rPr>
            </w:pPr>
            <w:r w:rsidRPr="00954439">
              <w:rPr>
                <w:rFonts w:ascii="Times New Roman" w:hAnsi="Times New Roman" w:cs="Times New Roman"/>
                <w:sz w:val="24"/>
                <w:szCs w:val="24"/>
              </w:rPr>
              <w:t>0.099</w:t>
            </w:r>
          </w:p>
        </w:tc>
      </w:tr>
    </w:tbl>
    <w:p w14:paraId="0DE4DBB2" w14:textId="77777777" w:rsidR="001D1CF9" w:rsidRDefault="001D1CF9" w:rsidP="001D1CF9">
      <w:pPr>
        <w:spacing w:line="240" w:lineRule="auto"/>
        <w:jc w:val="both"/>
        <w:rPr>
          <w:rFonts w:ascii="Times New Roman" w:hAnsi="Times New Roman" w:cs="Times New Roman"/>
          <w:b/>
          <w:bCs/>
          <w:sz w:val="24"/>
          <w:szCs w:val="24"/>
        </w:rPr>
      </w:pPr>
    </w:p>
    <w:p w14:paraId="1FCCE926" w14:textId="77777777" w:rsidR="001D1CF9" w:rsidRDefault="001D1CF9" w:rsidP="001D1CF9">
      <w:pPr>
        <w:spacing w:line="240" w:lineRule="auto"/>
        <w:jc w:val="both"/>
        <w:rPr>
          <w:rFonts w:ascii="Times New Roman" w:hAnsi="Times New Roman" w:cs="Times New Roman"/>
          <w:b/>
          <w:bCs/>
          <w:sz w:val="24"/>
          <w:szCs w:val="24"/>
        </w:rPr>
      </w:pPr>
    </w:p>
    <w:p w14:paraId="13191419" w14:textId="77777777" w:rsidR="001D1CF9" w:rsidRDefault="001D1CF9" w:rsidP="001D1CF9">
      <w:pPr>
        <w:spacing w:line="240" w:lineRule="auto"/>
        <w:jc w:val="both"/>
        <w:rPr>
          <w:rFonts w:ascii="Times New Roman" w:hAnsi="Times New Roman" w:cs="Times New Roman"/>
          <w:b/>
          <w:bCs/>
          <w:sz w:val="24"/>
          <w:szCs w:val="24"/>
        </w:rPr>
      </w:pPr>
    </w:p>
    <w:p w14:paraId="4424CCE3" w14:textId="77777777" w:rsidR="001D1CF9" w:rsidRDefault="001D1CF9" w:rsidP="001D1CF9">
      <w:pPr>
        <w:spacing w:line="240" w:lineRule="auto"/>
        <w:jc w:val="both"/>
        <w:rPr>
          <w:rFonts w:ascii="Times New Roman" w:hAnsi="Times New Roman" w:cs="Times New Roman"/>
          <w:b/>
          <w:bCs/>
          <w:sz w:val="24"/>
          <w:szCs w:val="24"/>
        </w:rPr>
      </w:pPr>
    </w:p>
    <w:p w14:paraId="52D4F715" w14:textId="77777777" w:rsidR="001D1CF9" w:rsidRDefault="001D1CF9" w:rsidP="001D1CF9">
      <w:pPr>
        <w:spacing w:line="240" w:lineRule="auto"/>
        <w:jc w:val="both"/>
        <w:rPr>
          <w:rFonts w:ascii="Times New Roman" w:hAnsi="Times New Roman" w:cs="Times New Roman"/>
          <w:b/>
          <w:bCs/>
          <w:sz w:val="24"/>
          <w:szCs w:val="24"/>
        </w:rPr>
      </w:pPr>
    </w:p>
    <w:p w14:paraId="4F17B991" w14:textId="77777777" w:rsidR="001D1CF9" w:rsidRDefault="001D1CF9" w:rsidP="001D1CF9">
      <w:pPr>
        <w:spacing w:line="240" w:lineRule="auto"/>
        <w:jc w:val="both"/>
        <w:rPr>
          <w:rFonts w:ascii="Times New Roman" w:hAnsi="Times New Roman" w:cs="Times New Roman"/>
          <w:b/>
          <w:bCs/>
          <w:sz w:val="24"/>
          <w:szCs w:val="24"/>
        </w:rPr>
      </w:pPr>
    </w:p>
    <w:p w14:paraId="5C36E0D1" w14:textId="77777777" w:rsidR="001D1CF9" w:rsidRDefault="001D1CF9" w:rsidP="001D1CF9">
      <w:pPr>
        <w:spacing w:line="240" w:lineRule="auto"/>
        <w:jc w:val="both"/>
        <w:rPr>
          <w:rFonts w:ascii="Times New Roman" w:hAnsi="Times New Roman" w:cs="Times New Roman"/>
          <w:b/>
          <w:bCs/>
          <w:sz w:val="24"/>
          <w:szCs w:val="24"/>
        </w:rPr>
      </w:pPr>
    </w:p>
    <w:p w14:paraId="405B9668" w14:textId="77777777" w:rsidR="001D1CF9" w:rsidRDefault="001D1CF9" w:rsidP="001D1CF9">
      <w:pPr>
        <w:spacing w:line="240" w:lineRule="auto"/>
        <w:jc w:val="both"/>
        <w:rPr>
          <w:rFonts w:ascii="Times New Roman" w:hAnsi="Times New Roman" w:cs="Times New Roman"/>
          <w:b/>
          <w:bCs/>
          <w:sz w:val="24"/>
          <w:szCs w:val="24"/>
        </w:rPr>
      </w:pPr>
    </w:p>
    <w:p w14:paraId="14A5DD83" w14:textId="77777777" w:rsidR="001D1CF9" w:rsidRDefault="001D1CF9" w:rsidP="001D1CF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3. </w:t>
      </w:r>
      <w:r w:rsidRPr="00B91795">
        <w:rPr>
          <w:rFonts w:ascii="Times New Roman" w:hAnsi="Times New Roman" w:cs="Times New Roman"/>
          <w:sz w:val="24"/>
          <w:szCs w:val="24"/>
        </w:rPr>
        <w:t>Multivariable linear models evaluating the independent association between host population and circulating cytokine concentrations. Cytokine concentrations were log-transformed [log</w:t>
      </w:r>
      <w:r>
        <w:rPr>
          <w:rFonts w:ascii="Times New Roman" w:hAnsi="Times New Roman" w:cs="Times New Roman"/>
          <w:sz w:val="24"/>
          <w:szCs w:val="24"/>
        </w:rPr>
        <w:t xml:space="preserve"> </w:t>
      </w:r>
      <w:r w:rsidRPr="00B91795">
        <w:rPr>
          <w:rFonts w:ascii="Times New Roman" w:hAnsi="Times New Roman" w:cs="Times New Roman"/>
          <w:sz w:val="24"/>
          <w:szCs w:val="24"/>
        </w:rPr>
        <w:t xml:space="preserve">(x + 1)] prior to analysis. Models included host population, age category, sex, PCR status and ELISA status as explanatory variables. Regression coefficients (β) represent the estimated effect of wild boar relative to domestic pig (reference </w:t>
      </w:r>
      <w:r w:rsidRPr="00B91795">
        <w:rPr>
          <w:rFonts w:ascii="Times New Roman" w:hAnsi="Times New Roman" w:cs="Times New Roman"/>
          <w:sz w:val="24"/>
          <w:szCs w:val="24"/>
        </w:rPr>
        <w:lastRenderedPageBreak/>
        <w:t xml:space="preserve">category), while holding all other variables constant. Values are presented as β coefficients with their corresponding 95% confidence intervals (95% CI). </w:t>
      </w:r>
      <w:r w:rsidRPr="00B91795">
        <w:rPr>
          <w:rFonts w:ascii="Times New Roman" w:hAnsi="Times New Roman" w:cs="Times New Roman"/>
          <w:i/>
          <w:iCs/>
          <w:sz w:val="24"/>
          <w:szCs w:val="24"/>
        </w:rPr>
        <w:t>P</w:t>
      </w:r>
      <w:r w:rsidRPr="00B91795">
        <w:rPr>
          <w:rFonts w:ascii="Times New Roman" w:hAnsi="Times New Roman" w:cs="Times New Roman"/>
          <w:sz w:val="24"/>
          <w:szCs w:val="24"/>
        </w:rPr>
        <w:t xml:space="preserve">-values were adjusted for multiple testing using the Benjamini–Hochberg false discovery rate (FDR) procedure. Statistically significant p-values and FDR-adjusted </w:t>
      </w:r>
      <w:r w:rsidRPr="00B91795">
        <w:rPr>
          <w:rFonts w:ascii="Times New Roman" w:hAnsi="Times New Roman" w:cs="Times New Roman"/>
          <w:i/>
          <w:iCs/>
          <w:sz w:val="24"/>
          <w:szCs w:val="24"/>
        </w:rPr>
        <w:t>p</w:t>
      </w:r>
      <w:r w:rsidRPr="00B91795">
        <w:rPr>
          <w:rFonts w:ascii="Times New Roman" w:hAnsi="Times New Roman" w:cs="Times New Roman"/>
          <w:sz w:val="24"/>
          <w:szCs w:val="24"/>
        </w:rPr>
        <w:t>-values (</w:t>
      </w:r>
      <w:r w:rsidRPr="00B91795">
        <w:rPr>
          <w:rFonts w:ascii="Times New Roman" w:hAnsi="Times New Roman" w:cs="Times New Roman"/>
          <w:i/>
          <w:iCs/>
          <w:sz w:val="24"/>
          <w:szCs w:val="24"/>
        </w:rPr>
        <w:t>p</w:t>
      </w:r>
      <w:r w:rsidRPr="00B91795">
        <w:rPr>
          <w:rFonts w:ascii="Times New Roman" w:hAnsi="Times New Roman" w:cs="Times New Roman"/>
          <w:sz w:val="24"/>
          <w:szCs w:val="24"/>
        </w:rPr>
        <w:t xml:space="preserve"> &lt; 0.05) are shown in bold.</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501"/>
        <w:gridCol w:w="3501"/>
        <w:gridCol w:w="3501"/>
        <w:gridCol w:w="3501"/>
      </w:tblGrid>
      <w:tr w:rsidR="001D1CF9" w14:paraId="68A98451" w14:textId="77777777" w:rsidTr="004E3154">
        <w:tc>
          <w:tcPr>
            <w:tcW w:w="1250" w:type="pct"/>
            <w:shd w:val="clear" w:color="auto" w:fill="BFBFBF" w:themeFill="background1" w:themeFillShade="BF"/>
          </w:tcPr>
          <w:p w14:paraId="3A2FBA3D" w14:textId="77777777" w:rsidR="001D1CF9" w:rsidRDefault="001D1CF9" w:rsidP="004E3154">
            <w:pPr>
              <w:jc w:val="center"/>
              <w:rPr>
                <w:rFonts w:ascii="Times New Roman" w:hAnsi="Times New Roman" w:cs="Times New Roman"/>
                <w:b/>
                <w:bCs/>
                <w:sz w:val="24"/>
                <w:szCs w:val="24"/>
              </w:rPr>
            </w:pPr>
            <w:r>
              <w:rPr>
                <w:rFonts w:ascii="Times New Roman" w:hAnsi="Times New Roman" w:cs="Times New Roman"/>
                <w:b/>
                <w:bCs/>
                <w:sz w:val="24"/>
                <w:szCs w:val="24"/>
              </w:rPr>
              <w:t>Cytokine</w:t>
            </w:r>
          </w:p>
        </w:tc>
        <w:tc>
          <w:tcPr>
            <w:tcW w:w="1250" w:type="pct"/>
            <w:shd w:val="clear" w:color="auto" w:fill="BFBFBF" w:themeFill="background1" w:themeFillShade="BF"/>
          </w:tcPr>
          <w:p w14:paraId="54089338" w14:textId="77777777" w:rsidR="001D1CF9" w:rsidRDefault="001D1CF9" w:rsidP="004E3154">
            <w:pPr>
              <w:jc w:val="center"/>
              <w:rPr>
                <w:rFonts w:ascii="Times New Roman" w:hAnsi="Times New Roman" w:cs="Times New Roman"/>
                <w:b/>
                <w:bCs/>
                <w:sz w:val="24"/>
                <w:szCs w:val="24"/>
              </w:rPr>
            </w:pPr>
            <w:r>
              <w:rPr>
                <w:rFonts w:ascii="Aptos Narrow" w:hAnsi="Aptos Narrow" w:cs="Times New Roman"/>
                <w:b/>
                <w:bCs/>
                <w:sz w:val="24"/>
                <w:szCs w:val="24"/>
              </w:rPr>
              <w:t>β</w:t>
            </w:r>
            <w:r>
              <w:rPr>
                <w:rFonts w:ascii="Times New Roman" w:hAnsi="Times New Roman" w:cs="Times New Roman"/>
                <w:b/>
                <w:bCs/>
                <w:sz w:val="24"/>
                <w:szCs w:val="24"/>
              </w:rPr>
              <w:t xml:space="preserve"> [95% CI] (Wild boar)</w:t>
            </w:r>
          </w:p>
        </w:tc>
        <w:tc>
          <w:tcPr>
            <w:tcW w:w="1250" w:type="pct"/>
            <w:shd w:val="clear" w:color="auto" w:fill="BFBFBF" w:themeFill="background1" w:themeFillShade="BF"/>
          </w:tcPr>
          <w:p w14:paraId="6804BC1C" w14:textId="77777777" w:rsidR="001D1CF9" w:rsidRDefault="001D1CF9" w:rsidP="004E3154">
            <w:pPr>
              <w:jc w:val="center"/>
              <w:rPr>
                <w:rFonts w:ascii="Times New Roman" w:hAnsi="Times New Roman" w:cs="Times New Roman"/>
                <w:b/>
                <w:bCs/>
                <w:sz w:val="24"/>
                <w:szCs w:val="24"/>
              </w:rPr>
            </w:pPr>
            <w:r w:rsidRPr="001B3D1F">
              <w:rPr>
                <w:rFonts w:ascii="Times New Roman" w:hAnsi="Times New Roman" w:cs="Times New Roman"/>
                <w:b/>
                <w:bCs/>
                <w:i/>
                <w:iCs/>
                <w:sz w:val="24"/>
                <w:szCs w:val="24"/>
              </w:rPr>
              <w:t>p</w:t>
            </w:r>
            <w:r>
              <w:rPr>
                <w:rFonts w:ascii="Times New Roman" w:hAnsi="Times New Roman" w:cs="Times New Roman"/>
                <w:b/>
                <w:bCs/>
                <w:sz w:val="24"/>
                <w:szCs w:val="24"/>
              </w:rPr>
              <w:t>-value</w:t>
            </w:r>
          </w:p>
        </w:tc>
        <w:tc>
          <w:tcPr>
            <w:tcW w:w="1250" w:type="pct"/>
            <w:shd w:val="clear" w:color="auto" w:fill="BFBFBF" w:themeFill="background1" w:themeFillShade="BF"/>
          </w:tcPr>
          <w:p w14:paraId="18B1662D" w14:textId="77777777" w:rsidR="001D1CF9" w:rsidRDefault="001D1CF9" w:rsidP="004E3154">
            <w:pPr>
              <w:jc w:val="center"/>
              <w:rPr>
                <w:rFonts w:ascii="Times New Roman" w:hAnsi="Times New Roman" w:cs="Times New Roman"/>
                <w:b/>
                <w:bCs/>
                <w:sz w:val="24"/>
                <w:szCs w:val="24"/>
              </w:rPr>
            </w:pPr>
            <w:r>
              <w:rPr>
                <w:rFonts w:ascii="Times New Roman" w:hAnsi="Times New Roman" w:cs="Times New Roman"/>
                <w:b/>
                <w:bCs/>
                <w:sz w:val="24"/>
                <w:szCs w:val="24"/>
              </w:rPr>
              <w:t xml:space="preserve">FDR-adjusted </w:t>
            </w:r>
            <w:r w:rsidRPr="00462023">
              <w:rPr>
                <w:rFonts w:ascii="Times New Roman" w:hAnsi="Times New Roman" w:cs="Times New Roman"/>
                <w:b/>
                <w:bCs/>
                <w:i/>
                <w:iCs/>
                <w:sz w:val="24"/>
                <w:szCs w:val="24"/>
              </w:rPr>
              <w:t>p</w:t>
            </w:r>
          </w:p>
        </w:tc>
      </w:tr>
      <w:tr w:rsidR="001D1CF9" w14:paraId="2887EDBC" w14:textId="77777777" w:rsidTr="004E3154">
        <w:tc>
          <w:tcPr>
            <w:tcW w:w="1250" w:type="pct"/>
          </w:tcPr>
          <w:p w14:paraId="4A460B90" w14:textId="77777777" w:rsidR="001D1CF9" w:rsidRPr="004D294E" w:rsidRDefault="001D1CF9" w:rsidP="004E3154">
            <w:pPr>
              <w:jc w:val="both"/>
              <w:rPr>
                <w:rFonts w:ascii="Times New Roman" w:hAnsi="Times New Roman" w:cs="Times New Roman"/>
                <w:sz w:val="24"/>
                <w:szCs w:val="24"/>
              </w:rPr>
            </w:pPr>
            <w:r w:rsidRPr="004D294E">
              <w:rPr>
                <w:rFonts w:ascii="Times New Roman" w:hAnsi="Times New Roman" w:cs="Times New Roman"/>
                <w:sz w:val="24"/>
                <w:szCs w:val="24"/>
              </w:rPr>
              <w:t>IL-1</w:t>
            </w:r>
            <w:r w:rsidRPr="004D294E">
              <w:rPr>
                <w:rFonts w:ascii="Aptos Narrow" w:hAnsi="Aptos Narrow" w:cs="Times New Roman"/>
                <w:sz w:val="24"/>
                <w:szCs w:val="24"/>
              </w:rPr>
              <w:t>β</w:t>
            </w:r>
          </w:p>
        </w:tc>
        <w:tc>
          <w:tcPr>
            <w:tcW w:w="1250" w:type="pct"/>
          </w:tcPr>
          <w:p w14:paraId="7C3681FA"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0.617</w:t>
            </w:r>
            <w:r>
              <w:rPr>
                <w:rFonts w:ascii="Times New Roman" w:hAnsi="Times New Roman" w:cs="Times New Roman"/>
                <w:sz w:val="24"/>
                <w:szCs w:val="24"/>
              </w:rPr>
              <w:t xml:space="preserve"> [-0.69-1.93]</w:t>
            </w:r>
          </w:p>
        </w:tc>
        <w:tc>
          <w:tcPr>
            <w:tcW w:w="1250" w:type="pct"/>
          </w:tcPr>
          <w:p w14:paraId="52255EE3"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0.362</w:t>
            </w:r>
          </w:p>
        </w:tc>
        <w:tc>
          <w:tcPr>
            <w:tcW w:w="1250" w:type="pct"/>
          </w:tcPr>
          <w:p w14:paraId="7EB60919"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0.613</w:t>
            </w:r>
          </w:p>
        </w:tc>
      </w:tr>
      <w:tr w:rsidR="001D1CF9" w14:paraId="2982A8C6" w14:textId="77777777" w:rsidTr="004E3154">
        <w:tc>
          <w:tcPr>
            <w:tcW w:w="1250" w:type="pct"/>
          </w:tcPr>
          <w:p w14:paraId="01B7FD46" w14:textId="77777777" w:rsidR="001D1CF9" w:rsidRPr="004D294E" w:rsidRDefault="001D1CF9" w:rsidP="004E3154">
            <w:pPr>
              <w:jc w:val="both"/>
              <w:rPr>
                <w:rFonts w:ascii="Times New Roman" w:hAnsi="Times New Roman" w:cs="Times New Roman"/>
                <w:sz w:val="24"/>
                <w:szCs w:val="24"/>
              </w:rPr>
            </w:pPr>
            <w:r w:rsidRPr="004D294E">
              <w:rPr>
                <w:rFonts w:ascii="Times New Roman" w:hAnsi="Times New Roman" w:cs="Times New Roman"/>
                <w:sz w:val="24"/>
                <w:szCs w:val="24"/>
              </w:rPr>
              <w:t>IL-4</w:t>
            </w:r>
          </w:p>
        </w:tc>
        <w:tc>
          <w:tcPr>
            <w:tcW w:w="1250" w:type="pct"/>
          </w:tcPr>
          <w:p w14:paraId="0A7C0DD8"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0.349</w:t>
            </w:r>
            <w:r>
              <w:rPr>
                <w:rFonts w:ascii="Times New Roman" w:hAnsi="Times New Roman" w:cs="Times New Roman"/>
                <w:sz w:val="24"/>
                <w:szCs w:val="24"/>
              </w:rPr>
              <w:t xml:space="preserve"> [-0.57-1.27]</w:t>
            </w:r>
          </w:p>
        </w:tc>
        <w:tc>
          <w:tcPr>
            <w:tcW w:w="1250" w:type="pct"/>
          </w:tcPr>
          <w:p w14:paraId="542BDFC7"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0.462</w:t>
            </w:r>
          </w:p>
        </w:tc>
        <w:tc>
          <w:tcPr>
            <w:tcW w:w="1250" w:type="pct"/>
          </w:tcPr>
          <w:p w14:paraId="3234AAA1"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0.613</w:t>
            </w:r>
          </w:p>
        </w:tc>
      </w:tr>
      <w:tr w:rsidR="001D1CF9" w14:paraId="5287C830" w14:textId="77777777" w:rsidTr="004E3154">
        <w:tc>
          <w:tcPr>
            <w:tcW w:w="1250" w:type="pct"/>
          </w:tcPr>
          <w:p w14:paraId="149175F2" w14:textId="77777777" w:rsidR="001D1CF9" w:rsidRPr="004D294E" w:rsidRDefault="001D1CF9" w:rsidP="004E3154">
            <w:pPr>
              <w:jc w:val="both"/>
              <w:rPr>
                <w:rFonts w:ascii="Times New Roman" w:hAnsi="Times New Roman" w:cs="Times New Roman"/>
                <w:sz w:val="24"/>
                <w:szCs w:val="24"/>
              </w:rPr>
            </w:pPr>
            <w:r w:rsidRPr="004D294E">
              <w:rPr>
                <w:rFonts w:ascii="Times New Roman" w:hAnsi="Times New Roman" w:cs="Times New Roman"/>
                <w:sz w:val="24"/>
                <w:szCs w:val="24"/>
              </w:rPr>
              <w:t>IL-6</w:t>
            </w:r>
          </w:p>
        </w:tc>
        <w:tc>
          <w:tcPr>
            <w:tcW w:w="1250" w:type="pct"/>
          </w:tcPr>
          <w:p w14:paraId="2B66795E"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2.475</w:t>
            </w:r>
            <w:r>
              <w:rPr>
                <w:rFonts w:ascii="Times New Roman" w:hAnsi="Times New Roman" w:cs="Times New Roman"/>
                <w:sz w:val="24"/>
                <w:szCs w:val="24"/>
              </w:rPr>
              <w:t xml:space="preserve"> [1.33-3.62]</w:t>
            </w:r>
          </w:p>
        </w:tc>
        <w:tc>
          <w:tcPr>
            <w:tcW w:w="1250" w:type="pct"/>
          </w:tcPr>
          <w:p w14:paraId="154AC452"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0.00015</w:t>
            </w:r>
          </w:p>
        </w:tc>
        <w:tc>
          <w:tcPr>
            <w:tcW w:w="1250" w:type="pct"/>
          </w:tcPr>
          <w:p w14:paraId="705A47F7" w14:textId="77777777" w:rsidR="001D1CF9" w:rsidRPr="00CC00B6" w:rsidRDefault="001D1CF9" w:rsidP="004E3154">
            <w:pPr>
              <w:jc w:val="center"/>
              <w:rPr>
                <w:rFonts w:ascii="Times New Roman" w:hAnsi="Times New Roman" w:cs="Times New Roman"/>
                <w:b/>
                <w:bCs/>
                <w:sz w:val="24"/>
                <w:szCs w:val="24"/>
              </w:rPr>
            </w:pPr>
            <w:r w:rsidRPr="00CC00B6">
              <w:rPr>
                <w:rFonts w:ascii="Times New Roman" w:hAnsi="Times New Roman" w:cs="Times New Roman"/>
                <w:b/>
                <w:bCs/>
                <w:sz w:val="24"/>
                <w:szCs w:val="24"/>
              </w:rPr>
              <w:t>0.00135</w:t>
            </w:r>
          </w:p>
        </w:tc>
      </w:tr>
      <w:tr w:rsidR="001D1CF9" w14:paraId="692D5E0E" w14:textId="77777777" w:rsidTr="004E3154">
        <w:tc>
          <w:tcPr>
            <w:tcW w:w="1250" w:type="pct"/>
          </w:tcPr>
          <w:p w14:paraId="3E17C436" w14:textId="77777777" w:rsidR="001D1CF9" w:rsidRPr="004D294E" w:rsidRDefault="001D1CF9" w:rsidP="004E3154">
            <w:pPr>
              <w:jc w:val="both"/>
              <w:rPr>
                <w:rFonts w:ascii="Times New Roman" w:hAnsi="Times New Roman" w:cs="Times New Roman"/>
                <w:sz w:val="24"/>
                <w:szCs w:val="24"/>
              </w:rPr>
            </w:pPr>
            <w:r w:rsidRPr="004D294E">
              <w:rPr>
                <w:rFonts w:ascii="Times New Roman" w:hAnsi="Times New Roman" w:cs="Times New Roman"/>
                <w:sz w:val="24"/>
                <w:szCs w:val="24"/>
              </w:rPr>
              <w:t>IL-8</w:t>
            </w:r>
          </w:p>
        </w:tc>
        <w:tc>
          <w:tcPr>
            <w:tcW w:w="1250" w:type="pct"/>
          </w:tcPr>
          <w:p w14:paraId="30CF1F3D"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0.371</w:t>
            </w:r>
            <w:r>
              <w:rPr>
                <w:rFonts w:ascii="Times New Roman" w:hAnsi="Times New Roman" w:cs="Times New Roman"/>
                <w:sz w:val="24"/>
                <w:szCs w:val="24"/>
              </w:rPr>
              <w:t xml:space="preserve"> [-1.05-1.80]</w:t>
            </w:r>
          </w:p>
        </w:tc>
        <w:tc>
          <w:tcPr>
            <w:tcW w:w="1250" w:type="pct"/>
          </w:tcPr>
          <w:p w14:paraId="14EE35EA"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0.613</w:t>
            </w:r>
          </w:p>
        </w:tc>
        <w:tc>
          <w:tcPr>
            <w:tcW w:w="1250" w:type="pct"/>
          </w:tcPr>
          <w:p w14:paraId="119701D1"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0.613</w:t>
            </w:r>
          </w:p>
        </w:tc>
      </w:tr>
      <w:tr w:rsidR="001D1CF9" w14:paraId="327A89CA" w14:textId="77777777" w:rsidTr="004E3154">
        <w:tc>
          <w:tcPr>
            <w:tcW w:w="1250" w:type="pct"/>
          </w:tcPr>
          <w:p w14:paraId="0C7E2298" w14:textId="77777777" w:rsidR="001D1CF9" w:rsidRPr="004D294E" w:rsidRDefault="001D1CF9" w:rsidP="004E3154">
            <w:pPr>
              <w:jc w:val="both"/>
              <w:rPr>
                <w:rFonts w:ascii="Times New Roman" w:hAnsi="Times New Roman" w:cs="Times New Roman"/>
                <w:sz w:val="24"/>
                <w:szCs w:val="24"/>
              </w:rPr>
            </w:pPr>
            <w:r w:rsidRPr="004D294E">
              <w:rPr>
                <w:rFonts w:ascii="Times New Roman" w:hAnsi="Times New Roman" w:cs="Times New Roman"/>
                <w:sz w:val="24"/>
                <w:szCs w:val="24"/>
              </w:rPr>
              <w:t>IL-10</w:t>
            </w:r>
          </w:p>
        </w:tc>
        <w:tc>
          <w:tcPr>
            <w:tcW w:w="1250" w:type="pct"/>
          </w:tcPr>
          <w:p w14:paraId="5E01DD16"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0.978</w:t>
            </w:r>
            <w:r>
              <w:rPr>
                <w:rFonts w:ascii="Times New Roman" w:hAnsi="Times New Roman" w:cs="Times New Roman"/>
                <w:sz w:val="24"/>
                <w:szCs w:val="24"/>
              </w:rPr>
              <w:t xml:space="preserve"> [-0.59-2.55]</w:t>
            </w:r>
          </w:p>
        </w:tc>
        <w:tc>
          <w:tcPr>
            <w:tcW w:w="1250" w:type="pct"/>
          </w:tcPr>
          <w:p w14:paraId="088B73DB"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0.230</w:t>
            </w:r>
          </w:p>
        </w:tc>
        <w:tc>
          <w:tcPr>
            <w:tcW w:w="1250" w:type="pct"/>
          </w:tcPr>
          <w:p w14:paraId="68E84A62"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0.613</w:t>
            </w:r>
          </w:p>
        </w:tc>
      </w:tr>
      <w:tr w:rsidR="001D1CF9" w14:paraId="412E41BA" w14:textId="77777777" w:rsidTr="004E3154">
        <w:tc>
          <w:tcPr>
            <w:tcW w:w="1250" w:type="pct"/>
          </w:tcPr>
          <w:p w14:paraId="2204CB59" w14:textId="77777777" w:rsidR="001D1CF9" w:rsidRPr="004D294E" w:rsidRDefault="001D1CF9" w:rsidP="004E3154">
            <w:pPr>
              <w:jc w:val="both"/>
              <w:rPr>
                <w:rFonts w:ascii="Times New Roman" w:hAnsi="Times New Roman" w:cs="Times New Roman"/>
                <w:sz w:val="24"/>
                <w:szCs w:val="24"/>
              </w:rPr>
            </w:pPr>
            <w:r w:rsidRPr="004D294E">
              <w:rPr>
                <w:rFonts w:ascii="Times New Roman" w:hAnsi="Times New Roman" w:cs="Times New Roman"/>
                <w:sz w:val="24"/>
                <w:szCs w:val="24"/>
              </w:rPr>
              <w:t>IL-12/IL-23p40</w:t>
            </w:r>
          </w:p>
        </w:tc>
        <w:tc>
          <w:tcPr>
            <w:tcW w:w="1250" w:type="pct"/>
          </w:tcPr>
          <w:p w14:paraId="2CF9DB51"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0.255</w:t>
            </w:r>
            <w:r>
              <w:rPr>
                <w:rFonts w:ascii="Times New Roman" w:hAnsi="Times New Roman" w:cs="Times New Roman"/>
                <w:sz w:val="24"/>
                <w:szCs w:val="24"/>
              </w:rPr>
              <w:t xml:space="preserve"> [-0.72-1.23]</w:t>
            </w:r>
          </w:p>
        </w:tc>
        <w:tc>
          <w:tcPr>
            <w:tcW w:w="1250" w:type="pct"/>
          </w:tcPr>
          <w:p w14:paraId="085F7EEE"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0.611</w:t>
            </w:r>
          </w:p>
        </w:tc>
        <w:tc>
          <w:tcPr>
            <w:tcW w:w="1250" w:type="pct"/>
          </w:tcPr>
          <w:p w14:paraId="52953565"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0.613</w:t>
            </w:r>
          </w:p>
        </w:tc>
      </w:tr>
      <w:tr w:rsidR="001D1CF9" w14:paraId="5B296EAC" w14:textId="77777777" w:rsidTr="004E3154">
        <w:tc>
          <w:tcPr>
            <w:tcW w:w="1250" w:type="pct"/>
          </w:tcPr>
          <w:p w14:paraId="269C54D6" w14:textId="77777777" w:rsidR="001D1CF9" w:rsidRPr="004D294E" w:rsidRDefault="001D1CF9" w:rsidP="004E3154">
            <w:pPr>
              <w:jc w:val="both"/>
              <w:rPr>
                <w:rFonts w:ascii="Times New Roman" w:hAnsi="Times New Roman" w:cs="Times New Roman"/>
                <w:sz w:val="24"/>
                <w:szCs w:val="24"/>
              </w:rPr>
            </w:pPr>
            <w:r w:rsidRPr="004D294E">
              <w:rPr>
                <w:rFonts w:ascii="Times New Roman" w:hAnsi="Times New Roman" w:cs="Times New Roman"/>
                <w:sz w:val="24"/>
                <w:szCs w:val="24"/>
              </w:rPr>
              <w:t>IFN-</w:t>
            </w:r>
            <w:r w:rsidRPr="004D294E">
              <w:rPr>
                <w:rFonts w:ascii="Aptos Narrow" w:hAnsi="Aptos Narrow" w:cs="Times New Roman"/>
                <w:sz w:val="24"/>
                <w:szCs w:val="24"/>
              </w:rPr>
              <w:t>α</w:t>
            </w:r>
          </w:p>
        </w:tc>
        <w:tc>
          <w:tcPr>
            <w:tcW w:w="1250" w:type="pct"/>
          </w:tcPr>
          <w:p w14:paraId="566F6E88"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0.242</w:t>
            </w:r>
            <w:r>
              <w:rPr>
                <w:rFonts w:ascii="Times New Roman" w:hAnsi="Times New Roman" w:cs="Times New Roman"/>
                <w:sz w:val="24"/>
                <w:szCs w:val="24"/>
              </w:rPr>
              <w:t xml:space="preserve"> [-0.56-1.05]</w:t>
            </w:r>
          </w:p>
        </w:tc>
        <w:tc>
          <w:tcPr>
            <w:tcW w:w="1250" w:type="pct"/>
          </w:tcPr>
          <w:p w14:paraId="0BF03A9D"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0.560</w:t>
            </w:r>
          </w:p>
        </w:tc>
        <w:tc>
          <w:tcPr>
            <w:tcW w:w="1250" w:type="pct"/>
          </w:tcPr>
          <w:p w14:paraId="1A055F65"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0.613</w:t>
            </w:r>
          </w:p>
        </w:tc>
      </w:tr>
      <w:tr w:rsidR="001D1CF9" w14:paraId="5100F7D5" w14:textId="77777777" w:rsidTr="004E3154">
        <w:tc>
          <w:tcPr>
            <w:tcW w:w="1250" w:type="pct"/>
          </w:tcPr>
          <w:p w14:paraId="5F87932D" w14:textId="77777777" w:rsidR="001D1CF9" w:rsidRPr="004D294E" w:rsidRDefault="001D1CF9" w:rsidP="004E3154">
            <w:pPr>
              <w:jc w:val="both"/>
              <w:rPr>
                <w:rFonts w:ascii="Times New Roman" w:hAnsi="Times New Roman" w:cs="Times New Roman"/>
                <w:sz w:val="24"/>
                <w:szCs w:val="24"/>
              </w:rPr>
            </w:pPr>
            <w:r w:rsidRPr="004D294E">
              <w:rPr>
                <w:rFonts w:ascii="Times New Roman" w:hAnsi="Times New Roman" w:cs="Times New Roman"/>
                <w:sz w:val="24"/>
                <w:szCs w:val="24"/>
              </w:rPr>
              <w:t>IFN-</w:t>
            </w:r>
            <w:r w:rsidRPr="004D294E">
              <w:rPr>
                <w:rFonts w:ascii="Aptos Narrow" w:hAnsi="Aptos Narrow" w:cs="Times New Roman"/>
                <w:sz w:val="24"/>
                <w:szCs w:val="24"/>
              </w:rPr>
              <w:t>γ</w:t>
            </w:r>
          </w:p>
        </w:tc>
        <w:tc>
          <w:tcPr>
            <w:tcW w:w="1250" w:type="pct"/>
          </w:tcPr>
          <w:p w14:paraId="6F260541"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0.400</w:t>
            </w:r>
            <w:r>
              <w:rPr>
                <w:rFonts w:ascii="Times New Roman" w:hAnsi="Times New Roman" w:cs="Times New Roman"/>
                <w:sz w:val="24"/>
                <w:szCs w:val="24"/>
              </w:rPr>
              <w:t xml:space="preserve"> [-0.006-0.86]</w:t>
            </w:r>
          </w:p>
        </w:tc>
        <w:tc>
          <w:tcPr>
            <w:tcW w:w="1250" w:type="pct"/>
          </w:tcPr>
          <w:p w14:paraId="20A47BA3"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0.099</w:t>
            </w:r>
          </w:p>
        </w:tc>
        <w:tc>
          <w:tcPr>
            <w:tcW w:w="1250" w:type="pct"/>
          </w:tcPr>
          <w:p w14:paraId="6127DAC7"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0.445</w:t>
            </w:r>
          </w:p>
        </w:tc>
      </w:tr>
      <w:tr w:rsidR="001D1CF9" w14:paraId="1C6A3765" w14:textId="77777777" w:rsidTr="004E3154">
        <w:tc>
          <w:tcPr>
            <w:tcW w:w="1250" w:type="pct"/>
          </w:tcPr>
          <w:p w14:paraId="2D3083AB" w14:textId="77777777" w:rsidR="001D1CF9" w:rsidRPr="004D294E" w:rsidRDefault="001D1CF9" w:rsidP="004E3154">
            <w:pPr>
              <w:jc w:val="both"/>
              <w:rPr>
                <w:rFonts w:ascii="Times New Roman" w:hAnsi="Times New Roman" w:cs="Times New Roman"/>
                <w:sz w:val="24"/>
                <w:szCs w:val="24"/>
              </w:rPr>
            </w:pPr>
            <w:r w:rsidRPr="004D294E">
              <w:rPr>
                <w:rFonts w:ascii="Times New Roman" w:hAnsi="Times New Roman" w:cs="Times New Roman"/>
                <w:sz w:val="24"/>
                <w:szCs w:val="24"/>
              </w:rPr>
              <w:t>TNF-</w:t>
            </w:r>
            <w:r w:rsidRPr="004D294E">
              <w:rPr>
                <w:rFonts w:ascii="Aptos Narrow" w:hAnsi="Aptos Narrow" w:cs="Times New Roman"/>
                <w:sz w:val="24"/>
                <w:szCs w:val="24"/>
              </w:rPr>
              <w:t>α</w:t>
            </w:r>
          </w:p>
        </w:tc>
        <w:tc>
          <w:tcPr>
            <w:tcW w:w="1250" w:type="pct"/>
          </w:tcPr>
          <w:p w14:paraId="3937F011"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-0.426</w:t>
            </w:r>
            <w:r>
              <w:rPr>
                <w:rFonts w:ascii="Times New Roman" w:hAnsi="Times New Roman" w:cs="Times New Roman"/>
                <w:sz w:val="24"/>
                <w:szCs w:val="24"/>
              </w:rPr>
              <w:t>[-1.48-0.63]</w:t>
            </w:r>
          </w:p>
        </w:tc>
        <w:tc>
          <w:tcPr>
            <w:tcW w:w="1250" w:type="pct"/>
          </w:tcPr>
          <w:p w14:paraId="320197D0"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0.433</w:t>
            </w:r>
          </w:p>
        </w:tc>
        <w:tc>
          <w:tcPr>
            <w:tcW w:w="1250" w:type="pct"/>
          </w:tcPr>
          <w:p w14:paraId="0229E606" w14:textId="77777777" w:rsidR="001D1CF9" w:rsidRPr="004D294E" w:rsidRDefault="001D1CF9" w:rsidP="004E3154">
            <w:pPr>
              <w:jc w:val="center"/>
              <w:rPr>
                <w:rFonts w:ascii="Times New Roman" w:hAnsi="Times New Roman" w:cs="Times New Roman"/>
                <w:sz w:val="24"/>
                <w:szCs w:val="24"/>
              </w:rPr>
            </w:pPr>
            <w:r w:rsidRPr="004D294E">
              <w:rPr>
                <w:rFonts w:ascii="Times New Roman" w:hAnsi="Times New Roman" w:cs="Times New Roman"/>
                <w:sz w:val="24"/>
                <w:szCs w:val="24"/>
              </w:rPr>
              <w:t>0.613</w:t>
            </w:r>
          </w:p>
        </w:tc>
      </w:tr>
    </w:tbl>
    <w:p w14:paraId="31DBCE8C" w14:textId="77777777" w:rsidR="001D1CF9" w:rsidRDefault="001D1CF9" w:rsidP="001D1CF9">
      <w:pPr>
        <w:spacing w:line="240" w:lineRule="auto"/>
        <w:jc w:val="both"/>
        <w:rPr>
          <w:rFonts w:ascii="Times New Roman" w:hAnsi="Times New Roman" w:cs="Times New Roman"/>
          <w:b/>
          <w:bCs/>
          <w:sz w:val="24"/>
          <w:szCs w:val="24"/>
        </w:rPr>
      </w:pPr>
    </w:p>
    <w:p w14:paraId="588FABD2" w14:textId="77777777" w:rsidR="001D1CF9" w:rsidRDefault="001D1CF9" w:rsidP="001D1CF9">
      <w:pPr>
        <w:spacing w:line="240" w:lineRule="auto"/>
        <w:jc w:val="both"/>
        <w:rPr>
          <w:rFonts w:ascii="Times New Roman" w:hAnsi="Times New Roman" w:cs="Times New Roman"/>
          <w:b/>
          <w:bCs/>
          <w:sz w:val="24"/>
          <w:szCs w:val="24"/>
        </w:rPr>
      </w:pPr>
    </w:p>
    <w:p w14:paraId="1ABF84C3" w14:textId="77777777" w:rsidR="001D1CF9" w:rsidRDefault="001D1CF9" w:rsidP="001D1CF9">
      <w:pPr>
        <w:spacing w:line="240" w:lineRule="auto"/>
        <w:jc w:val="both"/>
        <w:rPr>
          <w:rFonts w:ascii="Times New Roman" w:hAnsi="Times New Roman" w:cs="Times New Roman"/>
          <w:b/>
          <w:bCs/>
          <w:sz w:val="24"/>
          <w:szCs w:val="24"/>
        </w:rPr>
        <w:sectPr w:rsidR="001D1CF9" w:rsidSect="001D1CF9">
          <w:pgSz w:w="16838" w:h="11906" w:orient="landscape"/>
          <w:pgMar w:top="1701" w:right="1417" w:bottom="1701" w:left="1417" w:header="708" w:footer="708" w:gutter="0"/>
          <w:lnNumType w:countBy="1" w:restart="continuous"/>
          <w:cols w:space="708"/>
          <w:docGrid w:linePitch="360"/>
        </w:sectPr>
      </w:pPr>
    </w:p>
    <w:p w14:paraId="4054EEC7"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F9"/>
    <w:rsid w:val="000C4033"/>
    <w:rsid w:val="00173ED8"/>
    <w:rsid w:val="001D1CF9"/>
    <w:rsid w:val="002F50B1"/>
    <w:rsid w:val="004B42CB"/>
    <w:rsid w:val="005F2B46"/>
    <w:rsid w:val="006E1731"/>
    <w:rsid w:val="00866D74"/>
    <w:rsid w:val="00882A73"/>
    <w:rsid w:val="00906905"/>
    <w:rsid w:val="0095305D"/>
    <w:rsid w:val="00B10170"/>
    <w:rsid w:val="00B260B7"/>
    <w:rsid w:val="00B85331"/>
    <w:rsid w:val="00C94D66"/>
    <w:rsid w:val="00DE7E69"/>
    <w:rsid w:val="00E023F9"/>
    <w:rsid w:val="00E96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E6F8"/>
  <w15:chartTrackingRefBased/>
  <w15:docId w15:val="{D195FFB6-483A-4347-9153-7669204D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CF9"/>
    <w:pPr>
      <w:spacing w:line="259"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1D1C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1D1C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1D1CF9"/>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1D1CF9"/>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1D1CF9"/>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1D1CF9"/>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1D1CF9"/>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1D1CF9"/>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1D1CF9"/>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CF9"/>
    <w:rPr>
      <w:rFonts w:eastAsiaTheme="majorEastAsia" w:cstheme="majorBidi"/>
      <w:color w:val="272727" w:themeColor="text1" w:themeTint="D8"/>
    </w:rPr>
  </w:style>
  <w:style w:type="paragraph" w:styleId="Title">
    <w:name w:val="Title"/>
    <w:basedOn w:val="Normal"/>
    <w:next w:val="Normal"/>
    <w:link w:val="TitleChar"/>
    <w:uiPriority w:val="10"/>
    <w:qFormat/>
    <w:rsid w:val="001D1CF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1D1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CF9"/>
    <w:pPr>
      <w:numPr>
        <w:ilvl w:val="1"/>
      </w:numPr>
      <w:spacing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1D1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CF9"/>
    <w:pPr>
      <w:spacing w:before="160" w:line="278" w:lineRule="auto"/>
      <w:jc w:val="center"/>
    </w:pPr>
    <w:rPr>
      <w:rFonts w:eastAsia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1D1CF9"/>
    <w:rPr>
      <w:i/>
      <w:iCs/>
      <w:color w:val="404040" w:themeColor="text1" w:themeTint="BF"/>
    </w:rPr>
  </w:style>
  <w:style w:type="paragraph" w:styleId="ListParagraph">
    <w:name w:val="List Paragraph"/>
    <w:basedOn w:val="Normal"/>
    <w:uiPriority w:val="34"/>
    <w:qFormat/>
    <w:rsid w:val="001D1CF9"/>
    <w:pPr>
      <w:spacing w:line="278" w:lineRule="auto"/>
      <w:ind w:left="720"/>
      <w:contextualSpacing/>
    </w:pPr>
    <w:rPr>
      <w:rFonts w:eastAsiaTheme="minorHAnsi"/>
      <w:kern w:val="2"/>
      <w:sz w:val="24"/>
      <w:szCs w:val="24"/>
      <w:lang w:val="en-IN"/>
      <w14:ligatures w14:val="standardContextual"/>
    </w:rPr>
  </w:style>
  <w:style w:type="character" w:styleId="IntenseEmphasis">
    <w:name w:val="Intense Emphasis"/>
    <w:basedOn w:val="DefaultParagraphFont"/>
    <w:uiPriority w:val="21"/>
    <w:qFormat/>
    <w:rsid w:val="001D1CF9"/>
    <w:rPr>
      <w:i/>
      <w:iCs/>
      <w:color w:val="0F4761" w:themeColor="accent1" w:themeShade="BF"/>
    </w:rPr>
  </w:style>
  <w:style w:type="paragraph" w:styleId="IntenseQuote">
    <w:name w:val="Intense Quote"/>
    <w:basedOn w:val="Normal"/>
    <w:next w:val="Normal"/>
    <w:link w:val="IntenseQuoteChar"/>
    <w:uiPriority w:val="30"/>
    <w:qFormat/>
    <w:rsid w:val="001D1C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1D1CF9"/>
    <w:rPr>
      <w:i/>
      <w:iCs/>
      <w:color w:val="0F4761" w:themeColor="accent1" w:themeShade="BF"/>
    </w:rPr>
  </w:style>
  <w:style w:type="character" w:styleId="IntenseReference">
    <w:name w:val="Intense Reference"/>
    <w:basedOn w:val="DefaultParagraphFont"/>
    <w:uiPriority w:val="32"/>
    <w:qFormat/>
    <w:rsid w:val="001D1CF9"/>
    <w:rPr>
      <w:b/>
      <w:bCs/>
      <w:smallCaps/>
      <w:color w:val="0F4761" w:themeColor="accent1" w:themeShade="BF"/>
      <w:spacing w:val="5"/>
    </w:rPr>
  </w:style>
  <w:style w:type="table" w:styleId="TableGrid">
    <w:name w:val="Table Grid"/>
    <w:basedOn w:val="TableNormal"/>
    <w:uiPriority w:val="39"/>
    <w:rsid w:val="001D1CF9"/>
    <w:pPr>
      <w:spacing w:after="0" w:line="240" w:lineRule="auto"/>
    </w:pPr>
    <w:rPr>
      <w:rFonts w:eastAsiaTheme="minorEastAsi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D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2026-07-01T14:49:00Z</dcterms:created>
  <dcterms:modified xsi:type="dcterms:W3CDTF">2026-07-01T14:50:00Z</dcterms:modified>
</cp:coreProperties>
</file>