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7AF96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Supplementary Table 1. Medi</w:t>
      </w:r>
      <w:r>
        <w:rPr>
          <w:rFonts w:hint="default" w:ascii="Arial Regular" w:hAnsi="Arial Regular" w:cs="Arial Regular"/>
          <w:color w:val="000000"/>
          <w:sz w:val="20"/>
          <w:szCs w:val="20"/>
        </w:rPr>
        <w:t>an scores (interquartile range) for each scale among patients with varying degrees of pruritus severity</w:t>
      </w:r>
    </w:p>
    <w:tbl>
      <w:tblPr>
        <w:tblStyle w:val="15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978"/>
        <w:gridCol w:w="1195"/>
        <w:gridCol w:w="1451"/>
        <w:gridCol w:w="1234"/>
        <w:gridCol w:w="1510"/>
        <w:gridCol w:w="1611"/>
      </w:tblGrid>
      <w:tr w14:paraId="7948004E">
        <w:tc>
          <w:tcPr>
            <w:tcW w:w="1703" w:type="dxa"/>
          </w:tcPr>
          <w:p w14:paraId="3E994D4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bookmarkStart w:id="0" w:name="_GoBack"/>
          </w:p>
        </w:tc>
        <w:tc>
          <w:tcPr>
            <w:tcW w:w="1978" w:type="dxa"/>
          </w:tcPr>
          <w:p w14:paraId="2BFE15F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Score Interpretation</w:t>
            </w:r>
          </w:p>
        </w:tc>
        <w:tc>
          <w:tcPr>
            <w:tcW w:w="1195" w:type="dxa"/>
          </w:tcPr>
          <w:p w14:paraId="0685432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Score Range</w:t>
            </w:r>
          </w:p>
        </w:tc>
        <w:tc>
          <w:tcPr>
            <w:tcW w:w="1451" w:type="dxa"/>
          </w:tcPr>
          <w:p w14:paraId="2CF3B45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Total Pruritus Population (n=164)</w:t>
            </w:r>
          </w:p>
          <w:p w14:paraId="50F0683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 (IQR)</w:t>
            </w:r>
            <w:r>
              <w:rPr>
                <w:rFonts w:hint="default" w:ascii="Arial Regular" w:hAnsi="Arial Regular" w:cs="Arial Regular"/>
                <w:sz w:val="20"/>
                <w:szCs w:val="20"/>
              </w:rPr>
              <w:tab/>
            </w:r>
          </w:p>
        </w:tc>
        <w:tc>
          <w:tcPr>
            <w:tcW w:w="1234" w:type="dxa"/>
          </w:tcPr>
          <w:p w14:paraId="22408B8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Mild Pruritus (n=118)</w:t>
            </w:r>
          </w:p>
          <w:p w14:paraId="5AF096C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 (IQR)</w:t>
            </w:r>
          </w:p>
        </w:tc>
        <w:tc>
          <w:tcPr>
            <w:tcW w:w="1510" w:type="dxa"/>
          </w:tcPr>
          <w:p w14:paraId="5A2B0E3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Moderate Pruritus (n=32)</w:t>
            </w:r>
          </w:p>
          <w:p w14:paraId="3C763EF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 (IQR)</w:t>
            </w:r>
          </w:p>
        </w:tc>
        <w:tc>
          <w:tcPr>
            <w:tcW w:w="1611" w:type="dxa"/>
          </w:tcPr>
          <w:p w14:paraId="09526AA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Severe Pruritus (n=14)</w:t>
            </w:r>
          </w:p>
          <w:p w14:paraId="2D4DAD4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 (IQR)</w:t>
            </w:r>
          </w:p>
        </w:tc>
      </w:tr>
      <w:tr w14:paraId="494B0BB2">
        <w:tc>
          <w:tcPr>
            <w:tcW w:w="1703" w:type="dxa"/>
          </w:tcPr>
          <w:p w14:paraId="30E2253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FACIT-Fatigue score</w:t>
            </w:r>
          </w:p>
        </w:tc>
        <w:tc>
          <w:tcPr>
            <w:tcW w:w="1978" w:type="dxa"/>
          </w:tcPr>
          <w:p w14:paraId="25BDADD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Higher score indicates lower fatigue level</w:t>
            </w:r>
          </w:p>
        </w:tc>
        <w:tc>
          <w:tcPr>
            <w:tcW w:w="1195" w:type="dxa"/>
          </w:tcPr>
          <w:p w14:paraId="78D6E6E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451" w:type="dxa"/>
          </w:tcPr>
          <w:p w14:paraId="388DE87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234" w:type="dxa"/>
          </w:tcPr>
          <w:p w14:paraId="64646AE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510" w:type="dxa"/>
          </w:tcPr>
          <w:p w14:paraId="37233F2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611" w:type="dxa"/>
          </w:tcPr>
          <w:p w14:paraId="6F14A5DB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</w:tr>
      <w:tr w14:paraId="67E1C510">
        <w:tc>
          <w:tcPr>
            <w:tcW w:w="1703" w:type="dxa"/>
          </w:tcPr>
          <w:p w14:paraId="290B77F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Total</w:t>
            </w:r>
          </w:p>
        </w:tc>
        <w:tc>
          <w:tcPr>
            <w:tcW w:w="1978" w:type="dxa"/>
          </w:tcPr>
          <w:p w14:paraId="7345CC1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1195" w:type="dxa"/>
          </w:tcPr>
          <w:p w14:paraId="1BA40DE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0-52</w:t>
            </w:r>
          </w:p>
        </w:tc>
        <w:tc>
          <w:tcPr>
            <w:tcW w:w="1451" w:type="dxa"/>
          </w:tcPr>
          <w:p w14:paraId="2EEC4A0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41 (10)</w:t>
            </w:r>
          </w:p>
        </w:tc>
        <w:tc>
          <w:tcPr>
            <w:tcW w:w="1234" w:type="dxa"/>
          </w:tcPr>
          <w:p w14:paraId="07916C4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43 (9)</w:t>
            </w:r>
          </w:p>
        </w:tc>
        <w:tc>
          <w:tcPr>
            <w:tcW w:w="1510" w:type="dxa"/>
          </w:tcPr>
          <w:p w14:paraId="1E04BE6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38 (8)</w:t>
            </w:r>
          </w:p>
        </w:tc>
        <w:tc>
          <w:tcPr>
            <w:tcW w:w="1611" w:type="dxa"/>
          </w:tcPr>
          <w:p w14:paraId="49FFF8E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31 (17)</w:t>
            </w:r>
          </w:p>
        </w:tc>
      </w:tr>
      <w:tr w14:paraId="2D43F2C6">
        <w:tc>
          <w:tcPr>
            <w:tcW w:w="1703" w:type="dxa"/>
          </w:tcPr>
          <w:p w14:paraId="7585511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EQ-5D-3L score</w:t>
            </w:r>
          </w:p>
        </w:tc>
        <w:tc>
          <w:tcPr>
            <w:tcW w:w="1978" w:type="dxa"/>
          </w:tcPr>
          <w:p w14:paraId="6304854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Higher score indicates better quality of life</w:t>
            </w:r>
          </w:p>
        </w:tc>
        <w:tc>
          <w:tcPr>
            <w:tcW w:w="1195" w:type="dxa"/>
          </w:tcPr>
          <w:p w14:paraId="18F29C5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451" w:type="dxa"/>
          </w:tcPr>
          <w:p w14:paraId="620DF57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234" w:type="dxa"/>
          </w:tcPr>
          <w:p w14:paraId="3B2B2C3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510" w:type="dxa"/>
          </w:tcPr>
          <w:p w14:paraId="669B862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611" w:type="dxa"/>
          </w:tcPr>
          <w:p w14:paraId="7D364DC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</w:tr>
      <w:tr w14:paraId="783B229C">
        <w:tc>
          <w:tcPr>
            <w:tcW w:w="1703" w:type="dxa"/>
          </w:tcPr>
          <w:p w14:paraId="3A9A0B9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EQ-5D Index</w:t>
            </w:r>
          </w:p>
        </w:tc>
        <w:tc>
          <w:tcPr>
            <w:tcW w:w="1978" w:type="dxa"/>
          </w:tcPr>
          <w:p w14:paraId="0DD79A3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51BCA0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-0.391—1.000</w:t>
            </w:r>
          </w:p>
        </w:tc>
        <w:tc>
          <w:tcPr>
            <w:tcW w:w="1451" w:type="dxa"/>
          </w:tcPr>
          <w:p w14:paraId="78BBF08B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 (0.0359)</w:t>
            </w:r>
          </w:p>
        </w:tc>
        <w:tc>
          <w:tcPr>
            <w:tcW w:w="1234" w:type="dxa"/>
          </w:tcPr>
          <w:p w14:paraId="2CE330E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 (0)</w:t>
            </w:r>
          </w:p>
        </w:tc>
        <w:tc>
          <w:tcPr>
            <w:tcW w:w="1510" w:type="dxa"/>
          </w:tcPr>
          <w:p w14:paraId="365AD95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0.964 (0.077)</w:t>
            </w:r>
          </w:p>
        </w:tc>
        <w:tc>
          <w:tcPr>
            <w:tcW w:w="1611" w:type="dxa"/>
          </w:tcPr>
          <w:p w14:paraId="5BF91D7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0.887 (0.178)</w:t>
            </w:r>
          </w:p>
        </w:tc>
      </w:tr>
      <w:tr w14:paraId="5805694A">
        <w:tc>
          <w:tcPr>
            <w:tcW w:w="1703" w:type="dxa"/>
          </w:tcPr>
          <w:p w14:paraId="0DCA872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EQ-5D VAS</w:t>
            </w:r>
          </w:p>
        </w:tc>
        <w:tc>
          <w:tcPr>
            <w:tcW w:w="1978" w:type="dxa"/>
          </w:tcPr>
          <w:p w14:paraId="436A2B8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1195" w:type="dxa"/>
          </w:tcPr>
          <w:p w14:paraId="67D7A36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1-100</w:t>
            </w:r>
          </w:p>
        </w:tc>
        <w:tc>
          <w:tcPr>
            <w:tcW w:w="1451" w:type="dxa"/>
          </w:tcPr>
          <w:p w14:paraId="1FBFEA3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75 (13)</w:t>
            </w:r>
          </w:p>
        </w:tc>
        <w:tc>
          <w:tcPr>
            <w:tcW w:w="1234" w:type="dxa"/>
          </w:tcPr>
          <w:p w14:paraId="75A011F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78 (10)</w:t>
            </w:r>
          </w:p>
        </w:tc>
        <w:tc>
          <w:tcPr>
            <w:tcW w:w="1510" w:type="dxa"/>
          </w:tcPr>
          <w:p w14:paraId="5DB657A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70 (22)</w:t>
            </w:r>
          </w:p>
        </w:tc>
        <w:tc>
          <w:tcPr>
            <w:tcW w:w="1611" w:type="dxa"/>
          </w:tcPr>
          <w:p w14:paraId="6065F35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62.5 (33)</w:t>
            </w:r>
          </w:p>
        </w:tc>
      </w:tr>
      <w:tr w14:paraId="77E2986E">
        <w:tc>
          <w:tcPr>
            <w:tcW w:w="1703" w:type="dxa"/>
          </w:tcPr>
          <w:p w14:paraId="742C7210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HADS</w:t>
            </w:r>
          </w:p>
        </w:tc>
        <w:tc>
          <w:tcPr>
            <w:tcW w:w="1978" w:type="dxa"/>
          </w:tcPr>
          <w:p w14:paraId="6B8572F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Higher score indicates higher anxiety/depression level</w:t>
            </w:r>
          </w:p>
        </w:tc>
        <w:tc>
          <w:tcPr>
            <w:tcW w:w="1195" w:type="dxa"/>
          </w:tcPr>
          <w:p w14:paraId="22A1CE7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451" w:type="dxa"/>
          </w:tcPr>
          <w:p w14:paraId="28EA38E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234" w:type="dxa"/>
          </w:tcPr>
          <w:p w14:paraId="5F6D3E9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510" w:type="dxa"/>
          </w:tcPr>
          <w:p w14:paraId="1D24386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  <w:tc>
          <w:tcPr>
            <w:tcW w:w="1611" w:type="dxa"/>
          </w:tcPr>
          <w:p w14:paraId="74E3826E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—</w:t>
            </w:r>
          </w:p>
        </w:tc>
      </w:tr>
      <w:tr w14:paraId="63AA65C2">
        <w:tc>
          <w:tcPr>
            <w:tcW w:w="1703" w:type="dxa"/>
          </w:tcPr>
          <w:p w14:paraId="2C0C4E30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HADS-A</w:t>
            </w:r>
          </w:p>
        </w:tc>
        <w:tc>
          <w:tcPr>
            <w:tcW w:w="1978" w:type="dxa"/>
          </w:tcPr>
          <w:p w14:paraId="14E3AC4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1195" w:type="dxa"/>
          </w:tcPr>
          <w:p w14:paraId="326364F0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0-21</w:t>
            </w:r>
          </w:p>
        </w:tc>
        <w:tc>
          <w:tcPr>
            <w:tcW w:w="1451" w:type="dxa"/>
          </w:tcPr>
          <w:p w14:paraId="638E228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5 (5)</w:t>
            </w:r>
          </w:p>
        </w:tc>
        <w:tc>
          <w:tcPr>
            <w:tcW w:w="1234" w:type="dxa"/>
          </w:tcPr>
          <w:p w14:paraId="7A2A8C5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5 (6)</w:t>
            </w:r>
          </w:p>
        </w:tc>
        <w:tc>
          <w:tcPr>
            <w:tcW w:w="1510" w:type="dxa"/>
          </w:tcPr>
          <w:p w14:paraId="2A3190C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6 (5)</w:t>
            </w:r>
          </w:p>
        </w:tc>
        <w:tc>
          <w:tcPr>
            <w:tcW w:w="1611" w:type="dxa"/>
          </w:tcPr>
          <w:p w14:paraId="16A6CA6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10 (6)</w:t>
            </w:r>
          </w:p>
        </w:tc>
      </w:tr>
      <w:tr w14:paraId="72E34A88">
        <w:tc>
          <w:tcPr>
            <w:tcW w:w="1703" w:type="dxa"/>
          </w:tcPr>
          <w:p w14:paraId="2EA5B16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HADS-D</w:t>
            </w:r>
          </w:p>
        </w:tc>
        <w:tc>
          <w:tcPr>
            <w:tcW w:w="1978" w:type="dxa"/>
          </w:tcPr>
          <w:p w14:paraId="20A4F8D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1195" w:type="dxa"/>
          </w:tcPr>
          <w:p w14:paraId="1880D18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0-21</w:t>
            </w:r>
          </w:p>
        </w:tc>
        <w:tc>
          <w:tcPr>
            <w:tcW w:w="1451" w:type="dxa"/>
          </w:tcPr>
          <w:p w14:paraId="36F1F6D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 (6)</w:t>
            </w:r>
          </w:p>
        </w:tc>
        <w:tc>
          <w:tcPr>
            <w:tcW w:w="1234" w:type="dxa"/>
          </w:tcPr>
          <w:p w14:paraId="2B2078F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6 (7)</w:t>
            </w:r>
          </w:p>
        </w:tc>
        <w:tc>
          <w:tcPr>
            <w:tcW w:w="1510" w:type="dxa"/>
          </w:tcPr>
          <w:p w14:paraId="2189B56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9 (3)</w:t>
            </w:r>
          </w:p>
        </w:tc>
        <w:tc>
          <w:tcPr>
            <w:tcW w:w="1611" w:type="dxa"/>
          </w:tcPr>
          <w:p w14:paraId="3510BD5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12.5 (5)</w:t>
            </w:r>
          </w:p>
        </w:tc>
      </w:tr>
      <w:bookmarkEnd w:id="0"/>
    </w:tbl>
    <w:p w14:paraId="4A1A2086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Abbreviations: FACIT-Fatigue, Functional Assessment of Chronic Illness Therapy–Fatigue subscale;EQ-5D-3L,EuroQol 5-Dimension 3-Level instrument; HADS, Hospital Anxiety and Depression Scale; HADS-A, Anxiety subscale; HADS-D, Depression subscale.</w:t>
      </w:r>
    </w:p>
    <w:p w14:paraId="313C4FCE">
      <w:pPr>
        <w:rPr>
          <w:rFonts w:hint="default" w:ascii="Arial Regular" w:hAnsi="Arial Regular" w:cs="Arial Regular"/>
          <w:sz w:val="20"/>
          <w:szCs w:val="20"/>
        </w:rPr>
      </w:pPr>
    </w:p>
    <w:p w14:paraId="16CEFFFB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Supplementary Table 2. Sensitivity analysis: Comparison of multivariable logistic regression models using absolute ALP versus ALP/ULN for predicting pruritus in PBC patients</w:t>
      </w:r>
    </w:p>
    <w:tbl>
      <w:tblPr>
        <w:tblStyle w:val="15"/>
        <w:tblW w:w="110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3119"/>
        <w:gridCol w:w="1417"/>
        <w:gridCol w:w="2835"/>
        <w:gridCol w:w="1134"/>
      </w:tblGrid>
      <w:tr w14:paraId="131C3CDC">
        <w:tc>
          <w:tcPr>
            <w:tcW w:w="2552" w:type="dxa"/>
          </w:tcPr>
          <w:p w14:paraId="1E3EF4D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Variable</w:t>
            </w:r>
          </w:p>
        </w:tc>
        <w:tc>
          <w:tcPr>
            <w:tcW w:w="3119" w:type="dxa"/>
          </w:tcPr>
          <w:p w14:paraId="704469F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Model A: ALP（U/L）</w:t>
            </w:r>
          </w:p>
        </w:tc>
        <w:tc>
          <w:tcPr>
            <w:tcW w:w="1417" w:type="dxa"/>
          </w:tcPr>
          <w:p w14:paraId="0BA33FD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D4093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Model B: ALP ratio</w:t>
            </w:r>
          </w:p>
        </w:tc>
        <w:tc>
          <w:tcPr>
            <w:tcW w:w="1134" w:type="dxa"/>
          </w:tcPr>
          <w:p w14:paraId="3172907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</w:tr>
      <w:tr w14:paraId="432700A7">
        <w:tc>
          <w:tcPr>
            <w:tcW w:w="2552" w:type="dxa"/>
          </w:tcPr>
          <w:p w14:paraId="3D57766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F66F76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 xml:space="preserve">    OR (95% CI)</w:t>
            </w:r>
          </w:p>
        </w:tc>
        <w:tc>
          <w:tcPr>
            <w:tcW w:w="1417" w:type="dxa"/>
          </w:tcPr>
          <w:p w14:paraId="0C2E396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P value</w:t>
            </w:r>
          </w:p>
        </w:tc>
        <w:tc>
          <w:tcPr>
            <w:tcW w:w="2835" w:type="dxa"/>
          </w:tcPr>
          <w:p w14:paraId="645C2DF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OR (95% CI)</w:t>
            </w:r>
          </w:p>
        </w:tc>
        <w:tc>
          <w:tcPr>
            <w:tcW w:w="1134" w:type="dxa"/>
          </w:tcPr>
          <w:p w14:paraId="3F5BE32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P value</w:t>
            </w:r>
          </w:p>
        </w:tc>
      </w:tr>
      <w:tr w14:paraId="5533C5D7">
        <w:tc>
          <w:tcPr>
            <w:tcW w:w="2552" w:type="dxa"/>
          </w:tcPr>
          <w:p w14:paraId="4A50CF3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Age at study entry (years)</w:t>
            </w:r>
          </w:p>
        </w:tc>
        <w:tc>
          <w:tcPr>
            <w:tcW w:w="3119" w:type="dxa"/>
          </w:tcPr>
          <w:p w14:paraId="1929AAC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1.006 (0.983–1.029)</w:t>
            </w:r>
          </w:p>
        </w:tc>
        <w:tc>
          <w:tcPr>
            <w:tcW w:w="1417" w:type="dxa"/>
          </w:tcPr>
          <w:p w14:paraId="6E89403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0.617</w:t>
            </w:r>
          </w:p>
        </w:tc>
        <w:tc>
          <w:tcPr>
            <w:tcW w:w="2835" w:type="dxa"/>
          </w:tcPr>
          <w:p w14:paraId="2270CF4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1.006 (0.983–1.029)</w:t>
            </w:r>
          </w:p>
        </w:tc>
        <w:tc>
          <w:tcPr>
            <w:tcW w:w="1134" w:type="dxa"/>
          </w:tcPr>
          <w:p w14:paraId="5CCD90AB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0.617</w:t>
            </w:r>
          </w:p>
        </w:tc>
      </w:tr>
      <w:tr w14:paraId="155258C7">
        <w:tc>
          <w:tcPr>
            <w:tcW w:w="2552" w:type="dxa"/>
          </w:tcPr>
          <w:p w14:paraId="3E399B2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Disease duration (years)</w:t>
            </w:r>
          </w:p>
        </w:tc>
        <w:tc>
          <w:tcPr>
            <w:tcW w:w="3119" w:type="dxa"/>
          </w:tcPr>
          <w:p w14:paraId="4301FD0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1.053 (1.009–1.099)</w:t>
            </w:r>
          </w:p>
        </w:tc>
        <w:tc>
          <w:tcPr>
            <w:tcW w:w="1417" w:type="dxa"/>
          </w:tcPr>
          <w:p w14:paraId="3E55224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0.019</w:t>
            </w:r>
          </w:p>
        </w:tc>
        <w:tc>
          <w:tcPr>
            <w:tcW w:w="2835" w:type="dxa"/>
          </w:tcPr>
          <w:p w14:paraId="630FE53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1.053 (1.009–1.099)</w:t>
            </w:r>
          </w:p>
        </w:tc>
        <w:tc>
          <w:tcPr>
            <w:tcW w:w="1134" w:type="dxa"/>
          </w:tcPr>
          <w:p w14:paraId="73DA35E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0.019</w:t>
            </w:r>
          </w:p>
        </w:tc>
      </w:tr>
      <w:tr w14:paraId="173F973A">
        <w:tc>
          <w:tcPr>
            <w:tcW w:w="2552" w:type="dxa"/>
          </w:tcPr>
          <w:p w14:paraId="132481D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Sex</w:t>
            </w:r>
          </w:p>
        </w:tc>
        <w:tc>
          <w:tcPr>
            <w:tcW w:w="3119" w:type="dxa"/>
          </w:tcPr>
          <w:p w14:paraId="7A94F940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1.266 (0.705–2.272)</w:t>
            </w:r>
          </w:p>
        </w:tc>
        <w:tc>
          <w:tcPr>
            <w:tcW w:w="1417" w:type="dxa"/>
          </w:tcPr>
          <w:p w14:paraId="402B13A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0.429</w:t>
            </w:r>
          </w:p>
        </w:tc>
        <w:tc>
          <w:tcPr>
            <w:tcW w:w="2835" w:type="dxa"/>
          </w:tcPr>
          <w:p w14:paraId="4F9D837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1.266 (0.705–2.272)</w:t>
            </w:r>
          </w:p>
        </w:tc>
        <w:tc>
          <w:tcPr>
            <w:tcW w:w="1134" w:type="dxa"/>
          </w:tcPr>
          <w:p w14:paraId="68C98D5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0.429</w:t>
            </w:r>
          </w:p>
        </w:tc>
      </w:tr>
      <w:tr w14:paraId="42E096D9">
        <w:tc>
          <w:tcPr>
            <w:tcW w:w="2552" w:type="dxa"/>
          </w:tcPr>
          <w:p w14:paraId="7D99390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ALB g/L</w:t>
            </w:r>
          </w:p>
        </w:tc>
        <w:tc>
          <w:tcPr>
            <w:tcW w:w="3119" w:type="dxa"/>
          </w:tcPr>
          <w:p w14:paraId="7A2D9AC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0.918 (0.869–0.969)</w:t>
            </w:r>
          </w:p>
        </w:tc>
        <w:tc>
          <w:tcPr>
            <w:tcW w:w="1417" w:type="dxa"/>
          </w:tcPr>
          <w:p w14:paraId="4297D16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0.002</w:t>
            </w:r>
          </w:p>
        </w:tc>
        <w:tc>
          <w:tcPr>
            <w:tcW w:w="2835" w:type="dxa"/>
          </w:tcPr>
          <w:p w14:paraId="554877A3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0.918 (0.869–0.969)</w:t>
            </w:r>
          </w:p>
        </w:tc>
        <w:tc>
          <w:tcPr>
            <w:tcW w:w="1134" w:type="dxa"/>
          </w:tcPr>
          <w:p w14:paraId="58229CA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0.002</w:t>
            </w:r>
          </w:p>
        </w:tc>
      </w:tr>
      <w:tr w14:paraId="16A3F642">
        <w:tc>
          <w:tcPr>
            <w:tcW w:w="2552" w:type="dxa"/>
          </w:tcPr>
          <w:p w14:paraId="3D07D70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A/G</w:t>
            </w:r>
          </w:p>
        </w:tc>
        <w:tc>
          <w:tcPr>
            <w:tcW w:w="3119" w:type="dxa"/>
          </w:tcPr>
          <w:p w14:paraId="70D1EDD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1.290 (0.530–3.142)</w:t>
            </w:r>
          </w:p>
        </w:tc>
        <w:tc>
          <w:tcPr>
            <w:tcW w:w="1417" w:type="dxa"/>
          </w:tcPr>
          <w:p w14:paraId="409EC61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0.575</w:t>
            </w:r>
          </w:p>
        </w:tc>
        <w:tc>
          <w:tcPr>
            <w:tcW w:w="2835" w:type="dxa"/>
          </w:tcPr>
          <w:p w14:paraId="26236BC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1.290 (0.530–3.142)</w:t>
            </w:r>
          </w:p>
        </w:tc>
        <w:tc>
          <w:tcPr>
            <w:tcW w:w="1134" w:type="dxa"/>
          </w:tcPr>
          <w:p w14:paraId="37E9927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0.575</w:t>
            </w:r>
          </w:p>
        </w:tc>
      </w:tr>
      <w:tr w14:paraId="2BE2296B">
        <w:tc>
          <w:tcPr>
            <w:tcW w:w="2552" w:type="dxa"/>
          </w:tcPr>
          <w:p w14:paraId="2B2B097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ALP/ ALP ratio</w:t>
            </w:r>
          </w:p>
        </w:tc>
        <w:tc>
          <w:tcPr>
            <w:tcW w:w="3119" w:type="dxa"/>
          </w:tcPr>
          <w:p w14:paraId="2D16B24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1.002 (1.000–1.004)</w:t>
            </w:r>
          </w:p>
        </w:tc>
        <w:tc>
          <w:tcPr>
            <w:tcW w:w="1417" w:type="dxa"/>
          </w:tcPr>
          <w:p w14:paraId="5AC259C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0.038</w:t>
            </w:r>
          </w:p>
        </w:tc>
        <w:tc>
          <w:tcPr>
            <w:tcW w:w="2835" w:type="dxa"/>
          </w:tcPr>
          <w:p w14:paraId="6CFA4D0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1.302 (1.015–1.676)</w:t>
            </w:r>
          </w:p>
        </w:tc>
        <w:tc>
          <w:tcPr>
            <w:tcW w:w="1134" w:type="dxa"/>
          </w:tcPr>
          <w:p w14:paraId="5968FDE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0.038</w:t>
            </w:r>
          </w:p>
        </w:tc>
      </w:tr>
      <w:tr w14:paraId="7B4F38D3">
        <w:tc>
          <w:tcPr>
            <w:tcW w:w="2552" w:type="dxa"/>
          </w:tcPr>
          <w:p w14:paraId="1E5BA9D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TBIL umol/L</w:t>
            </w:r>
          </w:p>
        </w:tc>
        <w:tc>
          <w:tcPr>
            <w:tcW w:w="3119" w:type="dxa"/>
          </w:tcPr>
          <w:p w14:paraId="3D8E766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0.995 (0.988–1.002)</w:t>
            </w:r>
          </w:p>
        </w:tc>
        <w:tc>
          <w:tcPr>
            <w:tcW w:w="1417" w:type="dxa"/>
          </w:tcPr>
          <w:p w14:paraId="1D60AE6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0.197</w:t>
            </w:r>
          </w:p>
        </w:tc>
        <w:tc>
          <w:tcPr>
            <w:tcW w:w="2835" w:type="dxa"/>
          </w:tcPr>
          <w:p w14:paraId="210F5141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0.995 (0.988–1.002)</w:t>
            </w:r>
          </w:p>
        </w:tc>
        <w:tc>
          <w:tcPr>
            <w:tcW w:w="1134" w:type="dxa"/>
          </w:tcPr>
          <w:p w14:paraId="63ACE80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0.197</w:t>
            </w:r>
          </w:p>
        </w:tc>
      </w:tr>
      <w:tr w14:paraId="194F3503">
        <w:tc>
          <w:tcPr>
            <w:tcW w:w="2552" w:type="dxa"/>
          </w:tcPr>
          <w:p w14:paraId="2943EB6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Diabetes</w:t>
            </w:r>
          </w:p>
        </w:tc>
        <w:tc>
          <w:tcPr>
            <w:tcW w:w="3119" w:type="dxa"/>
          </w:tcPr>
          <w:p w14:paraId="2DAA3505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0.919 (0.485–1.744)</w:t>
            </w:r>
          </w:p>
        </w:tc>
        <w:tc>
          <w:tcPr>
            <w:tcW w:w="1417" w:type="dxa"/>
          </w:tcPr>
          <w:p w14:paraId="75C0C48C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0.797</w:t>
            </w:r>
          </w:p>
        </w:tc>
        <w:tc>
          <w:tcPr>
            <w:tcW w:w="2835" w:type="dxa"/>
          </w:tcPr>
          <w:p w14:paraId="7F4136D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0.919 (0.485–1.744)</w:t>
            </w:r>
          </w:p>
        </w:tc>
        <w:tc>
          <w:tcPr>
            <w:tcW w:w="1134" w:type="dxa"/>
          </w:tcPr>
          <w:p w14:paraId="03E23D1D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0.797</w:t>
            </w:r>
          </w:p>
        </w:tc>
      </w:tr>
      <w:tr w14:paraId="6E30A589">
        <w:tc>
          <w:tcPr>
            <w:tcW w:w="2552" w:type="dxa"/>
          </w:tcPr>
          <w:p w14:paraId="0EB185C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High blood pressure</w:t>
            </w:r>
          </w:p>
        </w:tc>
        <w:tc>
          <w:tcPr>
            <w:tcW w:w="3119" w:type="dxa"/>
          </w:tcPr>
          <w:p w14:paraId="4B65633B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0.621 (0.379–1.019)</w:t>
            </w:r>
          </w:p>
        </w:tc>
        <w:tc>
          <w:tcPr>
            <w:tcW w:w="1417" w:type="dxa"/>
          </w:tcPr>
          <w:p w14:paraId="0B9C9CA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0.059</w:t>
            </w:r>
          </w:p>
        </w:tc>
        <w:tc>
          <w:tcPr>
            <w:tcW w:w="2835" w:type="dxa"/>
          </w:tcPr>
          <w:p w14:paraId="1232CB26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0.621 (0.379–1.019)</w:t>
            </w:r>
          </w:p>
        </w:tc>
        <w:tc>
          <w:tcPr>
            <w:tcW w:w="1134" w:type="dxa"/>
          </w:tcPr>
          <w:p w14:paraId="41A83CC8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0.059</w:t>
            </w:r>
          </w:p>
        </w:tc>
      </w:tr>
      <w:tr w14:paraId="2CF3412B">
        <w:tc>
          <w:tcPr>
            <w:tcW w:w="2552" w:type="dxa"/>
          </w:tcPr>
          <w:p w14:paraId="5B4B73A7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Response to UDCA</w:t>
            </w:r>
          </w:p>
        </w:tc>
        <w:tc>
          <w:tcPr>
            <w:tcW w:w="3119" w:type="dxa"/>
          </w:tcPr>
          <w:p w14:paraId="78A0A34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1.434 (0.850–2.419)</w:t>
            </w:r>
          </w:p>
        </w:tc>
        <w:tc>
          <w:tcPr>
            <w:tcW w:w="1417" w:type="dxa"/>
          </w:tcPr>
          <w:p w14:paraId="45A5FF24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0.177</w:t>
            </w:r>
          </w:p>
        </w:tc>
        <w:tc>
          <w:tcPr>
            <w:tcW w:w="2835" w:type="dxa"/>
          </w:tcPr>
          <w:p w14:paraId="0C39E212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1.434 (0.850–2.419)</w:t>
            </w:r>
          </w:p>
        </w:tc>
        <w:tc>
          <w:tcPr>
            <w:tcW w:w="1134" w:type="dxa"/>
          </w:tcPr>
          <w:p w14:paraId="23A285C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0.177</w:t>
            </w:r>
          </w:p>
        </w:tc>
      </w:tr>
      <w:tr w14:paraId="257FCCC3">
        <w:tc>
          <w:tcPr>
            <w:tcW w:w="2552" w:type="dxa"/>
          </w:tcPr>
          <w:p w14:paraId="0B17DD99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Cirrhosis</w:t>
            </w:r>
          </w:p>
        </w:tc>
        <w:tc>
          <w:tcPr>
            <w:tcW w:w="3119" w:type="dxa"/>
          </w:tcPr>
          <w:p w14:paraId="2D9CFB4B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0.777 (0.485–1.247)</w:t>
            </w:r>
          </w:p>
        </w:tc>
        <w:tc>
          <w:tcPr>
            <w:tcW w:w="1417" w:type="dxa"/>
          </w:tcPr>
          <w:p w14:paraId="7A61355F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0.296</w:t>
            </w:r>
          </w:p>
        </w:tc>
        <w:tc>
          <w:tcPr>
            <w:tcW w:w="2835" w:type="dxa"/>
          </w:tcPr>
          <w:p w14:paraId="7E498880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0.777 (0.485–1.247)</w:t>
            </w:r>
          </w:p>
        </w:tc>
        <w:tc>
          <w:tcPr>
            <w:tcW w:w="1134" w:type="dxa"/>
          </w:tcPr>
          <w:p w14:paraId="6606949A">
            <w:pPr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0.296</w:t>
            </w:r>
          </w:p>
        </w:tc>
      </w:tr>
    </w:tbl>
    <w:p w14:paraId="32DF0F23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Note: Both models were adjusted for all covariates listed in the table. ALP/ULN denotes the ratio of alkaline phosphatase to the upper limit of normal. An odds ratio (OR) &gt; 1 indicates an increased risk of pruritus, whereas an OR &lt; 1 suggests a reduced risk. A P-value &lt; 0.05 was considered statistically significant.</w:t>
      </w:r>
    </w:p>
    <w:p w14:paraId="2C324F03">
      <w:pPr>
        <w:rPr>
          <w:rFonts w:hint="default" w:ascii="Arial Regular" w:hAnsi="Arial Regular" w:cs="Arial Regular"/>
          <w:sz w:val="20"/>
          <w:szCs w:val="20"/>
        </w:rPr>
      </w:pPr>
    </w:p>
    <w:p w14:paraId="6B7873EA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Supplementary Table 3. Association between Pruritus Severity (NRS) and Anxiety/Depression Scores (HADS-A/D).</w:t>
      </w:r>
    </w:p>
    <w:p w14:paraId="46658871">
      <w:pPr>
        <w:rPr>
          <w:rFonts w:hint="default" w:ascii="Arial Regular" w:hAnsi="Arial Regular" w:cs="Arial Regular"/>
          <w:sz w:val="20"/>
          <w:szCs w:val="20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39"/>
        <w:gridCol w:w="1783"/>
        <w:gridCol w:w="1406"/>
        <w:gridCol w:w="1406"/>
        <w:gridCol w:w="1484"/>
      </w:tblGrid>
      <w:tr w14:paraId="7BFCE0BA">
        <w:trPr>
          <w:jc w:val="center"/>
        </w:trPr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03D212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A</w:t>
            </w:r>
          </w:p>
        </w:tc>
        <w:tc>
          <w:tcPr>
            <w:tcW w:w="5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9EABF8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38221C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815DEC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HADS-A</w:t>
            </w:r>
          </w:p>
        </w:tc>
      </w:tr>
      <w:tr w14:paraId="18BEC521">
        <w:trPr>
          <w:jc w:val="center"/>
        </w:trPr>
        <w:tc>
          <w:tcPr>
            <w:tcW w:w="426" w:type="dxa"/>
            <w:tcBorders>
              <w:top w:val="single" w:color="auto" w:sz="4" w:space="0"/>
            </w:tcBorders>
            <w:vAlign w:val="center"/>
          </w:tcPr>
          <w:p w14:paraId="2F46300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color="auto" w:sz="4" w:space="0"/>
            </w:tcBorders>
            <w:vAlign w:val="center"/>
          </w:tcPr>
          <w:p w14:paraId="32ADBBD6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4E0BD02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363DC9C7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Non-case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7B72AE0E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Borderline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798C5C53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Case-possible</w:t>
            </w:r>
          </w:p>
        </w:tc>
      </w:tr>
      <w:tr w14:paraId="1E31AFDE">
        <w:trPr>
          <w:jc w:val="center"/>
        </w:trPr>
        <w:tc>
          <w:tcPr>
            <w:tcW w:w="426" w:type="dxa"/>
            <w:vAlign w:val="center"/>
          </w:tcPr>
          <w:p w14:paraId="699D48E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vAlign w:val="center"/>
          </w:tcPr>
          <w:p w14:paraId="52026516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NRS</w:t>
            </w:r>
          </w:p>
        </w:tc>
        <w:tc>
          <w:tcPr>
            <w:tcW w:w="0" w:type="auto"/>
            <w:vAlign w:val="center"/>
          </w:tcPr>
          <w:p w14:paraId="40ECEC69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Mild</w:t>
            </w:r>
          </w:p>
        </w:tc>
        <w:tc>
          <w:tcPr>
            <w:tcW w:w="0" w:type="auto"/>
            <w:vAlign w:val="center"/>
          </w:tcPr>
          <w:p w14:paraId="5C3655CE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84（77.1%）</w:t>
            </w:r>
          </w:p>
        </w:tc>
        <w:tc>
          <w:tcPr>
            <w:tcW w:w="0" w:type="auto"/>
            <w:vAlign w:val="center"/>
          </w:tcPr>
          <w:p w14:paraId="2B869BA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32（69.6%）</w:t>
            </w:r>
          </w:p>
        </w:tc>
        <w:tc>
          <w:tcPr>
            <w:tcW w:w="0" w:type="auto"/>
            <w:vAlign w:val="center"/>
          </w:tcPr>
          <w:p w14:paraId="660D1028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2（22.2%）</w:t>
            </w:r>
          </w:p>
        </w:tc>
      </w:tr>
      <w:tr w14:paraId="663B91BF">
        <w:trPr>
          <w:jc w:val="center"/>
        </w:trPr>
        <w:tc>
          <w:tcPr>
            <w:tcW w:w="426" w:type="dxa"/>
            <w:vAlign w:val="center"/>
          </w:tcPr>
          <w:p w14:paraId="7334894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vAlign w:val="center"/>
          </w:tcPr>
          <w:p w14:paraId="41823F88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CC11C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Moderate</w:t>
            </w:r>
          </w:p>
        </w:tc>
        <w:tc>
          <w:tcPr>
            <w:tcW w:w="0" w:type="auto"/>
            <w:vAlign w:val="center"/>
          </w:tcPr>
          <w:p w14:paraId="7BD3FE06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23（21.1%）</w:t>
            </w:r>
          </w:p>
        </w:tc>
        <w:tc>
          <w:tcPr>
            <w:tcW w:w="0" w:type="auto"/>
            <w:vAlign w:val="center"/>
          </w:tcPr>
          <w:p w14:paraId="0EC5257E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8（17.4%）</w:t>
            </w:r>
          </w:p>
        </w:tc>
        <w:tc>
          <w:tcPr>
            <w:tcW w:w="0" w:type="auto"/>
            <w:vAlign w:val="center"/>
          </w:tcPr>
          <w:p w14:paraId="3C3C093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1（11.1%）</w:t>
            </w:r>
          </w:p>
        </w:tc>
      </w:tr>
      <w:tr w14:paraId="2FD49A97">
        <w:trPr>
          <w:jc w:val="center"/>
        </w:trPr>
        <w:tc>
          <w:tcPr>
            <w:tcW w:w="426" w:type="dxa"/>
            <w:tcBorders>
              <w:bottom w:val="nil"/>
            </w:tcBorders>
            <w:vAlign w:val="center"/>
          </w:tcPr>
          <w:p w14:paraId="165340C1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vAlign w:val="center"/>
          </w:tcPr>
          <w:p w14:paraId="12E7E2F7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4FACFB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Severe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04FF3284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2（1.8%）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4D41AAAC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6（13%）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B3D7594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6（66.7%）</w:t>
            </w:r>
          </w:p>
        </w:tc>
      </w:tr>
      <w:tr w14:paraId="1C7392DF">
        <w:trPr>
          <w:jc w:val="center"/>
        </w:trPr>
        <w:tc>
          <w:tcPr>
            <w:tcW w:w="426" w:type="dxa"/>
            <w:tcBorders>
              <w:top w:val="nil"/>
              <w:bottom w:val="single" w:color="auto" w:sz="4" w:space="0"/>
            </w:tcBorders>
            <w:vAlign w:val="center"/>
          </w:tcPr>
          <w:p w14:paraId="66205AA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tcBorders>
              <w:bottom w:val="single" w:color="auto" w:sz="4" w:space="0"/>
            </w:tcBorders>
            <w:vAlign w:val="center"/>
          </w:tcPr>
          <w:p w14:paraId="02431363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624B787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P-value (Fisher’s)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045902E4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65D09BE6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0EF9B3CE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&lt;0.001</w:t>
            </w:r>
          </w:p>
        </w:tc>
      </w:tr>
      <w:tr w14:paraId="5449D16A">
        <w:trPr>
          <w:jc w:val="center"/>
        </w:trPr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3B550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B</w:t>
            </w:r>
          </w:p>
        </w:tc>
        <w:tc>
          <w:tcPr>
            <w:tcW w:w="5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39633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9F992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C46B0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HADS-D</w:t>
            </w:r>
          </w:p>
        </w:tc>
      </w:tr>
      <w:tr w14:paraId="0A9C3ED3">
        <w:trPr>
          <w:jc w:val="center"/>
        </w:trPr>
        <w:tc>
          <w:tcPr>
            <w:tcW w:w="426" w:type="dxa"/>
            <w:tcBorders>
              <w:top w:val="single" w:color="auto" w:sz="4" w:space="0"/>
            </w:tcBorders>
            <w:vAlign w:val="center"/>
          </w:tcPr>
          <w:p w14:paraId="2EF3B75C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color="auto" w:sz="4" w:space="0"/>
            </w:tcBorders>
            <w:vAlign w:val="center"/>
          </w:tcPr>
          <w:p w14:paraId="56CE14D2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3B01924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4656A841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Non-case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0581B15D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Borderline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5B7DF7E7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Case-possible</w:t>
            </w:r>
          </w:p>
        </w:tc>
      </w:tr>
      <w:tr w14:paraId="17924625">
        <w:trPr>
          <w:jc w:val="center"/>
        </w:trPr>
        <w:tc>
          <w:tcPr>
            <w:tcW w:w="426" w:type="dxa"/>
            <w:vAlign w:val="center"/>
          </w:tcPr>
          <w:p w14:paraId="2722D954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vAlign w:val="center"/>
          </w:tcPr>
          <w:p w14:paraId="7EF83996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NRS</w:t>
            </w:r>
          </w:p>
        </w:tc>
        <w:tc>
          <w:tcPr>
            <w:tcW w:w="0" w:type="auto"/>
            <w:vAlign w:val="center"/>
          </w:tcPr>
          <w:p w14:paraId="13C63A0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Mild</w:t>
            </w:r>
          </w:p>
        </w:tc>
        <w:tc>
          <w:tcPr>
            <w:tcW w:w="0" w:type="auto"/>
            <w:vAlign w:val="center"/>
          </w:tcPr>
          <w:p w14:paraId="36AD3F91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76（90.5%）</w:t>
            </w:r>
          </w:p>
        </w:tc>
        <w:tc>
          <w:tcPr>
            <w:tcW w:w="0" w:type="auto"/>
            <w:vAlign w:val="center"/>
          </w:tcPr>
          <w:p w14:paraId="2F6C5E6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28（63.6%）</w:t>
            </w:r>
          </w:p>
        </w:tc>
        <w:tc>
          <w:tcPr>
            <w:tcW w:w="0" w:type="auto"/>
            <w:vAlign w:val="center"/>
          </w:tcPr>
          <w:p w14:paraId="6B6EDFF2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14（38.9%）</w:t>
            </w:r>
          </w:p>
        </w:tc>
      </w:tr>
      <w:tr w14:paraId="7A167CDD">
        <w:trPr>
          <w:jc w:val="center"/>
        </w:trPr>
        <w:tc>
          <w:tcPr>
            <w:tcW w:w="426" w:type="dxa"/>
            <w:vAlign w:val="center"/>
          </w:tcPr>
          <w:p w14:paraId="6199BD4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vAlign w:val="center"/>
          </w:tcPr>
          <w:p w14:paraId="61FE28D9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71FC8C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Moderate</w:t>
            </w:r>
          </w:p>
        </w:tc>
        <w:tc>
          <w:tcPr>
            <w:tcW w:w="0" w:type="auto"/>
            <w:vAlign w:val="center"/>
          </w:tcPr>
          <w:p w14:paraId="25F2806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7（8.3%）</w:t>
            </w:r>
          </w:p>
        </w:tc>
        <w:tc>
          <w:tcPr>
            <w:tcW w:w="0" w:type="auto"/>
            <w:vAlign w:val="center"/>
          </w:tcPr>
          <w:p w14:paraId="63346DFE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13（29.5%）</w:t>
            </w:r>
          </w:p>
        </w:tc>
        <w:tc>
          <w:tcPr>
            <w:tcW w:w="0" w:type="auto"/>
            <w:vAlign w:val="center"/>
          </w:tcPr>
          <w:p w14:paraId="6D6C982A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12（33.3%）</w:t>
            </w:r>
          </w:p>
        </w:tc>
      </w:tr>
      <w:tr w14:paraId="55B85BCE">
        <w:trPr>
          <w:jc w:val="center"/>
        </w:trPr>
        <w:tc>
          <w:tcPr>
            <w:tcW w:w="426" w:type="dxa"/>
            <w:vAlign w:val="center"/>
          </w:tcPr>
          <w:p w14:paraId="4BC122F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vAlign w:val="center"/>
          </w:tcPr>
          <w:p w14:paraId="4B685C17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A1B4D2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Severe</w:t>
            </w:r>
          </w:p>
        </w:tc>
        <w:tc>
          <w:tcPr>
            <w:tcW w:w="0" w:type="auto"/>
            <w:vAlign w:val="center"/>
          </w:tcPr>
          <w:p w14:paraId="3FA2CDA8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1（1.2%）</w:t>
            </w:r>
          </w:p>
        </w:tc>
        <w:tc>
          <w:tcPr>
            <w:tcW w:w="0" w:type="auto"/>
            <w:vAlign w:val="center"/>
          </w:tcPr>
          <w:p w14:paraId="63B8792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3（6.8%）</w:t>
            </w:r>
          </w:p>
        </w:tc>
        <w:tc>
          <w:tcPr>
            <w:tcW w:w="0" w:type="auto"/>
            <w:vAlign w:val="center"/>
          </w:tcPr>
          <w:p w14:paraId="370BAB53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10（27.8%）</w:t>
            </w:r>
          </w:p>
        </w:tc>
      </w:tr>
      <w:tr w14:paraId="770EF1E5">
        <w:trPr>
          <w:jc w:val="center"/>
        </w:trPr>
        <w:tc>
          <w:tcPr>
            <w:tcW w:w="426" w:type="dxa"/>
            <w:vAlign w:val="center"/>
          </w:tcPr>
          <w:p w14:paraId="1C775995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576" w:type="dxa"/>
            <w:vMerge w:val="continue"/>
            <w:vAlign w:val="center"/>
          </w:tcPr>
          <w:p w14:paraId="29B47D20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0C30FFDB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P-value (Fisher’s)</w:t>
            </w:r>
          </w:p>
        </w:tc>
        <w:tc>
          <w:tcPr>
            <w:tcW w:w="0" w:type="auto"/>
          </w:tcPr>
          <w:p w14:paraId="4ED4361F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3E2D1AA1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63636462">
            <w:pPr>
              <w:jc w:val="center"/>
              <w:rPr>
                <w:rFonts w:hint="default" w:ascii="Arial Regular" w:hAnsi="Arial Regular" w:cs="Arial Regular"/>
                <w:sz w:val="20"/>
                <w:szCs w:val="20"/>
              </w:rPr>
            </w:pPr>
            <w:r>
              <w:rPr>
                <w:rFonts w:hint="default" w:ascii="Arial Regular" w:hAnsi="Arial Regular" w:cs="Arial Regular"/>
                <w:sz w:val="20"/>
                <w:szCs w:val="20"/>
              </w:rPr>
              <w:t>&lt;0.001</w:t>
            </w:r>
          </w:p>
        </w:tc>
      </w:tr>
    </w:tbl>
    <w:p w14:paraId="443BB58C">
      <w:pPr>
        <w:rPr>
          <w:rFonts w:hint="default" w:ascii="Arial Regular" w:hAnsi="Arial Regular" w:cs="Arial Regular"/>
          <w:sz w:val="20"/>
          <w:szCs w:val="20"/>
        </w:rPr>
      </w:pPr>
    </w:p>
    <w:p w14:paraId="41B094E0">
      <w:pPr>
        <w:rPr>
          <w:rFonts w:hint="default" w:ascii="Arial Regular" w:hAnsi="Arial Regular" w:cs="Arial Regular"/>
          <w:sz w:val="20"/>
          <w:szCs w:val="20"/>
        </w:rPr>
      </w:pPr>
    </w:p>
    <w:p w14:paraId="2E4C2720">
      <w:pPr>
        <w:rPr>
          <w:rFonts w:hint="default" w:ascii="Arial Regular" w:hAnsi="Arial Regular" w:cs="Arial Regular"/>
          <w:sz w:val="20"/>
          <w:szCs w:val="20"/>
        </w:rPr>
      </w:pPr>
    </w:p>
    <w:p w14:paraId="31E87835">
      <w:pPr>
        <w:rPr>
          <w:rFonts w:hint="default" w:ascii="Arial Regular" w:hAnsi="Arial Regular" w:cs="Arial Regular"/>
          <w:sz w:val="20"/>
          <w:szCs w:val="20"/>
        </w:rPr>
      </w:pPr>
    </w:p>
    <w:p w14:paraId="60FAF496">
      <w:pPr>
        <w:rPr>
          <w:rFonts w:hint="default" w:ascii="Arial Regular" w:hAnsi="Arial Regular" w:cs="Arial Regular"/>
          <w:sz w:val="20"/>
          <w:szCs w:val="20"/>
        </w:rPr>
      </w:pPr>
    </w:p>
    <w:p w14:paraId="2E9CEF25">
      <w:pPr>
        <w:rPr>
          <w:rFonts w:hint="default" w:ascii="Arial Regular" w:hAnsi="Arial Regular" w:cs="Arial Regular"/>
          <w:sz w:val="20"/>
          <w:szCs w:val="20"/>
        </w:rPr>
      </w:pPr>
    </w:p>
    <w:p w14:paraId="414975D1">
      <w:pPr>
        <w:rPr>
          <w:rFonts w:hint="default" w:ascii="Arial Regular" w:hAnsi="Arial Regular" w:cs="Arial Regular"/>
          <w:sz w:val="20"/>
          <w:szCs w:val="20"/>
        </w:rPr>
      </w:pPr>
    </w:p>
    <w:p w14:paraId="720B1FBF">
      <w:pPr>
        <w:rPr>
          <w:rFonts w:hint="default" w:ascii="Arial Regular" w:hAnsi="Arial Regular" w:cs="Arial Regular"/>
          <w:sz w:val="20"/>
          <w:szCs w:val="20"/>
        </w:rPr>
      </w:pPr>
    </w:p>
    <w:p w14:paraId="1DD3820A">
      <w:pPr>
        <w:rPr>
          <w:rFonts w:hint="default" w:ascii="Arial Regular" w:hAnsi="Arial Regular" w:cs="Arial Regular"/>
          <w:sz w:val="20"/>
          <w:szCs w:val="20"/>
        </w:rPr>
      </w:pPr>
    </w:p>
    <w:p w14:paraId="5630822A">
      <w:pPr>
        <w:rPr>
          <w:rFonts w:hint="default" w:ascii="Arial Regular" w:hAnsi="Arial Regular" w:cs="Arial Regular"/>
          <w:sz w:val="20"/>
          <w:szCs w:val="20"/>
        </w:rPr>
      </w:pPr>
    </w:p>
    <w:p w14:paraId="1DFE5881">
      <w:pPr>
        <w:rPr>
          <w:rFonts w:hint="default" w:ascii="Arial Regular" w:hAnsi="Arial Regular" w:cs="Arial Regular"/>
          <w:sz w:val="20"/>
          <w:szCs w:val="20"/>
        </w:rPr>
      </w:pPr>
    </w:p>
    <w:p w14:paraId="23F6592B">
      <w:pPr>
        <w:rPr>
          <w:rFonts w:hint="default" w:ascii="Arial Regular" w:hAnsi="Arial Regular" w:cs="Arial Regular"/>
          <w:sz w:val="20"/>
          <w:szCs w:val="20"/>
        </w:rPr>
      </w:pPr>
    </w:p>
    <w:p w14:paraId="3CC79EAA">
      <w:pPr>
        <w:rPr>
          <w:rFonts w:hint="default" w:ascii="Arial Regular" w:hAnsi="Arial Regular" w:cs="Arial Regular"/>
          <w:sz w:val="20"/>
          <w:szCs w:val="20"/>
        </w:rPr>
      </w:pPr>
    </w:p>
    <w:p w14:paraId="511EA3A4">
      <w:pPr>
        <w:rPr>
          <w:rFonts w:hint="default" w:ascii="Arial Regular" w:hAnsi="Arial Regular" w:cs="Arial Regular"/>
          <w:sz w:val="20"/>
          <w:szCs w:val="20"/>
        </w:rPr>
      </w:pPr>
    </w:p>
    <w:p w14:paraId="19F22ED8">
      <w:pPr>
        <w:rPr>
          <w:rFonts w:hint="default" w:ascii="Arial Regular" w:hAnsi="Arial Regular" w:cs="Arial Regular"/>
          <w:sz w:val="20"/>
          <w:szCs w:val="2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D8"/>
    <w:rsid w:val="000046F1"/>
    <w:rsid w:val="00005664"/>
    <w:rsid w:val="00020C5A"/>
    <w:rsid w:val="00025DE6"/>
    <w:rsid w:val="00091A28"/>
    <w:rsid w:val="000A50B0"/>
    <w:rsid w:val="000B4DC2"/>
    <w:rsid w:val="000B4E32"/>
    <w:rsid w:val="000D2FF0"/>
    <w:rsid w:val="000D6A3E"/>
    <w:rsid w:val="000E0A54"/>
    <w:rsid w:val="00122947"/>
    <w:rsid w:val="001450FB"/>
    <w:rsid w:val="00155A27"/>
    <w:rsid w:val="00193252"/>
    <w:rsid w:val="00194B54"/>
    <w:rsid w:val="00194F8A"/>
    <w:rsid w:val="001B4CF4"/>
    <w:rsid w:val="001B7C04"/>
    <w:rsid w:val="001C5A87"/>
    <w:rsid w:val="001F6E24"/>
    <w:rsid w:val="00212163"/>
    <w:rsid w:val="0023106A"/>
    <w:rsid w:val="00232A61"/>
    <w:rsid w:val="00234827"/>
    <w:rsid w:val="0027402C"/>
    <w:rsid w:val="00283BBA"/>
    <w:rsid w:val="002D098C"/>
    <w:rsid w:val="002D2B48"/>
    <w:rsid w:val="00300ACC"/>
    <w:rsid w:val="00325708"/>
    <w:rsid w:val="00345D76"/>
    <w:rsid w:val="003545B6"/>
    <w:rsid w:val="0039776F"/>
    <w:rsid w:val="003A76A0"/>
    <w:rsid w:val="003C2577"/>
    <w:rsid w:val="003F65C0"/>
    <w:rsid w:val="003F7759"/>
    <w:rsid w:val="00411B3F"/>
    <w:rsid w:val="00411DAE"/>
    <w:rsid w:val="00443463"/>
    <w:rsid w:val="004852D3"/>
    <w:rsid w:val="00491051"/>
    <w:rsid w:val="004961C9"/>
    <w:rsid w:val="004A4606"/>
    <w:rsid w:val="004B0AB8"/>
    <w:rsid w:val="004D0C89"/>
    <w:rsid w:val="004E4F62"/>
    <w:rsid w:val="004F2824"/>
    <w:rsid w:val="004F4981"/>
    <w:rsid w:val="004F4992"/>
    <w:rsid w:val="004F7195"/>
    <w:rsid w:val="00557FB3"/>
    <w:rsid w:val="00564858"/>
    <w:rsid w:val="005A75D3"/>
    <w:rsid w:val="005B470D"/>
    <w:rsid w:val="005E0042"/>
    <w:rsid w:val="005F3C89"/>
    <w:rsid w:val="006043E7"/>
    <w:rsid w:val="00604A83"/>
    <w:rsid w:val="00623381"/>
    <w:rsid w:val="006732C3"/>
    <w:rsid w:val="00677E4C"/>
    <w:rsid w:val="006937F3"/>
    <w:rsid w:val="006C00F0"/>
    <w:rsid w:val="006C7411"/>
    <w:rsid w:val="006C7C3F"/>
    <w:rsid w:val="006D3CAF"/>
    <w:rsid w:val="006E5AA0"/>
    <w:rsid w:val="00707827"/>
    <w:rsid w:val="0073393D"/>
    <w:rsid w:val="00741726"/>
    <w:rsid w:val="00743141"/>
    <w:rsid w:val="0074595C"/>
    <w:rsid w:val="00756D43"/>
    <w:rsid w:val="00786287"/>
    <w:rsid w:val="007E32EB"/>
    <w:rsid w:val="007F7816"/>
    <w:rsid w:val="00817193"/>
    <w:rsid w:val="00842139"/>
    <w:rsid w:val="00851583"/>
    <w:rsid w:val="008603D0"/>
    <w:rsid w:val="0086270E"/>
    <w:rsid w:val="00881900"/>
    <w:rsid w:val="008966B3"/>
    <w:rsid w:val="008C029F"/>
    <w:rsid w:val="008C4284"/>
    <w:rsid w:val="008E47D5"/>
    <w:rsid w:val="00906712"/>
    <w:rsid w:val="00913B33"/>
    <w:rsid w:val="0092356D"/>
    <w:rsid w:val="009301EE"/>
    <w:rsid w:val="009339DC"/>
    <w:rsid w:val="00940E9F"/>
    <w:rsid w:val="00943C6D"/>
    <w:rsid w:val="00994F3A"/>
    <w:rsid w:val="009A1C04"/>
    <w:rsid w:val="009B3811"/>
    <w:rsid w:val="009E2470"/>
    <w:rsid w:val="00A04368"/>
    <w:rsid w:val="00A20CFA"/>
    <w:rsid w:val="00A21F9C"/>
    <w:rsid w:val="00A27808"/>
    <w:rsid w:val="00A41871"/>
    <w:rsid w:val="00A42176"/>
    <w:rsid w:val="00A43F47"/>
    <w:rsid w:val="00A5031D"/>
    <w:rsid w:val="00A503AD"/>
    <w:rsid w:val="00A77D2B"/>
    <w:rsid w:val="00A85B18"/>
    <w:rsid w:val="00AA053D"/>
    <w:rsid w:val="00AF7457"/>
    <w:rsid w:val="00B00864"/>
    <w:rsid w:val="00B444AB"/>
    <w:rsid w:val="00B6414E"/>
    <w:rsid w:val="00B7380D"/>
    <w:rsid w:val="00B75A5B"/>
    <w:rsid w:val="00BA5A69"/>
    <w:rsid w:val="00BB1567"/>
    <w:rsid w:val="00BC318A"/>
    <w:rsid w:val="00BE0C3E"/>
    <w:rsid w:val="00C01A24"/>
    <w:rsid w:val="00C11120"/>
    <w:rsid w:val="00C11E63"/>
    <w:rsid w:val="00C34042"/>
    <w:rsid w:val="00C348F0"/>
    <w:rsid w:val="00C8023D"/>
    <w:rsid w:val="00C8128E"/>
    <w:rsid w:val="00C972B6"/>
    <w:rsid w:val="00CB695C"/>
    <w:rsid w:val="00CC080D"/>
    <w:rsid w:val="00CC6325"/>
    <w:rsid w:val="00CE0F78"/>
    <w:rsid w:val="00D21ED8"/>
    <w:rsid w:val="00D41A98"/>
    <w:rsid w:val="00D63AC3"/>
    <w:rsid w:val="00D8479E"/>
    <w:rsid w:val="00DF0A57"/>
    <w:rsid w:val="00DF0E8C"/>
    <w:rsid w:val="00DF6BDE"/>
    <w:rsid w:val="00E05A5D"/>
    <w:rsid w:val="00E10D6D"/>
    <w:rsid w:val="00E1639C"/>
    <w:rsid w:val="00E457B5"/>
    <w:rsid w:val="00EA486B"/>
    <w:rsid w:val="00EB339D"/>
    <w:rsid w:val="00EB35F8"/>
    <w:rsid w:val="00EC4572"/>
    <w:rsid w:val="00EE6796"/>
    <w:rsid w:val="00F039F0"/>
    <w:rsid w:val="00F26332"/>
    <w:rsid w:val="00F33B57"/>
    <w:rsid w:val="00F60038"/>
    <w:rsid w:val="00F80F21"/>
    <w:rsid w:val="00FC21D9"/>
    <w:rsid w:val="00FF1AA6"/>
    <w:rsid w:val="3AD70676"/>
    <w:rsid w:val="46EFB204"/>
    <w:rsid w:val="4BD78211"/>
    <w:rsid w:val="677798C0"/>
    <w:rsid w:val="6FD39856"/>
    <w:rsid w:val="7335F5B1"/>
    <w:rsid w:val="76AD2FFB"/>
    <w:rsid w:val="7B3E083D"/>
    <w:rsid w:val="7F3F464C"/>
    <w:rsid w:val="7F5C7541"/>
    <w:rsid w:val="7FFFFCF1"/>
    <w:rsid w:val="AE2524F6"/>
    <w:rsid w:val="AFAD678E"/>
    <w:rsid w:val="BFF7586E"/>
    <w:rsid w:val="CCEB099B"/>
    <w:rsid w:val="CDAFB18C"/>
    <w:rsid w:val="D7BEA04A"/>
    <w:rsid w:val="DF9DC8E6"/>
    <w:rsid w:val="E8A16813"/>
    <w:rsid w:val="FB7FFA09"/>
    <w:rsid w:val="FE52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5">
    <w:name w:val="No Spacing"/>
    <w:qFormat/>
    <w:uiPriority w:val="1"/>
    <w:pPr>
      <w:widowControl w:val="0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CF53BF-FB0D-674C-976A-6FA3FA4517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1311</Words>
  <Characters>7477</Characters>
  <Lines>62</Lines>
  <Paragraphs>17</Paragraphs>
  <TotalTime>1</TotalTime>
  <ScaleCrop>false</ScaleCrop>
  <LinksUpToDate>false</LinksUpToDate>
  <CharactersWithSpaces>8771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2026-01-20T23:52:00Z</dcterms:created>
  <dc:creator>赵云转</dc:creator>
  <cp:lastModifiedBy>WPS_663494032</cp:lastModifiedBy>
  <dcterms:modified xsi:type="dcterms:W3CDTF">2026-06-10T13:35:46Z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46AEF0A32C98558F6B9FA569B122485C_42</vt:lpwstr>
  </property>
</Properties>
</file>