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76" w:lineRule="auto"/>
      </w:pPr>
      <w:r>
        <w:rPr>
          <w:rFonts w:ascii="Times New Roman" w:hAnsi="Times New Roman"/>
          <w:b/>
          <w:color w:val="000000"/>
          <w:sz w:val="32"/>
        </w:rPr>
        <w:t>Supplementary Information</w:t>
      </w:r>
    </w:p>
    <w:p>
      <w:pPr>
        <w:spacing w:after="120" w:line="276" w:lineRule="auto"/>
      </w:pPr>
      <w:r>
        <w:rPr>
          <w:rFonts w:ascii="Times New Roman" w:hAnsi="Times New Roman"/>
          <w:b w:val="0"/>
          <w:color w:val="000000"/>
          <w:sz w:val="24"/>
        </w:rPr>
        <w:t>Evidence governance and boundary diagnosis in domain-specific university education quality evaluation: a robust fuzzy decision-support study</w:t>
      </w:r>
    </w:p>
    <w:p>
      <w:pPr>
        <w:spacing w:after="120" w:line="276" w:lineRule="auto"/>
      </w:pPr>
      <w:r>
        <w:rPr>
          <w:rFonts w:ascii="Times New Roman" w:hAnsi="Times New Roman"/>
          <w:b w:val="0"/>
          <w:color w:val="000000"/>
          <w:sz w:val="24"/>
        </w:rPr>
        <w:t>This file contains anonymised case-level data and model-output summaries used for peer review. All institutional identities are anonymised as A1-A29. No personal information or identifiable institutional information is included.</w:t>
      </w:r>
    </w:p>
    <w:p>
      <w:pPr>
        <w:spacing w:after="120" w:line="276" w:lineRule="auto"/>
      </w:pPr>
      <w:r>
        <w:rPr>
          <w:rFonts w:ascii="Times New Roman" w:hAnsi="Times New Roman"/>
          <w:b/>
          <w:color w:val="000000"/>
          <w:sz w:val="28"/>
        </w:rPr>
        <w:t>Supplementary Table S1. Anonymised case-level classification dataset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8"/>
              </w:rPr>
              <w:t>Rank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8"/>
              </w:rPr>
              <w:t>Case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8"/>
              </w:rPr>
              <w:t>Reference category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8"/>
              </w:rPr>
              <w:t>Score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8"/>
              </w:rPr>
              <w:t>Model category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0.8773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0.8754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0.8729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0.8671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0.8655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0.8643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0.8588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0.8586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A+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0.8569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0.8539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0.8464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0.8424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0.8350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0.8346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0.8254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0.8187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0.8115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0.8013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19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0.7217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0.7190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0.7189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0.7133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A21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0.7070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0.7052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0.7045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26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0.7033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27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A24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0.6980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28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A19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0.6963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29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A22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0.6945</w:t>
            </w:r>
          </w:p>
        </w:tc>
        <w:tc>
          <w:tcPr>
            <w:tcW w:type="dxa" w:w="1728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8"/>
              </w:rPr>
              <w:t>A-</w:t>
            </w:r>
          </w:p>
        </w:tc>
      </w:tr>
    </w:tbl>
    <w:p>
      <w:pPr>
        <w:spacing w:after="120" w:line="276" w:lineRule="auto"/>
      </w:pPr>
      <w:r>
        <w:rPr>
          <w:rFonts w:ascii="Times New Roman" w:hAnsi="Times New Roman"/>
          <w:b/>
          <w:color w:val="000000"/>
          <w:sz w:val="28"/>
        </w:rPr>
        <w:t>Supplementary Table S2. Robustness checks used for model diagnosis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Check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Specification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Empirical result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Interpretation</w:t>
            </w:r>
          </w:p>
        </w:tc>
      </w:tr>
      <w:tr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Order comparison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FNIFWMSM k=2, k=3, k=4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Level preservation: 25/29, 29/29, 29/29; minimum inter-group gaps: 0.0322, 0.0349, 0.0381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The third-order model preserves levels while retaining interpretable three-dimension interaction.</w:t>
            </w:r>
          </w:p>
        </w:tc>
      </w:tr>
      <w:tr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Weight fusion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beta = 0, 0.25, 0.50, 0.75, 1.00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Kendall correlations: 0.897, 0.951, 0.961, 0.975, 1.000; level preservation: 29/29 in all cases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The group structure is not an artefact of one weight vector.</w:t>
            </w:r>
          </w:p>
        </w:tc>
      </w:tr>
      <w:tr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Rank reversal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Delete two lowest-ranked cases; delete boundary cases A5 and A9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No rank reversal observed in either deletion test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The ordering of retained cases is not driven by the weakest or nearest-boundary cases.</w:t>
            </w:r>
          </w:p>
        </w:tc>
      </w:tr>
      <w:tr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Noise perturbation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Gaussian component-level noise: 0.005, 0.010, 0.020; 200 repetitions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Mean Kendall correlations: 0.946, 0.895, 0.813; level consistency: 93.33%, 90.97%, 88.67%</w:t>
            </w:r>
          </w:p>
        </w:tc>
        <w:tc>
          <w:tcPr>
            <w:tcW w:type="dxa" w:w="2160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Noise mainly affects near-boundary cases rather than destroying the three-category structure.</w:t>
            </w:r>
          </w:p>
        </w:tc>
      </w:tr>
    </w:tbl>
    <w:p>
      <w:pPr>
        <w:spacing w:after="120" w:line="276" w:lineRule="auto"/>
      </w:pPr>
      <w:r>
        <w:rPr>
          <w:rFonts w:ascii="Times New Roman" w:hAnsi="Times New Roman"/>
          <w:b/>
          <w:color w:val="000000"/>
          <w:sz w:val="28"/>
        </w:rPr>
        <w:t>Supplementary Table S3. Boundary diagnosis of selected anonymised cases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Case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Reference category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Score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Threshold distance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Weakest dimension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Balance coefficient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/>
                <w:color w:val="000000"/>
                <w:sz w:val="17"/>
              </w:rPr>
              <w:t>Governance diagnosis</w:t>
            </w:r>
          </w:p>
        </w:tc>
      </w:tr>
      <w:tr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A5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A+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0.8586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0.0008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Resource support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0.9361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Near the A+/A boundary; consolidate resource support before treating the A+ label as secure.</w:t>
            </w:r>
          </w:p>
        </w:tc>
      </w:tr>
      <w:tr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0.8569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0.0009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Staff development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0.9007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Near the upper boundary of A; staff capacity limits movement into A+.</w:t>
            </w:r>
          </w:p>
        </w:tc>
      </w:tr>
      <w:tr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A13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0.8539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0.0039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Staff development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0.8329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Uneven A profile; staff development remains the main constraint.</w:t>
            </w:r>
          </w:p>
        </w:tc>
      </w:tr>
      <w:tr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A28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A-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0.7217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0.0398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Staff development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0.8783</w:t>
            </w:r>
          </w:p>
        </w:tc>
        <w:tc>
          <w:tcPr>
            <w:tcW w:type="dxa" w:w="1234"/>
            <w:vAlign w:val="center"/>
            <w:tcMar>
              <w:top w:w="70" w:type="dxa"/>
              <w:bottom w:w="70" w:type="dxa"/>
              <w:left w:w="70" w:type="dxa"/>
              <w:right w:w="70" w:type="dxa"/>
            </w:tcMar>
          </w:tcPr>
          <w:p>
            <w:r>
              <w:rPr>
                <w:rFonts w:ascii="Times New Roman" w:hAnsi="Times New Roman"/>
                <w:b w:val="0"/>
                <w:color w:val="000000"/>
                <w:sz w:val="17"/>
              </w:rPr>
              <w:t>High within A-; staff development keeps the case below the middle category.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00000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