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35B8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</w:rPr>
        <w:t>Supplementary Material for:</w:t>
      </w:r>
    </w:p>
    <w:p w14:paraId="53E4F8A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Title:</w:t>
      </w:r>
      <w:r>
        <w:rPr>
          <w:rFonts w:hint="default" w:ascii="Arial" w:hAnsi="Arial" w:cs="Arial"/>
        </w:rPr>
        <w:t xml:space="preserve"> Risk Stratification of Osteoporosis in Patients with Liver Cirrhosis Using Opportunistic CT and Liver-Specific Indicators</w:t>
      </w:r>
    </w:p>
    <w:p w14:paraId="0C094069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Authors:</w:t>
      </w:r>
      <w:r>
        <w:rPr>
          <w:rFonts w:hint="default" w:ascii="Arial" w:hAnsi="Arial" w:cs="Arial"/>
        </w:rPr>
        <w:t xml:space="preserve"> Yanwen Wang, Hongxing Gao, Yuanzuo Zhang, Min Song, Xueyi Wang, Rongjie Shi</w:t>
      </w:r>
    </w:p>
    <w:p w14:paraId="7CC68D53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Journal:</w:t>
      </w:r>
      <w:r>
        <w:rPr>
          <w:rFonts w:hint="default" w:ascii="Arial" w:hAnsi="Arial" w:cs="Arial"/>
        </w:rPr>
        <w:t xml:space="preserve"> </w:t>
      </w:r>
      <w:r>
        <w:rPr>
          <w:rFonts w:hint="default" w:ascii="Arial" w:hAnsi="Arial" w:cs="Arial"/>
          <w:i/>
          <w:iCs/>
        </w:rPr>
        <w:t>BMC Gastroenterology</w:t>
      </w:r>
    </w:p>
    <w:p w14:paraId="56E6705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-------------------------------------------------------------------------------------------------------</w:t>
      </w:r>
    </w:p>
    <w:p w14:paraId="1ED8610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Overview of Supplementary Tables</w:t>
      </w:r>
    </w:p>
    <w:p w14:paraId="5425745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>This</w:t>
      </w:r>
      <w:bookmarkStart w:id="0" w:name="_GoBack"/>
      <w:r>
        <w:rPr>
          <w:rFonts w:hint="default" w:ascii="Arial" w:hAnsi="Arial" w:cs="Arial"/>
          <w:sz w:val="21"/>
          <w:szCs w:val="21"/>
        </w:rPr>
        <w:t xml:space="preserve"> file contains the following supplementary tables for the manuscript:</w:t>
      </w:r>
    </w:p>
    <w:p w14:paraId="3D384D9C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Table S1.</w:t>
      </w:r>
      <w:r>
        <w:rPr>
          <w:rFonts w:hint="default" w:ascii="Arial" w:hAnsi="Arial" w:cs="Arial"/>
          <w:sz w:val="21"/>
          <w:szCs w:val="21"/>
        </w:rPr>
        <w:t xml:space="preserve"> Comparison of baseline characteristics of study</w:t>
      </w:r>
      <w:bookmarkEnd w:id="0"/>
      <w:r>
        <w:rPr>
          <w:rFonts w:hint="default" w:ascii="Arial" w:hAnsi="Arial" w:cs="Arial"/>
          <w:sz w:val="21"/>
          <w:szCs w:val="21"/>
        </w:rPr>
        <w:t xml:space="preserve"> subjects.</w:t>
      </w:r>
    </w:p>
    <w:p w14:paraId="37B9D90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Table S2.</w:t>
      </w:r>
      <w:r>
        <w:rPr>
          <w:rFonts w:hint="default" w:ascii="Arial" w:hAnsi="Arial" w:cs="Arial"/>
          <w:sz w:val="21"/>
          <w:szCs w:val="21"/>
        </w:rPr>
        <w:t xml:space="preserve"> Baseline characteristics and univariate analysis of patients with liver cirrhosis.</w:t>
      </w:r>
    </w:p>
    <w:p w14:paraId="72485D2E">
      <w:pPr>
        <w:rPr>
          <w:rFonts w:hint="default" w:ascii="Arial" w:hAnsi="Arial" w:eastAsia="宋体" w:cs="Arial"/>
          <w:lang w:val="en-US" w:eastAsia="zh-CN"/>
        </w:rPr>
      </w:pPr>
      <w:r>
        <w:rPr>
          <w:rFonts w:hint="default" w:ascii="Arial" w:hAnsi="Arial" w:cs="Arial"/>
        </w:rPr>
        <w:br w:type="page"/>
      </w:r>
    </w:p>
    <w:p w14:paraId="19503029">
      <w:pPr>
        <w:jc w:val="left"/>
        <w:rPr>
          <w:rFonts w:hint="default" w:ascii="Arial" w:hAnsi="Arial" w:cs="Arial"/>
        </w:rPr>
      </w:pPr>
      <w:r>
        <w:rPr>
          <w:rFonts w:hint="default" w:ascii="Arial" w:hAnsi="Arial" w:eastAsia="Times New Roman" w:cs="Arial"/>
          <w:b/>
          <w:color w:val="000000"/>
          <w:kern w:val="0"/>
          <w:sz w:val="18"/>
          <w:szCs w:val="22"/>
          <w:lang w:val="en-US" w:eastAsia="de-DE" w:bidi="en-US"/>
        </w:rPr>
        <w:t>Table S1.</w:t>
      </w:r>
      <w:r>
        <w:rPr>
          <w:rFonts w:hint="default" w:ascii="Arial" w:hAnsi="Arial" w:eastAsia="Times New Roman" w:cs="Arial"/>
          <w:b w:val="0"/>
          <w:bCs/>
          <w:color w:val="000000"/>
          <w:kern w:val="0"/>
          <w:sz w:val="18"/>
          <w:szCs w:val="22"/>
          <w:lang w:val="en-US" w:eastAsia="de-DE" w:bidi="en-US"/>
        </w:rPr>
        <w:t xml:space="preserve"> Comparison of baseline characteristics of study subjects (Mean ± SD) or [n (%)]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440"/>
        <w:gridCol w:w="1440"/>
        <w:gridCol w:w="1440"/>
        <w:gridCol w:w="1440"/>
      </w:tblGrid>
      <w:tr w14:paraId="1965D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  <w:tcBorders>
              <w:top w:val="single" w:color="000000" w:sz="18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0A29F72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  <w:b/>
                <w:bCs/>
              </w:rPr>
            </w:pPr>
            <w:r>
              <w:rPr>
                <w:rFonts w:hint="default" w:ascii="Arial" w:hAnsi="Arial" w:eastAsia="Times New Roman" w:cs="Arial"/>
                <w:b/>
                <w:bCs/>
              </w:rPr>
              <w:t>Variable</w:t>
            </w:r>
          </w:p>
        </w:tc>
        <w:tc>
          <w:tcPr>
            <w:tcW w:w="1728" w:type="dxa"/>
            <w:tcBorders>
              <w:top w:val="single" w:color="000000" w:sz="18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2CC7C8F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  <w:b/>
                <w:bCs/>
              </w:rPr>
            </w:pPr>
            <w:r>
              <w:rPr>
                <w:rFonts w:hint="default" w:ascii="Arial" w:hAnsi="Arial" w:eastAsia="Times New Roman" w:cs="Arial"/>
                <w:b/>
                <w:bCs/>
              </w:rPr>
              <w:t>Total (</w:t>
            </w:r>
            <w:r>
              <w:rPr>
                <w:rFonts w:hint="default" w:ascii="Arial" w:hAnsi="Arial" w:eastAsia="Times New Roman" w:cs="Arial"/>
                <w:b/>
                <w:bCs/>
                <w:i/>
                <w:iCs/>
              </w:rPr>
              <w:t>N</w:t>
            </w:r>
            <w:r>
              <w:rPr>
                <w:rFonts w:hint="default" w:ascii="Arial" w:hAnsi="Arial" w:eastAsia="Times New Roman" w:cs="Arial"/>
                <w:b/>
                <w:bCs/>
              </w:rPr>
              <w:t>=200)</w:t>
            </w:r>
          </w:p>
        </w:tc>
        <w:tc>
          <w:tcPr>
            <w:tcW w:w="1728" w:type="dxa"/>
            <w:tcBorders>
              <w:top w:val="single" w:color="000000" w:sz="18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4979FB0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  <w:b/>
                <w:bCs/>
              </w:rPr>
            </w:pPr>
            <w:r>
              <w:rPr>
                <w:rFonts w:hint="default" w:ascii="Arial" w:hAnsi="Arial" w:eastAsia="Times New Roman" w:cs="Arial"/>
                <w:b/>
                <w:bCs/>
              </w:rPr>
              <w:t>Normal Group (</w:t>
            </w:r>
            <w:r>
              <w:rPr>
                <w:rFonts w:hint="default" w:ascii="Arial" w:hAnsi="Arial" w:eastAsia="Times New Roman" w:cs="Arial"/>
                <w:b/>
                <w:bCs/>
                <w:i/>
                <w:iCs/>
              </w:rPr>
              <w:t>n</w:t>
            </w:r>
            <w:r>
              <w:rPr>
                <w:rFonts w:hint="default" w:ascii="Arial" w:hAnsi="Arial" w:eastAsia="Times New Roman" w:cs="Arial"/>
                <w:b/>
                <w:bCs/>
              </w:rPr>
              <w:t>=156)</w:t>
            </w:r>
          </w:p>
        </w:tc>
        <w:tc>
          <w:tcPr>
            <w:tcW w:w="1728" w:type="dxa"/>
            <w:tcBorders>
              <w:top w:val="single" w:color="000000" w:sz="18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0AAAC7F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  <w:b/>
                <w:bCs/>
              </w:rPr>
            </w:pPr>
            <w:r>
              <w:rPr>
                <w:rFonts w:hint="default" w:ascii="Arial" w:hAnsi="Arial" w:eastAsia="Times New Roman" w:cs="Arial"/>
                <w:b/>
                <w:bCs/>
              </w:rPr>
              <w:t>Osteoporosis Group (</w:t>
            </w:r>
            <w:r>
              <w:rPr>
                <w:rFonts w:hint="default" w:ascii="Arial" w:hAnsi="Arial" w:eastAsia="Times New Roman" w:cs="Arial"/>
                <w:b/>
                <w:bCs/>
                <w:i/>
                <w:iCs/>
              </w:rPr>
              <w:t>n</w:t>
            </w:r>
            <w:r>
              <w:rPr>
                <w:rFonts w:hint="default" w:ascii="Arial" w:hAnsi="Arial" w:eastAsia="Times New Roman" w:cs="Arial"/>
                <w:b/>
                <w:bCs/>
              </w:rPr>
              <w:t>=44)</w:t>
            </w:r>
          </w:p>
        </w:tc>
        <w:tc>
          <w:tcPr>
            <w:tcW w:w="1440" w:type="dxa"/>
            <w:tcBorders>
              <w:top w:val="single" w:color="000000" w:sz="18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6C6E73F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  <w:b/>
                <w:bCs/>
              </w:rPr>
            </w:pPr>
            <w:r>
              <w:rPr>
                <w:rFonts w:hint="default" w:ascii="Arial" w:hAnsi="Arial" w:eastAsia="Times New Roman" w:cs="Arial"/>
                <w:b/>
                <w:bCs/>
              </w:rPr>
              <w:t>Statistic</w:t>
            </w:r>
          </w:p>
        </w:tc>
        <w:tc>
          <w:tcPr>
            <w:tcW w:w="1152" w:type="dxa"/>
            <w:tcBorders>
              <w:top w:val="single" w:color="000000" w:sz="18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11FA85B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  <w:b/>
                <w:bCs/>
              </w:rPr>
            </w:pPr>
            <w:r>
              <w:rPr>
                <w:rFonts w:hint="default" w:ascii="Arial" w:hAnsi="Arial" w:eastAsia="Times New Roman" w:cs="Arial"/>
                <w:b/>
                <w:bCs/>
                <w:i/>
                <w:iCs/>
                <w:lang w:eastAsia="zh-CN"/>
              </w:rPr>
              <w:t>P</w:t>
            </w:r>
            <w:r>
              <w:rPr>
                <w:rFonts w:hint="default" w:ascii="Arial" w:hAnsi="Arial" w:eastAsia="Times New Roman" w:cs="Arial"/>
                <w:b/>
                <w:bCs/>
                <w:lang w:eastAsia="zh-CN"/>
              </w:rPr>
              <w:t>-</w:t>
            </w:r>
            <w:r>
              <w:rPr>
                <w:rFonts w:hint="default" w:ascii="Arial" w:hAnsi="Arial" w:eastAsia="Times New Roman" w:cs="Arial"/>
                <w:b/>
                <w:bCs/>
              </w:rPr>
              <w:t>value</w:t>
            </w:r>
          </w:p>
        </w:tc>
      </w:tr>
      <w:tr w14:paraId="21F6F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2D792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Age (years)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49168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54.6 ± 8.5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4E6C1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52.5 ± 7.4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AF5BD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62.1 ± 7.9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EB5CC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  <w:lang w:eastAsia="zh-CN"/>
              </w:rPr>
              <w:t xml:space="preserve">Z </w:t>
            </w:r>
            <w:r>
              <w:rPr>
                <w:rFonts w:hint="default" w:ascii="Arial" w:hAnsi="Arial" w:eastAsia="Times New Roman" w:cs="Arial"/>
              </w:rPr>
              <w:t>= -6.535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E3453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 0.001</w:t>
            </w:r>
          </w:p>
        </w:tc>
      </w:tr>
      <w:tr w14:paraId="1922F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F1B4E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Sex, n (%)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4BAE8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0B309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2B7DD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EB890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  <w:lang w:eastAsia="zh-CN"/>
              </w:rPr>
              <w:t>χ²</w:t>
            </w:r>
            <w:r>
              <w:rPr>
                <w:rFonts w:hint="default" w:ascii="Arial" w:hAnsi="Arial" w:eastAsia="Times New Roman" w:cs="Arial"/>
              </w:rPr>
              <w:t xml:space="preserve"> = 4.617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FE01B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0.032</w:t>
            </w:r>
          </w:p>
        </w:tc>
      </w:tr>
      <w:tr w14:paraId="50A72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B576B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Female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1C08F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127 (64%)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DB365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93 (60%)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A926E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34 (77%)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E8554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6EAF9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52C28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30FDC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Male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F9685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73 (37%)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2E1C7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63 (40%)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213E1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10 (23%)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4E1DE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53684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601A8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BE947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BMI (kg/m²)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737B3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24.1 ± 3.1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2BE70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24.5 ± 3.1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B131B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22.8 ± 2.9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C222F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t = -3.191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CA579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0.002</w:t>
            </w:r>
          </w:p>
        </w:tc>
      </w:tr>
      <w:tr w14:paraId="6325A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711FE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L1 CT value (HU)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FC516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138.5 ± 45.1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FBD0A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154.7 ± 36.0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A72C8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81.1 ± 20.8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9833D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t = -17.286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A1040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 0.001</w:t>
            </w:r>
          </w:p>
        </w:tc>
      </w:tr>
      <w:tr w14:paraId="5DF32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  <w:tcBorders>
              <w:top w:val="nil"/>
              <w:left w:val="nil"/>
              <w:bottom w:val="single" w:color="000000" w:sz="18" w:space="0"/>
              <w:right w:val="nil"/>
            </w:tcBorders>
            <w:noWrap w:val="0"/>
            <w:vAlign w:val="center"/>
          </w:tcPr>
          <w:p w14:paraId="669BF00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T-score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18" w:space="0"/>
              <w:right w:val="nil"/>
            </w:tcBorders>
            <w:noWrap w:val="0"/>
            <w:vAlign w:val="center"/>
          </w:tcPr>
          <w:p w14:paraId="7C4E782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-1.0 ± 1.6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18" w:space="0"/>
              <w:right w:val="nil"/>
            </w:tcBorders>
            <w:noWrap w:val="0"/>
            <w:vAlign w:val="center"/>
          </w:tcPr>
          <w:p w14:paraId="518C3A3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-0.3 ± 1.2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18" w:space="0"/>
              <w:right w:val="nil"/>
            </w:tcBorders>
            <w:noWrap w:val="0"/>
            <w:vAlign w:val="center"/>
          </w:tcPr>
          <w:p w14:paraId="5C2497B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-3.2 ± 0.5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8" w:space="0"/>
              <w:right w:val="nil"/>
            </w:tcBorders>
            <w:noWrap w:val="0"/>
            <w:vAlign w:val="center"/>
          </w:tcPr>
          <w:p w14:paraId="1ECAD16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  <w:lang w:eastAsia="zh-CN"/>
              </w:rPr>
              <w:t xml:space="preserve">Z </w:t>
            </w:r>
            <w:r>
              <w:rPr>
                <w:rFonts w:hint="default" w:ascii="Arial" w:hAnsi="Arial" w:eastAsia="Times New Roman" w:cs="Arial"/>
              </w:rPr>
              <w:t>= -10.125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18" w:space="0"/>
              <w:right w:val="nil"/>
            </w:tcBorders>
            <w:noWrap w:val="0"/>
            <w:vAlign w:val="center"/>
          </w:tcPr>
          <w:p w14:paraId="650BCA4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 0.001</w:t>
            </w:r>
          </w:p>
        </w:tc>
      </w:tr>
    </w:tbl>
    <w:p w14:paraId="026B7E5F">
      <w:pPr>
        <w:rPr>
          <w:rFonts w:hint="default" w:ascii="Arial" w:hAnsi="Arial" w:cs="Arial"/>
          <w:sz w:val="18"/>
        </w:rPr>
      </w:pPr>
      <w:r>
        <w:rPr>
          <w:rFonts w:hint="default" w:ascii="Arial" w:hAnsi="Arial" w:eastAsia="Times New Roman" w:cs="Arial"/>
          <w:b/>
          <w:bCs/>
          <w:color w:val="000000"/>
          <w:kern w:val="0"/>
          <w:sz w:val="18"/>
          <w:szCs w:val="22"/>
          <w:lang w:val="en-US" w:eastAsia="de-DE" w:bidi="en-US"/>
        </w:rPr>
        <w:t>Note:</w:t>
      </w:r>
      <w:r>
        <w:rPr>
          <w:rFonts w:hint="default" w:ascii="Arial" w:hAnsi="Arial" w:cs="Arial"/>
          <w:sz w:val="18"/>
        </w:rPr>
        <w:t xml:space="preserve"> 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t xml:space="preserve">Data are expressed as mean ± standard deviation or </w:t>
      </w:r>
      <w:r>
        <w:rPr>
          <w:rFonts w:hint="default" w:ascii="Arial" w:hAnsi="Arial" w:eastAsia="Times New Roman" w:cs="Arial"/>
          <w:i/>
          <w:iCs/>
          <w:color w:val="000000"/>
          <w:kern w:val="0"/>
          <w:sz w:val="18"/>
          <w:szCs w:val="22"/>
          <w:lang w:val="en-US" w:eastAsia="de-DE" w:bidi="en-US"/>
        </w:rPr>
        <w:t>n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t xml:space="preserve"> (%); </w:t>
      </w:r>
      <w:r>
        <w:rPr>
          <w:rFonts w:hint="default" w:ascii="Arial" w:hAnsi="Arial" w:eastAsia="Times New Roman" w:cs="Arial"/>
          <w:i/>
          <w:iCs/>
          <w:color w:val="000000"/>
          <w:kern w:val="0"/>
          <w:sz w:val="18"/>
          <w:szCs w:val="22"/>
          <w:lang w:val="en-US" w:eastAsia="zh-CN" w:bidi="en-US"/>
        </w:rPr>
        <w:t>P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zh-CN" w:bidi="en-US"/>
        </w:rPr>
        <w:t>-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t>values are based on Wilcoxon rank-sum test (*), Chi-square test, or Welch's</w:t>
      </w:r>
      <w:r>
        <w:rPr>
          <w:rFonts w:hint="default" w:ascii="Arial" w:hAnsi="Arial" w:eastAsia="Times New Roman" w:cs="Arial"/>
          <w:i/>
          <w:iCs/>
          <w:color w:val="000000"/>
          <w:kern w:val="0"/>
          <w:sz w:val="18"/>
          <w:szCs w:val="22"/>
          <w:lang w:val="en-US" w:eastAsia="de-DE" w:bidi="en-US"/>
        </w:rPr>
        <w:t xml:space="preserve"> t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t>-test. BMI, Body Mass Index; HU, Hounsfield Unit.</w:t>
      </w:r>
    </w:p>
    <w:p w14:paraId="1D075841">
      <w:pPr>
        <w:rPr>
          <w:rFonts w:hint="default" w:ascii="Arial" w:hAnsi="Arial" w:cs="Arial"/>
          <w:sz w:val="18"/>
        </w:rPr>
      </w:pPr>
    </w:p>
    <w:p w14:paraId="538487A8">
      <w:pPr>
        <w:jc w:val="left"/>
        <w:rPr>
          <w:rFonts w:hint="default" w:ascii="Arial" w:hAnsi="Arial" w:eastAsia="Times New Roman" w:cs="Arial"/>
          <w:b w:val="0"/>
          <w:bCs/>
          <w:color w:val="000000"/>
          <w:kern w:val="0"/>
          <w:sz w:val="18"/>
          <w:szCs w:val="22"/>
          <w:lang w:val="en-US" w:eastAsia="de-DE" w:bidi="en-US"/>
        </w:rPr>
      </w:pPr>
      <w:r>
        <w:rPr>
          <w:rFonts w:hint="default" w:ascii="Arial" w:hAnsi="Arial" w:eastAsia="Times New Roman" w:cs="Arial"/>
          <w:b/>
          <w:color w:val="000000"/>
          <w:kern w:val="0"/>
          <w:sz w:val="18"/>
          <w:szCs w:val="22"/>
          <w:lang w:val="en-US" w:eastAsia="de-DE" w:bidi="en-US"/>
        </w:rPr>
        <w:t xml:space="preserve">Table </w:t>
      </w:r>
      <w:r>
        <w:rPr>
          <w:rFonts w:hint="default" w:ascii="Arial" w:hAnsi="Arial" w:eastAsia="Times New Roman" w:cs="Arial"/>
          <w:b/>
          <w:color w:val="000000"/>
          <w:kern w:val="0"/>
          <w:sz w:val="18"/>
          <w:szCs w:val="22"/>
          <w:lang w:val="en-US" w:eastAsia="zh-CN" w:bidi="en-US"/>
        </w:rPr>
        <w:t>S2</w:t>
      </w:r>
      <w:r>
        <w:rPr>
          <w:rFonts w:hint="default" w:ascii="Arial" w:hAnsi="Arial" w:eastAsia="Times New Roman" w:cs="Arial"/>
          <w:b/>
          <w:color w:val="000000"/>
          <w:kern w:val="0"/>
          <w:sz w:val="18"/>
          <w:szCs w:val="22"/>
          <w:lang w:val="en-US" w:eastAsia="de-DE" w:bidi="en-US"/>
        </w:rPr>
        <w:t>.</w:t>
      </w:r>
      <w:r>
        <w:rPr>
          <w:rFonts w:hint="default" w:ascii="Arial" w:hAnsi="Arial" w:cs="Arial"/>
          <w:b/>
        </w:rPr>
        <w:t xml:space="preserve"> </w:t>
      </w:r>
      <w:r>
        <w:rPr>
          <w:rFonts w:hint="default" w:ascii="Arial" w:hAnsi="Arial" w:eastAsia="Times New Roman" w:cs="Arial"/>
          <w:b w:val="0"/>
          <w:bCs/>
          <w:color w:val="000000"/>
          <w:kern w:val="0"/>
          <w:sz w:val="18"/>
          <w:szCs w:val="22"/>
          <w:lang w:val="en-US" w:eastAsia="de-DE" w:bidi="en-US"/>
        </w:rPr>
        <w:t>Baseline characteristics and univariate analysis of patients with liver cirrhosis.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1"/>
        <w:gridCol w:w="1344"/>
        <w:gridCol w:w="1344"/>
        <w:gridCol w:w="1665"/>
        <w:gridCol w:w="1338"/>
      </w:tblGrid>
      <w:tr w14:paraId="2D570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tcBorders>
              <w:top w:val="single" w:color="000000" w:sz="12" w:space="0"/>
              <w:bottom w:val="single" w:color="000000" w:sz="8" w:space="0"/>
            </w:tcBorders>
            <w:noWrap w:val="0"/>
            <w:vAlign w:val="center"/>
          </w:tcPr>
          <w:p w14:paraId="552D529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  <w:b/>
                <w:bCs/>
              </w:rPr>
            </w:pPr>
            <w:r>
              <w:rPr>
                <w:rFonts w:hint="default" w:ascii="Arial" w:hAnsi="Arial" w:eastAsia="Times New Roman" w:cs="Arial"/>
                <w:b/>
                <w:bCs/>
              </w:rPr>
              <w:t>Variables</w:t>
            </w:r>
          </w:p>
        </w:tc>
        <w:tc>
          <w:tcPr>
            <w:tcW w:w="1344" w:type="dxa"/>
            <w:tcBorders>
              <w:top w:val="single" w:color="000000" w:sz="12" w:space="0"/>
              <w:bottom w:val="single" w:color="000000" w:sz="8" w:space="0"/>
            </w:tcBorders>
            <w:noWrap w:val="0"/>
            <w:vAlign w:val="center"/>
          </w:tcPr>
          <w:p w14:paraId="783E6A8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  <w:b/>
                <w:bCs/>
              </w:rPr>
            </w:pPr>
            <w:r>
              <w:rPr>
                <w:rFonts w:hint="default" w:ascii="Arial" w:hAnsi="Arial" w:eastAsia="Times New Roman" w:cs="Arial"/>
                <w:b/>
                <w:bCs/>
              </w:rPr>
              <w:t>Total (</w:t>
            </w:r>
            <w:r>
              <w:rPr>
                <w:rFonts w:hint="default" w:ascii="Arial" w:hAnsi="Arial" w:eastAsia="Times New Roman" w:cs="Arial"/>
                <w:b/>
                <w:bCs/>
                <w:i/>
                <w:iCs/>
              </w:rPr>
              <w:t>N</w:t>
            </w:r>
            <w:r>
              <w:rPr>
                <w:rFonts w:hint="default" w:ascii="Arial" w:hAnsi="Arial" w:eastAsia="Times New Roman" w:cs="Arial"/>
                <w:b/>
                <w:bCs/>
              </w:rPr>
              <w:t xml:space="preserve"> = 281)</w:t>
            </w:r>
          </w:p>
        </w:tc>
        <w:tc>
          <w:tcPr>
            <w:tcW w:w="1344" w:type="dxa"/>
            <w:tcBorders>
              <w:top w:val="single" w:color="000000" w:sz="12" w:space="0"/>
              <w:bottom w:val="single" w:color="000000" w:sz="8" w:space="0"/>
            </w:tcBorders>
            <w:noWrap w:val="0"/>
            <w:vAlign w:val="center"/>
          </w:tcPr>
          <w:p w14:paraId="59AB775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  <w:b/>
                <w:bCs/>
              </w:rPr>
            </w:pPr>
            <w:r>
              <w:rPr>
                <w:rFonts w:hint="default" w:ascii="Arial" w:hAnsi="Arial" w:eastAsia="Times New Roman" w:cs="Arial"/>
                <w:b/>
                <w:bCs/>
              </w:rPr>
              <w:t>Normal bone mass (</w:t>
            </w:r>
            <w:r>
              <w:rPr>
                <w:rFonts w:hint="default" w:ascii="Arial" w:hAnsi="Arial" w:eastAsia="Times New Roman" w:cs="Arial"/>
                <w:b/>
                <w:bCs/>
                <w:i/>
                <w:iCs/>
              </w:rPr>
              <w:t>n</w:t>
            </w:r>
            <w:r>
              <w:rPr>
                <w:rFonts w:hint="default" w:ascii="Arial" w:hAnsi="Arial" w:eastAsia="Times New Roman" w:cs="Arial"/>
                <w:b/>
                <w:bCs/>
              </w:rPr>
              <w:t xml:space="preserve"> = 160)</w:t>
            </w:r>
          </w:p>
        </w:tc>
        <w:tc>
          <w:tcPr>
            <w:tcW w:w="1665" w:type="dxa"/>
            <w:tcBorders>
              <w:top w:val="single" w:color="000000" w:sz="12" w:space="0"/>
              <w:bottom w:val="single" w:color="000000" w:sz="8" w:space="0"/>
            </w:tcBorders>
            <w:noWrap w:val="0"/>
            <w:vAlign w:val="center"/>
          </w:tcPr>
          <w:p w14:paraId="67B8AC3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  <w:b/>
                <w:bCs/>
              </w:rPr>
            </w:pPr>
            <w:r>
              <w:rPr>
                <w:rFonts w:hint="default" w:ascii="Arial" w:hAnsi="Arial" w:eastAsia="Times New Roman" w:cs="Arial"/>
                <w:b/>
                <w:bCs/>
              </w:rPr>
              <w:t>Osteoporosis (</w:t>
            </w:r>
            <w:r>
              <w:rPr>
                <w:rFonts w:hint="default" w:ascii="Arial" w:hAnsi="Arial" w:eastAsia="Times New Roman" w:cs="Arial"/>
                <w:b/>
                <w:bCs/>
                <w:i/>
                <w:iCs/>
              </w:rPr>
              <w:t>n</w:t>
            </w:r>
            <w:r>
              <w:rPr>
                <w:rFonts w:hint="default" w:ascii="Arial" w:hAnsi="Arial" w:eastAsia="Times New Roman" w:cs="Arial"/>
                <w:b/>
                <w:bCs/>
              </w:rPr>
              <w:t xml:space="preserve"> = 121)</w:t>
            </w:r>
          </w:p>
        </w:tc>
        <w:tc>
          <w:tcPr>
            <w:tcW w:w="1338" w:type="dxa"/>
            <w:tcBorders>
              <w:top w:val="single" w:color="000000" w:sz="12" w:space="0"/>
              <w:bottom w:val="single" w:color="000000" w:sz="8" w:space="0"/>
            </w:tcBorders>
            <w:noWrap w:val="0"/>
            <w:vAlign w:val="center"/>
          </w:tcPr>
          <w:p w14:paraId="422F7EB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  <w:b/>
                <w:bCs/>
              </w:rPr>
            </w:pPr>
            <w:r>
              <w:rPr>
                <w:rFonts w:hint="default" w:ascii="Arial" w:hAnsi="Arial" w:eastAsia="Times New Roman" w:cs="Arial"/>
                <w:b/>
                <w:bCs/>
                <w:i/>
                <w:iCs/>
                <w:lang w:eastAsia="zh-CN"/>
              </w:rPr>
              <w:t>P</w:t>
            </w:r>
            <w:r>
              <w:rPr>
                <w:rFonts w:hint="default" w:ascii="Arial" w:hAnsi="Arial" w:eastAsia="Times New Roman" w:cs="Arial"/>
                <w:b/>
                <w:bCs/>
                <w:lang w:eastAsia="zh-CN"/>
              </w:rPr>
              <w:t>-</w:t>
            </w:r>
            <w:r>
              <w:rPr>
                <w:rFonts w:hint="default" w:ascii="Arial" w:hAnsi="Arial" w:eastAsia="Times New Roman" w:cs="Arial"/>
                <w:b/>
                <w:bCs/>
              </w:rPr>
              <w:t>value</w:t>
            </w:r>
          </w:p>
        </w:tc>
      </w:tr>
      <w:tr w14:paraId="497F4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center"/>
          </w:tcPr>
          <w:p w14:paraId="70FDE16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Core bone indicator</w:t>
            </w:r>
          </w:p>
        </w:tc>
      </w:tr>
      <w:tr w14:paraId="76FC5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689938C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Mean CT value (HU)</w:t>
            </w:r>
          </w:p>
        </w:tc>
        <w:tc>
          <w:tcPr>
            <w:tcW w:w="1344" w:type="dxa"/>
            <w:noWrap w:val="0"/>
            <w:vAlign w:val="center"/>
          </w:tcPr>
          <w:p w14:paraId="293A1FF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126.30 [96.40, 161.55]</w:t>
            </w:r>
          </w:p>
        </w:tc>
        <w:tc>
          <w:tcPr>
            <w:tcW w:w="1344" w:type="dxa"/>
            <w:noWrap w:val="0"/>
            <w:vAlign w:val="center"/>
          </w:tcPr>
          <w:p w14:paraId="5DB9E0A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150.15 [129.93, 173.48]</w:t>
            </w:r>
          </w:p>
        </w:tc>
        <w:tc>
          <w:tcPr>
            <w:tcW w:w="1665" w:type="dxa"/>
            <w:noWrap w:val="0"/>
            <w:vAlign w:val="center"/>
          </w:tcPr>
          <w:p w14:paraId="4162A2C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89.30 [71.00, 101.30]</w:t>
            </w:r>
          </w:p>
        </w:tc>
        <w:tc>
          <w:tcPr>
            <w:tcW w:w="1338" w:type="dxa"/>
            <w:noWrap w:val="0"/>
            <w:vAlign w:val="center"/>
          </w:tcPr>
          <w:p w14:paraId="60250D3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&lt;0.001a</w:t>
            </w:r>
          </w:p>
        </w:tc>
      </w:tr>
      <w:tr w14:paraId="641D3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center"/>
          </w:tcPr>
          <w:p w14:paraId="1ECDF8F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Demographics and anthropometry</w:t>
            </w:r>
          </w:p>
        </w:tc>
      </w:tr>
      <w:tr w14:paraId="65CD7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CF1783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Age (years)</w:t>
            </w:r>
          </w:p>
        </w:tc>
        <w:tc>
          <w:tcPr>
            <w:tcW w:w="1344" w:type="dxa"/>
            <w:noWrap w:val="0"/>
            <w:vAlign w:val="center"/>
          </w:tcPr>
          <w:p w14:paraId="164DB05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60.00 [53.00, 69.00]</w:t>
            </w:r>
          </w:p>
        </w:tc>
        <w:tc>
          <w:tcPr>
            <w:tcW w:w="1344" w:type="dxa"/>
            <w:noWrap w:val="0"/>
            <w:vAlign w:val="center"/>
          </w:tcPr>
          <w:p w14:paraId="36885FE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56.00 [50.75, 60.25]</w:t>
            </w:r>
          </w:p>
        </w:tc>
        <w:tc>
          <w:tcPr>
            <w:tcW w:w="1665" w:type="dxa"/>
            <w:noWrap w:val="0"/>
            <w:vAlign w:val="center"/>
          </w:tcPr>
          <w:p w14:paraId="507A87B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70.00 [65.00, 75.00]</w:t>
            </w:r>
          </w:p>
        </w:tc>
        <w:tc>
          <w:tcPr>
            <w:tcW w:w="1338" w:type="dxa"/>
            <w:noWrap w:val="0"/>
            <w:vAlign w:val="center"/>
          </w:tcPr>
          <w:p w14:paraId="62AD731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&lt;0.001a</w:t>
            </w:r>
          </w:p>
        </w:tc>
      </w:tr>
      <w:tr w14:paraId="77DA5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3BB27B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Female, n (%)</w:t>
            </w:r>
          </w:p>
        </w:tc>
        <w:tc>
          <w:tcPr>
            <w:tcW w:w="1344" w:type="dxa"/>
            <w:noWrap w:val="0"/>
            <w:vAlign w:val="center"/>
          </w:tcPr>
          <w:p w14:paraId="698439B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86 (30.6%)</w:t>
            </w:r>
          </w:p>
        </w:tc>
        <w:tc>
          <w:tcPr>
            <w:tcW w:w="1344" w:type="dxa"/>
            <w:noWrap w:val="0"/>
            <w:vAlign w:val="center"/>
          </w:tcPr>
          <w:p w14:paraId="1D458EE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35 (21.9%)</w:t>
            </w:r>
          </w:p>
        </w:tc>
        <w:tc>
          <w:tcPr>
            <w:tcW w:w="1665" w:type="dxa"/>
            <w:noWrap w:val="0"/>
            <w:vAlign w:val="center"/>
          </w:tcPr>
          <w:p w14:paraId="431B2D3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51 (42.1%)</w:t>
            </w:r>
          </w:p>
        </w:tc>
        <w:tc>
          <w:tcPr>
            <w:tcW w:w="1338" w:type="dxa"/>
            <w:noWrap w:val="0"/>
            <w:vAlign w:val="center"/>
          </w:tcPr>
          <w:p w14:paraId="164975B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&lt;0.001c</w:t>
            </w:r>
          </w:p>
        </w:tc>
      </w:tr>
      <w:tr w14:paraId="61D7E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A8F58F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BMI (kg/m²)</w:t>
            </w:r>
          </w:p>
        </w:tc>
        <w:tc>
          <w:tcPr>
            <w:tcW w:w="1344" w:type="dxa"/>
            <w:noWrap w:val="0"/>
            <w:vAlign w:val="center"/>
          </w:tcPr>
          <w:p w14:paraId="32153C2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21.80 [19.70, 24.10]</w:t>
            </w:r>
          </w:p>
        </w:tc>
        <w:tc>
          <w:tcPr>
            <w:tcW w:w="1344" w:type="dxa"/>
            <w:noWrap w:val="0"/>
            <w:vAlign w:val="center"/>
          </w:tcPr>
          <w:p w14:paraId="4D3CF63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22.80 [20.58, 25.13]</w:t>
            </w:r>
          </w:p>
        </w:tc>
        <w:tc>
          <w:tcPr>
            <w:tcW w:w="1665" w:type="dxa"/>
            <w:noWrap w:val="0"/>
            <w:vAlign w:val="center"/>
          </w:tcPr>
          <w:p w14:paraId="61363DC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20.40 [18.60, 22.30]</w:t>
            </w:r>
          </w:p>
        </w:tc>
        <w:tc>
          <w:tcPr>
            <w:tcW w:w="1338" w:type="dxa"/>
            <w:noWrap w:val="0"/>
            <w:vAlign w:val="center"/>
          </w:tcPr>
          <w:p w14:paraId="468CF2C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&lt;0.001a</w:t>
            </w:r>
          </w:p>
        </w:tc>
      </w:tr>
      <w:tr w14:paraId="2D882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3A3A9E0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NRS2002 nutritional score</w:t>
            </w:r>
          </w:p>
        </w:tc>
        <w:tc>
          <w:tcPr>
            <w:tcW w:w="1344" w:type="dxa"/>
            <w:noWrap w:val="0"/>
            <w:vAlign w:val="center"/>
          </w:tcPr>
          <w:p w14:paraId="7FD20AC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3.00 [2.00, 4.00]</w:t>
            </w:r>
          </w:p>
        </w:tc>
        <w:tc>
          <w:tcPr>
            <w:tcW w:w="1344" w:type="dxa"/>
            <w:noWrap w:val="0"/>
            <w:vAlign w:val="center"/>
          </w:tcPr>
          <w:p w14:paraId="45C25F7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3.00 [1.00, 3.00]</w:t>
            </w:r>
          </w:p>
        </w:tc>
        <w:tc>
          <w:tcPr>
            <w:tcW w:w="1665" w:type="dxa"/>
            <w:noWrap w:val="0"/>
            <w:vAlign w:val="center"/>
          </w:tcPr>
          <w:p w14:paraId="541A4CC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4.00 [3.00, 4.00]</w:t>
            </w:r>
          </w:p>
        </w:tc>
        <w:tc>
          <w:tcPr>
            <w:tcW w:w="1338" w:type="dxa"/>
            <w:noWrap w:val="0"/>
            <w:vAlign w:val="center"/>
          </w:tcPr>
          <w:p w14:paraId="695CB4F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&lt;0.001a</w:t>
            </w:r>
          </w:p>
        </w:tc>
      </w:tr>
      <w:tr w14:paraId="1F031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center"/>
          </w:tcPr>
          <w:p w14:paraId="2B95D4F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Lifestyle factors</w:t>
            </w:r>
          </w:p>
        </w:tc>
      </w:tr>
      <w:tr w14:paraId="241E6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18FC2A2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Smoking history, n (%)</w:t>
            </w:r>
          </w:p>
        </w:tc>
        <w:tc>
          <w:tcPr>
            <w:tcW w:w="1344" w:type="dxa"/>
            <w:noWrap w:val="0"/>
            <w:vAlign w:val="center"/>
          </w:tcPr>
          <w:p w14:paraId="48DBE79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33A9312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50AEC9C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1FAB881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&lt;0.001c</w:t>
            </w:r>
          </w:p>
        </w:tc>
      </w:tr>
      <w:tr w14:paraId="6B507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57E0041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Never</w:t>
            </w:r>
          </w:p>
        </w:tc>
        <w:tc>
          <w:tcPr>
            <w:tcW w:w="1344" w:type="dxa"/>
            <w:noWrap w:val="0"/>
            <w:vAlign w:val="center"/>
          </w:tcPr>
          <w:p w14:paraId="6795E80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141 (50.2%)</w:t>
            </w:r>
          </w:p>
        </w:tc>
        <w:tc>
          <w:tcPr>
            <w:tcW w:w="1344" w:type="dxa"/>
            <w:noWrap w:val="0"/>
            <w:vAlign w:val="center"/>
          </w:tcPr>
          <w:p w14:paraId="62ADF62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66 (41.2%)</w:t>
            </w:r>
          </w:p>
        </w:tc>
        <w:tc>
          <w:tcPr>
            <w:tcW w:w="1665" w:type="dxa"/>
            <w:noWrap w:val="0"/>
            <w:vAlign w:val="center"/>
          </w:tcPr>
          <w:p w14:paraId="48E75E6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75 (62.0%)</w:t>
            </w:r>
          </w:p>
        </w:tc>
        <w:tc>
          <w:tcPr>
            <w:tcW w:w="1338" w:type="dxa"/>
            <w:noWrap w:val="0"/>
            <w:vAlign w:val="center"/>
          </w:tcPr>
          <w:p w14:paraId="366C2E8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3B075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3107530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Former (Quit)</w:t>
            </w:r>
          </w:p>
        </w:tc>
        <w:tc>
          <w:tcPr>
            <w:tcW w:w="1344" w:type="dxa"/>
            <w:noWrap w:val="0"/>
            <w:vAlign w:val="center"/>
          </w:tcPr>
          <w:p w14:paraId="31D0C5B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39 (13.9%)</w:t>
            </w:r>
          </w:p>
        </w:tc>
        <w:tc>
          <w:tcPr>
            <w:tcW w:w="1344" w:type="dxa"/>
            <w:noWrap w:val="0"/>
            <w:vAlign w:val="center"/>
          </w:tcPr>
          <w:p w14:paraId="1CED159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17 (10.6%)</w:t>
            </w:r>
          </w:p>
        </w:tc>
        <w:tc>
          <w:tcPr>
            <w:tcW w:w="1665" w:type="dxa"/>
            <w:noWrap w:val="0"/>
            <w:vAlign w:val="center"/>
          </w:tcPr>
          <w:p w14:paraId="5F46162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22 (18.2%)</w:t>
            </w:r>
          </w:p>
        </w:tc>
        <w:tc>
          <w:tcPr>
            <w:tcW w:w="1338" w:type="dxa"/>
            <w:noWrap w:val="0"/>
            <w:vAlign w:val="center"/>
          </w:tcPr>
          <w:p w14:paraId="343C83D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34E1B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1765736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Current</w:t>
            </w:r>
          </w:p>
        </w:tc>
        <w:tc>
          <w:tcPr>
            <w:tcW w:w="1344" w:type="dxa"/>
            <w:noWrap w:val="0"/>
            <w:vAlign w:val="center"/>
          </w:tcPr>
          <w:p w14:paraId="32EA495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101 (35.9%)</w:t>
            </w:r>
          </w:p>
        </w:tc>
        <w:tc>
          <w:tcPr>
            <w:tcW w:w="1344" w:type="dxa"/>
            <w:noWrap w:val="0"/>
            <w:vAlign w:val="center"/>
          </w:tcPr>
          <w:p w14:paraId="4C534D8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77 (48.1%)</w:t>
            </w:r>
          </w:p>
        </w:tc>
        <w:tc>
          <w:tcPr>
            <w:tcW w:w="1665" w:type="dxa"/>
            <w:noWrap w:val="0"/>
            <w:vAlign w:val="center"/>
          </w:tcPr>
          <w:p w14:paraId="22EEE33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24 (19.8%)</w:t>
            </w:r>
          </w:p>
        </w:tc>
        <w:tc>
          <w:tcPr>
            <w:tcW w:w="1338" w:type="dxa"/>
            <w:noWrap w:val="0"/>
            <w:vAlign w:val="center"/>
          </w:tcPr>
          <w:p w14:paraId="2A24793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4C450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741ABD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Alcohol history, n (%)</w:t>
            </w:r>
          </w:p>
        </w:tc>
        <w:tc>
          <w:tcPr>
            <w:tcW w:w="1344" w:type="dxa"/>
            <w:noWrap w:val="0"/>
            <w:vAlign w:val="center"/>
          </w:tcPr>
          <w:p w14:paraId="1E74312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6238C99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5BB675E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7FA063E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0.002c</w:t>
            </w:r>
          </w:p>
        </w:tc>
      </w:tr>
      <w:tr w14:paraId="2C54D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5527F93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Never</w:t>
            </w:r>
          </w:p>
        </w:tc>
        <w:tc>
          <w:tcPr>
            <w:tcW w:w="1344" w:type="dxa"/>
            <w:noWrap w:val="0"/>
            <w:vAlign w:val="center"/>
          </w:tcPr>
          <w:p w14:paraId="3072824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140 (49.8%)</w:t>
            </w:r>
          </w:p>
        </w:tc>
        <w:tc>
          <w:tcPr>
            <w:tcW w:w="1344" w:type="dxa"/>
            <w:noWrap w:val="0"/>
            <w:vAlign w:val="center"/>
          </w:tcPr>
          <w:p w14:paraId="64F9BAD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71 (44.4%)</w:t>
            </w:r>
          </w:p>
        </w:tc>
        <w:tc>
          <w:tcPr>
            <w:tcW w:w="1665" w:type="dxa"/>
            <w:noWrap w:val="0"/>
            <w:vAlign w:val="center"/>
          </w:tcPr>
          <w:p w14:paraId="0534B20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69 (57.0%)</w:t>
            </w:r>
          </w:p>
        </w:tc>
        <w:tc>
          <w:tcPr>
            <w:tcW w:w="1338" w:type="dxa"/>
            <w:noWrap w:val="0"/>
            <w:vAlign w:val="center"/>
          </w:tcPr>
          <w:p w14:paraId="7082270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23122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AF1D00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Former (Quit)</w:t>
            </w:r>
          </w:p>
        </w:tc>
        <w:tc>
          <w:tcPr>
            <w:tcW w:w="1344" w:type="dxa"/>
            <w:noWrap w:val="0"/>
            <w:vAlign w:val="center"/>
          </w:tcPr>
          <w:p w14:paraId="777E015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67 (23.8%)</w:t>
            </w:r>
          </w:p>
        </w:tc>
        <w:tc>
          <w:tcPr>
            <w:tcW w:w="1344" w:type="dxa"/>
            <w:noWrap w:val="0"/>
            <w:vAlign w:val="center"/>
          </w:tcPr>
          <w:p w14:paraId="509C4B9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34 (21.2%)</w:t>
            </w:r>
          </w:p>
        </w:tc>
        <w:tc>
          <w:tcPr>
            <w:tcW w:w="1665" w:type="dxa"/>
            <w:noWrap w:val="0"/>
            <w:vAlign w:val="center"/>
          </w:tcPr>
          <w:p w14:paraId="3302567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33 (27.3%)</w:t>
            </w:r>
          </w:p>
        </w:tc>
        <w:tc>
          <w:tcPr>
            <w:tcW w:w="1338" w:type="dxa"/>
            <w:noWrap w:val="0"/>
            <w:vAlign w:val="center"/>
          </w:tcPr>
          <w:p w14:paraId="251A2E2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25158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31D6AA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Current</w:t>
            </w:r>
          </w:p>
        </w:tc>
        <w:tc>
          <w:tcPr>
            <w:tcW w:w="1344" w:type="dxa"/>
            <w:noWrap w:val="0"/>
            <w:vAlign w:val="center"/>
          </w:tcPr>
          <w:p w14:paraId="0214AF1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74 (26.3%)</w:t>
            </w:r>
          </w:p>
        </w:tc>
        <w:tc>
          <w:tcPr>
            <w:tcW w:w="1344" w:type="dxa"/>
            <w:noWrap w:val="0"/>
            <w:vAlign w:val="center"/>
          </w:tcPr>
          <w:p w14:paraId="70E213B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55 (34.4%)</w:t>
            </w:r>
          </w:p>
        </w:tc>
        <w:tc>
          <w:tcPr>
            <w:tcW w:w="1665" w:type="dxa"/>
            <w:noWrap w:val="0"/>
            <w:vAlign w:val="center"/>
          </w:tcPr>
          <w:p w14:paraId="7D7DF2D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19 (15.7%)</w:t>
            </w:r>
          </w:p>
        </w:tc>
        <w:tc>
          <w:tcPr>
            <w:tcW w:w="1338" w:type="dxa"/>
            <w:noWrap w:val="0"/>
            <w:vAlign w:val="center"/>
          </w:tcPr>
          <w:p w14:paraId="660D1BF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32696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center"/>
          </w:tcPr>
          <w:p w14:paraId="389B3C1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Liver synthesis and biochemical indicators</w:t>
            </w:r>
          </w:p>
        </w:tc>
      </w:tr>
      <w:tr w14:paraId="0AD91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D8DA2D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Albumin (g/L)</w:t>
            </w:r>
          </w:p>
        </w:tc>
        <w:tc>
          <w:tcPr>
            <w:tcW w:w="1344" w:type="dxa"/>
            <w:noWrap w:val="0"/>
            <w:vAlign w:val="center"/>
          </w:tcPr>
          <w:p w14:paraId="2C76F80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30.20 [25.70, 35.40]</w:t>
            </w:r>
          </w:p>
        </w:tc>
        <w:tc>
          <w:tcPr>
            <w:tcW w:w="1344" w:type="dxa"/>
            <w:noWrap w:val="0"/>
            <w:vAlign w:val="center"/>
          </w:tcPr>
          <w:p w14:paraId="20648D6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31.25 [26.70, 37.30]</w:t>
            </w:r>
          </w:p>
        </w:tc>
        <w:tc>
          <w:tcPr>
            <w:tcW w:w="1665" w:type="dxa"/>
            <w:noWrap w:val="0"/>
            <w:vAlign w:val="center"/>
          </w:tcPr>
          <w:p w14:paraId="105908C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28.90 [24.70, 32.60]</w:t>
            </w:r>
          </w:p>
        </w:tc>
        <w:tc>
          <w:tcPr>
            <w:tcW w:w="1338" w:type="dxa"/>
            <w:noWrap w:val="0"/>
            <w:vAlign w:val="center"/>
          </w:tcPr>
          <w:p w14:paraId="7777C82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0.001a</w:t>
            </w:r>
          </w:p>
        </w:tc>
      </w:tr>
      <w:tr w14:paraId="0EDD1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E6FF33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ALT (U/L)</w:t>
            </w:r>
          </w:p>
        </w:tc>
        <w:tc>
          <w:tcPr>
            <w:tcW w:w="1344" w:type="dxa"/>
            <w:noWrap w:val="0"/>
            <w:vAlign w:val="center"/>
          </w:tcPr>
          <w:p w14:paraId="444CF96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32.00 [20.00, 56.00]</w:t>
            </w:r>
          </w:p>
        </w:tc>
        <w:tc>
          <w:tcPr>
            <w:tcW w:w="1344" w:type="dxa"/>
            <w:noWrap w:val="0"/>
            <w:vAlign w:val="center"/>
          </w:tcPr>
          <w:p w14:paraId="30ACE82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36.00 [22.00, 61.00]</w:t>
            </w:r>
          </w:p>
        </w:tc>
        <w:tc>
          <w:tcPr>
            <w:tcW w:w="1665" w:type="dxa"/>
            <w:noWrap w:val="0"/>
            <w:vAlign w:val="center"/>
          </w:tcPr>
          <w:p w14:paraId="04AE7EC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28.00 [16.00, 50.00]</w:t>
            </w:r>
          </w:p>
        </w:tc>
        <w:tc>
          <w:tcPr>
            <w:tcW w:w="1338" w:type="dxa"/>
            <w:noWrap w:val="0"/>
            <w:vAlign w:val="center"/>
          </w:tcPr>
          <w:p w14:paraId="04D5469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0.005a</w:t>
            </w:r>
          </w:p>
        </w:tc>
      </w:tr>
      <w:tr w14:paraId="570D8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E84718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AST (U/L)</w:t>
            </w:r>
          </w:p>
        </w:tc>
        <w:tc>
          <w:tcPr>
            <w:tcW w:w="1344" w:type="dxa"/>
            <w:noWrap w:val="0"/>
            <w:vAlign w:val="center"/>
          </w:tcPr>
          <w:p w14:paraId="3073809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49.00 [33.00, 98.00]</w:t>
            </w:r>
          </w:p>
        </w:tc>
        <w:tc>
          <w:tcPr>
            <w:tcW w:w="1344" w:type="dxa"/>
            <w:noWrap w:val="0"/>
            <w:vAlign w:val="center"/>
          </w:tcPr>
          <w:p w14:paraId="77F94B6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51.00 [34.00, 109.50]</w:t>
            </w:r>
          </w:p>
        </w:tc>
        <w:tc>
          <w:tcPr>
            <w:tcW w:w="1665" w:type="dxa"/>
            <w:noWrap w:val="0"/>
            <w:vAlign w:val="center"/>
          </w:tcPr>
          <w:p w14:paraId="5B0640F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46.00 [32.00, 83.00]</w:t>
            </w:r>
          </w:p>
        </w:tc>
        <w:tc>
          <w:tcPr>
            <w:tcW w:w="1338" w:type="dxa"/>
            <w:noWrap w:val="0"/>
            <w:vAlign w:val="center"/>
          </w:tcPr>
          <w:p w14:paraId="6F88ED5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0.110a</w:t>
            </w:r>
          </w:p>
        </w:tc>
      </w:tr>
      <w:tr w14:paraId="1EF27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1AA2D27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Alkaline phosphatase (U/L)</w:t>
            </w:r>
          </w:p>
        </w:tc>
        <w:tc>
          <w:tcPr>
            <w:tcW w:w="1344" w:type="dxa"/>
            <w:noWrap w:val="0"/>
            <w:vAlign w:val="center"/>
          </w:tcPr>
          <w:p w14:paraId="46C3ECC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131.00 [94.00, 190.00]</w:t>
            </w:r>
          </w:p>
        </w:tc>
        <w:tc>
          <w:tcPr>
            <w:tcW w:w="1344" w:type="dxa"/>
            <w:noWrap w:val="0"/>
            <w:vAlign w:val="center"/>
          </w:tcPr>
          <w:p w14:paraId="721CD3D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126.00 [89.50, 171.25]</w:t>
            </w:r>
          </w:p>
        </w:tc>
        <w:tc>
          <w:tcPr>
            <w:tcW w:w="1665" w:type="dxa"/>
            <w:noWrap w:val="0"/>
            <w:vAlign w:val="center"/>
          </w:tcPr>
          <w:p w14:paraId="374A623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139.00 [99.00, 217.00]</w:t>
            </w:r>
          </w:p>
        </w:tc>
        <w:tc>
          <w:tcPr>
            <w:tcW w:w="1338" w:type="dxa"/>
            <w:noWrap w:val="0"/>
            <w:vAlign w:val="center"/>
          </w:tcPr>
          <w:p w14:paraId="6B3C96C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0.077a</w:t>
            </w:r>
          </w:p>
        </w:tc>
      </w:tr>
      <w:tr w14:paraId="5D463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55389D0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Total bilirubin (μmol/L)</w:t>
            </w:r>
          </w:p>
        </w:tc>
        <w:tc>
          <w:tcPr>
            <w:tcW w:w="1344" w:type="dxa"/>
            <w:noWrap w:val="0"/>
            <w:vAlign w:val="center"/>
          </w:tcPr>
          <w:p w14:paraId="09DFEBB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27.00 [18.00, 45.20]</w:t>
            </w:r>
          </w:p>
        </w:tc>
        <w:tc>
          <w:tcPr>
            <w:tcW w:w="1344" w:type="dxa"/>
            <w:noWrap w:val="0"/>
            <w:vAlign w:val="center"/>
          </w:tcPr>
          <w:p w14:paraId="376BF2B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26.85 [18.88, 42.80]</w:t>
            </w:r>
          </w:p>
        </w:tc>
        <w:tc>
          <w:tcPr>
            <w:tcW w:w="1665" w:type="dxa"/>
            <w:noWrap w:val="0"/>
            <w:vAlign w:val="center"/>
          </w:tcPr>
          <w:p w14:paraId="0019146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27.10 [16.50, 49.50]</w:t>
            </w:r>
          </w:p>
        </w:tc>
        <w:tc>
          <w:tcPr>
            <w:tcW w:w="1338" w:type="dxa"/>
            <w:noWrap w:val="0"/>
            <w:vAlign w:val="center"/>
          </w:tcPr>
          <w:p w14:paraId="5085454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0.588a</w:t>
            </w:r>
          </w:p>
        </w:tc>
      </w:tr>
      <w:tr w14:paraId="5F1E3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4364D7E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INR</w:t>
            </w:r>
          </w:p>
        </w:tc>
        <w:tc>
          <w:tcPr>
            <w:tcW w:w="1344" w:type="dxa"/>
            <w:noWrap w:val="0"/>
            <w:vAlign w:val="center"/>
          </w:tcPr>
          <w:p w14:paraId="5ED0FD0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1.21 [1.08, 1.36]</w:t>
            </w:r>
          </w:p>
        </w:tc>
        <w:tc>
          <w:tcPr>
            <w:tcW w:w="1344" w:type="dxa"/>
            <w:noWrap w:val="0"/>
            <w:vAlign w:val="center"/>
          </w:tcPr>
          <w:p w14:paraId="4F20711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1.21 [1.08, 1.37]</w:t>
            </w:r>
          </w:p>
        </w:tc>
        <w:tc>
          <w:tcPr>
            <w:tcW w:w="1665" w:type="dxa"/>
            <w:noWrap w:val="0"/>
            <w:vAlign w:val="center"/>
          </w:tcPr>
          <w:p w14:paraId="13D4877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1.22 [1.07, 1.35]</w:t>
            </w:r>
          </w:p>
        </w:tc>
        <w:tc>
          <w:tcPr>
            <w:tcW w:w="1338" w:type="dxa"/>
            <w:noWrap w:val="0"/>
            <w:vAlign w:val="center"/>
          </w:tcPr>
          <w:p w14:paraId="148FD45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0.728a</w:t>
            </w:r>
          </w:p>
        </w:tc>
      </w:tr>
      <w:tr w14:paraId="07876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3A05B9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Prothrombin time (s)</w:t>
            </w:r>
          </w:p>
        </w:tc>
        <w:tc>
          <w:tcPr>
            <w:tcW w:w="1344" w:type="dxa"/>
            <w:noWrap w:val="0"/>
            <w:vAlign w:val="center"/>
          </w:tcPr>
          <w:p w14:paraId="0306F54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13.90 [12.30, 15.60]</w:t>
            </w:r>
          </w:p>
        </w:tc>
        <w:tc>
          <w:tcPr>
            <w:tcW w:w="1344" w:type="dxa"/>
            <w:noWrap w:val="0"/>
            <w:vAlign w:val="center"/>
          </w:tcPr>
          <w:p w14:paraId="6C205E2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13.80 [12.38, 15.70]</w:t>
            </w:r>
          </w:p>
        </w:tc>
        <w:tc>
          <w:tcPr>
            <w:tcW w:w="1665" w:type="dxa"/>
            <w:noWrap w:val="0"/>
            <w:vAlign w:val="center"/>
          </w:tcPr>
          <w:p w14:paraId="760496B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14.00 [12.30, 15.40]</w:t>
            </w:r>
          </w:p>
        </w:tc>
        <w:tc>
          <w:tcPr>
            <w:tcW w:w="1338" w:type="dxa"/>
            <w:noWrap w:val="0"/>
            <w:vAlign w:val="center"/>
          </w:tcPr>
          <w:p w14:paraId="45B9211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0.725a</w:t>
            </w:r>
          </w:p>
        </w:tc>
      </w:tr>
      <w:tr w14:paraId="7E12B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center"/>
          </w:tcPr>
          <w:p w14:paraId="7BE3EC5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Renal function and electrolyte metabolism</w:t>
            </w:r>
          </w:p>
        </w:tc>
      </w:tr>
      <w:tr w14:paraId="23351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7DB18F6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Serum sodium (mmol/L)</w:t>
            </w:r>
          </w:p>
        </w:tc>
        <w:tc>
          <w:tcPr>
            <w:tcW w:w="1344" w:type="dxa"/>
            <w:noWrap w:val="0"/>
            <w:vAlign w:val="center"/>
          </w:tcPr>
          <w:p w14:paraId="3C37CCE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139.10 [136.90, 141.20]</w:t>
            </w:r>
          </w:p>
        </w:tc>
        <w:tc>
          <w:tcPr>
            <w:tcW w:w="1344" w:type="dxa"/>
            <w:noWrap w:val="0"/>
            <w:vAlign w:val="center"/>
          </w:tcPr>
          <w:p w14:paraId="4F25A91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139.40 [137.20, 141.22]</w:t>
            </w:r>
          </w:p>
        </w:tc>
        <w:tc>
          <w:tcPr>
            <w:tcW w:w="1665" w:type="dxa"/>
            <w:noWrap w:val="0"/>
            <w:vAlign w:val="center"/>
          </w:tcPr>
          <w:p w14:paraId="1259C00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138.50 [136.40, 141.20]</w:t>
            </w:r>
          </w:p>
        </w:tc>
        <w:tc>
          <w:tcPr>
            <w:tcW w:w="1338" w:type="dxa"/>
            <w:noWrap w:val="0"/>
            <w:vAlign w:val="center"/>
          </w:tcPr>
          <w:p w14:paraId="2459B61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0.104a</w:t>
            </w:r>
          </w:p>
        </w:tc>
      </w:tr>
      <w:tr w14:paraId="2C5CD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576EB5F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Serum calcium (mmol/L)</w:t>
            </w:r>
          </w:p>
        </w:tc>
        <w:tc>
          <w:tcPr>
            <w:tcW w:w="1344" w:type="dxa"/>
            <w:noWrap w:val="0"/>
            <w:vAlign w:val="center"/>
          </w:tcPr>
          <w:p w14:paraId="0AE0F34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2.10 [2.00, 2.23]</w:t>
            </w:r>
          </w:p>
        </w:tc>
        <w:tc>
          <w:tcPr>
            <w:tcW w:w="1344" w:type="dxa"/>
            <w:noWrap w:val="0"/>
            <w:vAlign w:val="center"/>
          </w:tcPr>
          <w:p w14:paraId="37FA612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2.11 [2.00, 2.27]</w:t>
            </w:r>
          </w:p>
        </w:tc>
        <w:tc>
          <w:tcPr>
            <w:tcW w:w="1665" w:type="dxa"/>
            <w:noWrap w:val="0"/>
            <w:vAlign w:val="center"/>
          </w:tcPr>
          <w:p w14:paraId="5605FED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2.08 [1.99, 2.18]</w:t>
            </w:r>
          </w:p>
        </w:tc>
        <w:tc>
          <w:tcPr>
            <w:tcW w:w="1338" w:type="dxa"/>
            <w:noWrap w:val="0"/>
            <w:vAlign w:val="center"/>
          </w:tcPr>
          <w:p w14:paraId="2BAB756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0.126a</w:t>
            </w:r>
          </w:p>
        </w:tc>
      </w:tr>
      <w:tr w14:paraId="2888B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3551DE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Serum creatinine (μmol/L)</w:t>
            </w:r>
          </w:p>
        </w:tc>
        <w:tc>
          <w:tcPr>
            <w:tcW w:w="1344" w:type="dxa"/>
            <w:noWrap w:val="0"/>
            <w:vAlign w:val="center"/>
          </w:tcPr>
          <w:p w14:paraId="6A8283F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74.00 [62.80, 89.00]</w:t>
            </w:r>
          </w:p>
        </w:tc>
        <w:tc>
          <w:tcPr>
            <w:tcW w:w="1344" w:type="dxa"/>
            <w:noWrap w:val="0"/>
            <w:vAlign w:val="center"/>
          </w:tcPr>
          <w:p w14:paraId="109515E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71.80 [61.92, 82.70]</w:t>
            </w:r>
          </w:p>
        </w:tc>
        <w:tc>
          <w:tcPr>
            <w:tcW w:w="1665" w:type="dxa"/>
            <w:noWrap w:val="0"/>
            <w:vAlign w:val="center"/>
          </w:tcPr>
          <w:p w14:paraId="5B94A3A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77.00 [64.00, 97.10]</w:t>
            </w:r>
          </w:p>
        </w:tc>
        <w:tc>
          <w:tcPr>
            <w:tcW w:w="1338" w:type="dxa"/>
            <w:noWrap w:val="0"/>
            <w:vAlign w:val="center"/>
          </w:tcPr>
          <w:p w14:paraId="74B0194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0.019a</w:t>
            </w:r>
          </w:p>
        </w:tc>
      </w:tr>
      <w:tr w14:paraId="3D089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60334B1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eGFR (mL/min)</w:t>
            </w:r>
          </w:p>
        </w:tc>
        <w:tc>
          <w:tcPr>
            <w:tcW w:w="1344" w:type="dxa"/>
            <w:noWrap w:val="0"/>
            <w:vAlign w:val="center"/>
          </w:tcPr>
          <w:p w14:paraId="6CE49DE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81.60 [63.90, 96.40]</w:t>
            </w:r>
          </w:p>
        </w:tc>
        <w:tc>
          <w:tcPr>
            <w:tcW w:w="1344" w:type="dxa"/>
            <w:noWrap w:val="0"/>
            <w:vAlign w:val="center"/>
          </w:tcPr>
          <w:p w14:paraId="17D519C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86.05 [70.52, 99.93]</w:t>
            </w:r>
          </w:p>
        </w:tc>
        <w:tc>
          <w:tcPr>
            <w:tcW w:w="1665" w:type="dxa"/>
            <w:noWrap w:val="0"/>
            <w:vAlign w:val="center"/>
          </w:tcPr>
          <w:p w14:paraId="4FF1B93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74.50 [51.40, 87.30]</w:t>
            </w:r>
          </w:p>
        </w:tc>
        <w:tc>
          <w:tcPr>
            <w:tcW w:w="1338" w:type="dxa"/>
            <w:noWrap w:val="0"/>
            <w:vAlign w:val="center"/>
          </w:tcPr>
          <w:p w14:paraId="2BFFAD0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&lt;0.001a</w:t>
            </w:r>
          </w:p>
        </w:tc>
      </w:tr>
      <w:tr w14:paraId="31424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center"/>
          </w:tcPr>
          <w:p w14:paraId="3EB8FB1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Blood routine and immune/inflammatory indicators</w:t>
            </w:r>
          </w:p>
        </w:tc>
      </w:tr>
      <w:tr w14:paraId="27B48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72A6BE1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White blood cell count (×10⁹/L)</w:t>
            </w:r>
          </w:p>
        </w:tc>
        <w:tc>
          <w:tcPr>
            <w:tcW w:w="1344" w:type="dxa"/>
            <w:noWrap w:val="0"/>
            <w:vAlign w:val="center"/>
          </w:tcPr>
          <w:p w14:paraId="4C17FCB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5.20 [3.70, 7.20]</w:t>
            </w:r>
          </w:p>
        </w:tc>
        <w:tc>
          <w:tcPr>
            <w:tcW w:w="1344" w:type="dxa"/>
            <w:noWrap w:val="0"/>
            <w:vAlign w:val="center"/>
          </w:tcPr>
          <w:p w14:paraId="75C2CCF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5.20 [3.70, 7.20]</w:t>
            </w:r>
          </w:p>
        </w:tc>
        <w:tc>
          <w:tcPr>
            <w:tcW w:w="1665" w:type="dxa"/>
            <w:noWrap w:val="0"/>
            <w:vAlign w:val="center"/>
          </w:tcPr>
          <w:p w14:paraId="58690B8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5.20 [3.80, 7.20]</w:t>
            </w:r>
          </w:p>
        </w:tc>
        <w:tc>
          <w:tcPr>
            <w:tcW w:w="1338" w:type="dxa"/>
            <w:noWrap w:val="0"/>
            <w:vAlign w:val="center"/>
          </w:tcPr>
          <w:p w14:paraId="3D2973C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0.871a</w:t>
            </w:r>
          </w:p>
        </w:tc>
      </w:tr>
      <w:tr w14:paraId="127C5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1197325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Platelet count (×10⁹/L)</w:t>
            </w:r>
          </w:p>
        </w:tc>
        <w:tc>
          <w:tcPr>
            <w:tcW w:w="1344" w:type="dxa"/>
            <w:noWrap w:val="0"/>
            <w:vAlign w:val="center"/>
          </w:tcPr>
          <w:p w14:paraId="7626B4E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94.00 [68.00, 138.00]</w:t>
            </w:r>
          </w:p>
        </w:tc>
        <w:tc>
          <w:tcPr>
            <w:tcW w:w="1344" w:type="dxa"/>
            <w:noWrap w:val="0"/>
            <w:vAlign w:val="center"/>
          </w:tcPr>
          <w:p w14:paraId="21A2C2D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93.00 [68.00, 135.25]</w:t>
            </w:r>
          </w:p>
        </w:tc>
        <w:tc>
          <w:tcPr>
            <w:tcW w:w="1665" w:type="dxa"/>
            <w:noWrap w:val="0"/>
            <w:vAlign w:val="center"/>
          </w:tcPr>
          <w:p w14:paraId="4BD135D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96.00 [69.00, 143.00]</w:t>
            </w:r>
          </w:p>
        </w:tc>
        <w:tc>
          <w:tcPr>
            <w:tcW w:w="1338" w:type="dxa"/>
            <w:noWrap w:val="0"/>
            <w:vAlign w:val="center"/>
          </w:tcPr>
          <w:p w14:paraId="395D192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0.795a</w:t>
            </w:r>
          </w:p>
        </w:tc>
      </w:tr>
      <w:tr w14:paraId="3CFC9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12CF034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Neutrophil count (×10⁹/L)</w:t>
            </w:r>
          </w:p>
        </w:tc>
        <w:tc>
          <w:tcPr>
            <w:tcW w:w="1344" w:type="dxa"/>
            <w:noWrap w:val="0"/>
            <w:vAlign w:val="center"/>
          </w:tcPr>
          <w:p w14:paraId="59275A1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3.35 [2.25, 5.15]</w:t>
            </w:r>
          </w:p>
        </w:tc>
        <w:tc>
          <w:tcPr>
            <w:tcW w:w="1344" w:type="dxa"/>
            <w:noWrap w:val="0"/>
            <w:vAlign w:val="center"/>
          </w:tcPr>
          <w:p w14:paraId="1EBFB6F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3.21 [2.17, 4.87]</w:t>
            </w:r>
          </w:p>
        </w:tc>
        <w:tc>
          <w:tcPr>
            <w:tcW w:w="1665" w:type="dxa"/>
            <w:noWrap w:val="0"/>
            <w:vAlign w:val="center"/>
          </w:tcPr>
          <w:p w14:paraId="17CDE2F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3.64 [2.36, 5.60]</w:t>
            </w:r>
          </w:p>
        </w:tc>
        <w:tc>
          <w:tcPr>
            <w:tcW w:w="1338" w:type="dxa"/>
            <w:noWrap w:val="0"/>
            <w:vAlign w:val="center"/>
          </w:tcPr>
          <w:p w14:paraId="64523EF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0.225a</w:t>
            </w:r>
          </w:p>
        </w:tc>
      </w:tr>
      <w:tr w14:paraId="1CF06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8C1435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Lymphocyte count (×10⁹/L)</w:t>
            </w:r>
          </w:p>
        </w:tc>
        <w:tc>
          <w:tcPr>
            <w:tcW w:w="1344" w:type="dxa"/>
            <w:noWrap w:val="0"/>
            <w:vAlign w:val="center"/>
          </w:tcPr>
          <w:p w14:paraId="18D39C7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1.13 [0.80, 1.70]</w:t>
            </w:r>
          </w:p>
        </w:tc>
        <w:tc>
          <w:tcPr>
            <w:tcW w:w="1344" w:type="dxa"/>
            <w:noWrap w:val="0"/>
            <w:vAlign w:val="center"/>
          </w:tcPr>
          <w:p w14:paraId="68F2230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1.23 [0.88, 1.80]</w:t>
            </w:r>
          </w:p>
        </w:tc>
        <w:tc>
          <w:tcPr>
            <w:tcW w:w="1665" w:type="dxa"/>
            <w:noWrap w:val="0"/>
            <w:vAlign w:val="center"/>
          </w:tcPr>
          <w:p w14:paraId="12664C6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1.01 [0.70, 1.45]</w:t>
            </w:r>
          </w:p>
        </w:tc>
        <w:tc>
          <w:tcPr>
            <w:tcW w:w="1338" w:type="dxa"/>
            <w:noWrap w:val="0"/>
            <w:vAlign w:val="center"/>
          </w:tcPr>
          <w:p w14:paraId="742B9C7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0.012a</w:t>
            </w:r>
          </w:p>
        </w:tc>
      </w:tr>
      <w:tr w14:paraId="44CDD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AFF475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NLR</w:t>
            </w:r>
          </w:p>
        </w:tc>
        <w:tc>
          <w:tcPr>
            <w:tcW w:w="1344" w:type="dxa"/>
            <w:noWrap w:val="0"/>
            <w:vAlign w:val="center"/>
          </w:tcPr>
          <w:p w14:paraId="1E7664B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3.02 [1.82, 4.82]</w:t>
            </w:r>
          </w:p>
        </w:tc>
        <w:tc>
          <w:tcPr>
            <w:tcW w:w="1344" w:type="dxa"/>
            <w:noWrap w:val="0"/>
            <w:vAlign w:val="center"/>
          </w:tcPr>
          <w:p w14:paraId="706E9FD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2.68 [1.69, 4.36]</w:t>
            </w:r>
          </w:p>
        </w:tc>
        <w:tc>
          <w:tcPr>
            <w:tcW w:w="1665" w:type="dxa"/>
            <w:noWrap w:val="0"/>
            <w:vAlign w:val="center"/>
          </w:tcPr>
          <w:p w14:paraId="7404235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3.50 [2.04, 5.47]</w:t>
            </w:r>
          </w:p>
        </w:tc>
        <w:tc>
          <w:tcPr>
            <w:tcW w:w="1338" w:type="dxa"/>
            <w:noWrap w:val="0"/>
            <w:vAlign w:val="center"/>
          </w:tcPr>
          <w:p w14:paraId="1A68027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0.013a</w:t>
            </w:r>
          </w:p>
        </w:tc>
      </w:tr>
      <w:tr w14:paraId="2379F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6D14B9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SII</w:t>
            </w:r>
          </w:p>
        </w:tc>
        <w:tc>
          <w:tcPr>
            <w:tcW w:w="1344" w:type="dxa"/>
            <w:noWrap w:val="0"/>
            <w:vAlign w:val="center"/>
          </w:tcPr>
          <w:p w14:paraId="21E8473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302.45 [168.50, 558.60]</w:t>
            </w:r>
          </w:p>
        </w:tc>
        <w:tc>
          <w:tcPr>
            <w:tcW w:w="1344" w:type="dxa"/>
            <w:noWrap w:val="0"/>
            <w:vAlign w:val="center"/>
          </w:tcPr>
          <w:p w14:paraId="1A11486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262.81 [163.16, 499.81]</w:t>
            </w:r>
          </w:p>
        </w:tc>
        <w:tc>
          <w:tcPr>
            <w:tcW w:w="1665" w:type="dxa"/>
            <w:noWrap w:val="0"/>
            <w:vAlign w:val="center"/>
          </w:tcPr>
          <w:p w14:paraId="68FA69A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357.00 [176.49, 637.71]</w:t>
            </w:r>
          </w:p>
        </w:tc>
        <w:tc>
          <w:tcPr>
            <w:tcW w:w="1338" w:type="dxa"/>
            <w:noWrap w:val="0"/>
            <w:vAlign w:val="center"/>
          </w:tcPr>
          <w:p w14:paraId="1EBC3C4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0.035a</w:t>
            </w:r>
          </w:p>
        </w:tc>
      </w:tr>
      <w:tr w14:paraId="4B90B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B94997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PNI</w:t>
            </w:r>
          </w:p>
        </w:tc>
        <w:tc>
          <w:tcPr>
            <w:tcW w:w="1344" w:type="dxa"/>
            <w:noWrap w:val="0"/>
            <w:vAlign w:val="center"/>
          </w:tcPr>
          <w:p w14:paraId="19C1593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36.80 [31.80, 42.60]</w:t>
            </w:r>
          </w:p>
        </w:tc>
        <w:tc>
          <w:tcPr>
            <w:tcW w:w="1344" w:type="dxa"/>
            <w:noWrap w:val="0"/>
            <w:vAlign w:val="center"/>
          </w:tcPr>
          <w:p w14:paraId="184536E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38.55 [32.75, 44.75]</w:t>
            </w:r>
          </w:p>
        </w:tc>
        <w:tc>
          <w:tcPr>
            <w:tcW w:w="1665" w:type="dxa"/>
            <w:noWrap w:val="0"/>
            <w:vAlign w:val="center"/>
          </w:tcPr>
          <w:p w14:paraId="61E1B4E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34.20 [30.50, 38.70]</w:t>
            </w:r>
          </w:p>
        </w:tc>
        <w:tc>
          <w:tcPr>
            <w:tcW w:w="1338" w:type="dxa"/>
            <w:noWrap w:val="0"/>
            <w:vAlign w:val="center"/>
          </w:tcPr>
          <w:p w14:paraId="25CB6AF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&lt;0.001a</w:t>
            </w:r>
          </w:p>
        </w:tc>
      </w:tr>
      <w:tr w14:paraId="101FD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center"/>
          </w:tcPr>
          <w:p w14:paraId="4E13C1C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Liver disease severity and complications</w:t>
            </w:r>
          </w:p>
        </w:tc>
      </w:tr>
      <w:tr w14:paraId="3BA6B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4E9B2D0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Child-Pugh score</w:t>
            </w:r>
          </w:p>
        </w:tc>
        <w:tc>
          <w:tcPr>
            <w:tcW w:w="1344" w:type="dxa"/>
            <w:noWrap w:val="0"/>
            <w:vAlign w:val="center"/>
          </w:tcPr>
          <w:p w14:paraId="5A7C19F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7.00 [6.00, 8.00]</w:t>
            </w:r>
          </w:p>
        </w:tc>
        <w:tc>
          <w:tcPr>
            <w:tcW w:w="1344" w:type="dxa"/>
            <w:noWrap w:val="0"/>
            <w:vAlign w:val="center"/>
          </w:tcPr>
          <w:p w14:paraId="2C62E3C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7.00 [6.00, 8.00]</w:t>
            </w:r>
          </w:p>
        </w:tc>
        <w:tc>
          <w:tcPr>
            <w:tcW w:w="1665" w:type="dxa"/>
            <w:noWrap w:val="0"/>
            <w:vAlign w:val="center"/>
          </w:tcPr>
          <w:p w14:paraId="368A450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8.00 [7.00, 9.00]</w:t>
            </w:r>
          </w:p>
        </w:tc>
        <w:tc>
          <w:tcPr>
            <w:tcW w:w="1338" w:type="dxa"/>
            <w:noWrap w:val="0"/>
            <w:vAlign w:val="center"/>
          </w:tcPr>
          <w:p w14:paraId="6350881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&lt;0.001a</w:t>
            </w:r>
          </w:p>
        </w:tc>
      </w:tr>
      <w:tr w14:paraId="7F3A2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52C715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Child-Pugh class, n (%)</w:t>
            </w:r>
          </w:p>
        </w:tc>
        <w:tc>
          <w:tcPr>
            <w:tcW w:w="1344" w:type="dxa"/>
            <w:noWrap w:val="0"/>
            <w:vAlign w:val="center"/>
          </w:tcPr>
          <w:p w14:paraId="2864CCA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5E88D9B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1CFF9AB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1047CA4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&lt;0.001c</w:t>
            </w:r>
          </w:p>
        </w:tc>
      </w:tr>
      <w:tr w14:paraId="1D5CE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1E22EA2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</w:t>
            </w:r>
          </w:p>
        </w:tc>
        <w:tc>
          <w:tcPr>
            <w:tcW w:w="1344" w:type="dxa"/>
            <w:noWrap w:val="0"/>
            <w:vAlign w:val="center"/>
          </w:tcPr>
          <w:p w14:paraId="4FD5DB1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77 (27.4%)</w:t>
            </w:r>
          </w:p>
        </w:tc>
        <w:tc>
          <w:tcPr>
            <w:tcW w:w="1344" w:type="dxa"/>
            <w:noWrap w:val="0"/>
            <w:vAlign w:val="center"/>
          </w:tcPr>
          <w:p w14:paraId="239C1DE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61 (38.1%)</w:t>
            </w:r>
          </w:p>
        </w:tc>
        <w:tc>
          <w:tcPr>
            <w:tcW w:w="1665" w:type="dxa"/>
            <w:noWrap w:val="0"/>
            <w:vAlign w:val="center"/>
          </w:tcPr>
          <w:p w14:paraId="7CC66BD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16 (13.2%)</w:t>
            </w:r>
          </w:p>
        </w:tc>
        <w:tc>
          <w:tcPr>
            <w:tcW w:w="1338" w:type="dxa"/>
            <w:noWrap w:val="0"/>
            <w:vAlign w:val="center"/>
          </w:tcPr>
          <w:p w14:paraId="5632055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7C382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725CE6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B</w:t>
            </w:r>
          </w:p>
        </w:tc>
        <w:tc>
          <w:tcPr>
            <w:tcW w:w="1344" w:type="dxa"/>
            <w:noWrap w:val="0"/>
            <w:vAlign w:val="center"/>
          </w:tcPr>
          <w:p w14:paraId="4DA739B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160 (56.9%)</w:t>
            </w:r>
          </w:p>
        </w:tc>
        <w:tc>
          <w:tcPr>
            <w:tcW w:w="1344" w:type="dxa"/>
            <w:noWrap w:val="0"/>
            <w:vAlign w:val="center"/>
          </w:tcPr>
          <w:p w14:paraId="18D1171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82 (51.2%)</w:t>
            </w:r>
          </w:p>
        </w:tc>
        <w:tc>
          <w:tcPr>
            <w:tcW w:w="1665" w:type="dxa"/>
            <w:noWrap w:val="0"/>
            <w:vAlign w:val="center"/>
          </w:tcPr>
          <w:p w14:paraId="383C567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78 (64.5%)</w:t>
            </w:r>
          </w:p>
        </w:tc>
        <w:tc>
          <w:tcPr>
            <w:tcW w:w="1338" w:type="dxa"/>
            <w:noWrap w:val="0"/>
            <w:vAlign w:val="center"/>
          </w:tcPr>
          <w:p w14:paraId="27952C0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5DEA9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3A28C02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C</w:t>
            </w:r>
          </w:p>
        </w:tc>
        <w:tc>
          <w:tcPr>
            <w:tcW w:w="1344" w:type="dxa"/>
            <w:noWrap w:val="0"/>
            <w:vAlign w:val="center"/>
          </w:tcPr>
          <w:p w14:paraId="1EFF688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44 (15.7%)</w:t>
            </w:r>
          </w:p>
        </w:tc>
        <w:tc>
          <w:tcPr>
            <w:tcW w:w="1344" w:type="dxa"/>
            <w:noWrap w:val="0"/>
            <w:vAlign w:val="center"/>
          </w:tcPr>
          <w:p w14:paraId="028A298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17 (10.6%)</w:t>
            </w:r>
          </w:p>
        </w:tc>
        <w:tc>
          <w:tcPr>
            <w:tcW w:w="1665" w:type="dxa"/>
            <w:noWrap w:val="0"/>
            <w:vAlign w:val="center"/>
          </w:tcPr>
          <w:p w14:paraId="69CF26D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27 (22.3%)</w:t>
            </w:r>
          </w:p>
        </w:tc>
        <w:tc>
          <w:tcPr>
            <w:tcW w:w="1338" w:type="dxa"/>
            <w:noWrap w:val="0"/>
            <w:vAlign w:val="center"/>
          </w:tcPr>
          <w:p w14:paraId="7707B8D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3AB1F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7A6F8D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MELD-Na score</w:t>
            </w:r>
          </w:p>
        </w:tc>
        <w:tc>
          <w:tcPr>
            <w:tcW w:w="1344" w:type="dxa"/>
            <w:noWrap w:val="0"/>
            <w:vAlign w:val="center"/>
          </w:tcPr>
          <w:p w14:paraId="213EF08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11.80 [8.50, 15.00]</w:t>
            </w:r>
          </w:p>
        </w:tc>
        <w:tc>
          <w:tcPr>
            <w:tcW w:w="1344" w:type="dxa"/>
            <w:noWrap w:val="0"/>
            <w:vAlign w:val="center"/>
          </w:tcPr>
          <w:p w14:paraId="6D537C8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11.50 [8.00, 14.00]</w:t>
            </w:r>
          </w:p>
        </w:tc>
        <w:tc>
          <w:tcPr>
            <w:tcW w:w="1665" w:type="dxa"/>
            <w:noWrap w:val="0"/>
            <w:vAlign w:val="center"/>
          </w:tcPr>
          <w:p w14:paraId="39D5460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12.00 [9.00, 17.00]</w:t>
            </w:r>
          </w:p>
        </w:tc>
        <w:tc>
          <w:tcPr>
            <w:tcW w:w="1338" w:type="dxa"/>
            <w:noWrap w:val="0"/>
            <w:vAlign w:val="center"/>
          </w:tcPr>
          <w:p w14:paraId="46F98B3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0.047a</w:t>
            </w:r>
          </w:p>
        </w:tc>
      </w:tr>
      <w:tr w14:paraId="372D1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131F604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FIB-4 index</w:t>
            </w:r>
          </w:p>
        </w:tc>
        <w:tc>
          <w:tcPr>
            <w:tcW w:w="1344" w:type="dxa"/>
            <w:noWrap w:val="0"/>
            <w:vAlign w:val="center"/>
          </w:tcPr>
          <w:p w14:paraId="610A68F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6.45 [3.98, 10.65]</w:t>
            </w:r>
          </w:p>
        </w:tc>
        <w:tc>
          <w:tcPr>
            <w:tcW w:w="1344" w:type="dxa"/>
            <w:noWrap w:val="0"/>
            <w:vAlign w:val="center"/>
          </w:tcPr>
          <w:p w14:paraId="10E1790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6.02 [3.66, 9.62]</w:t>
            </w:r>
          </w:p>
        </w:tc>
        <w:tc>
          <w:tcPr>
            <w:tcW w:w="1665" w:type="dxa"/>
            <w:noWrap w:val="0"/>
            <w:vAlign w:val="center"/>
          </w:tcPr>
          <w:p w14:paraId="2C81544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7.01 [4.56, 12.18]</w:t>
            </w:r>
          </w:p>
        </w:tc>
        <w:tc>
          <w:tcPr>
            <w:tcW w:w="1338" w:type="dxa"/>
            <w:noWrap w:val="0"/>
            <w:vAlign w:val="center"/>
          </w:tcPr>
          <w:p w14:paraId="68E260C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0.019a</w:t>
            </w:r>
          </w:p>
        </w:tc>
      </w:tr>
      <w:tr w14:paraId="77B7A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318F61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ALBI score</w:t>
            </w:r>
          </w:p>
        </w:tc>
        <w:tc>
          <w:tcPr>
            <w:tcW w:w="1344" w:type="dxa"/>
            <w:noWrap w:val="0"/>
            <w:vAlign w:val="center"/>
          </w:tcPr>
          <w:p w14:paraId="5020B3B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-1.66 [-2.05, -1.18]</w:t>
            </w:r>
          </w:p>
        </w:tc>
        <w:tc>
          <w:tcPr>
            <w:tcW w:w="1344" w:type="dxa"/>
            <w:noWrap w:val="0"/>
            <w:vAlign w:val="center"/>
          </w:tcPr>
          <w:p w14:paraId="74CE082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-1.75 [-2.20, -1.22]</w:t>
            </w:r>
          </w:p>
        </w:tc>
        <w:tc>
          <w:tcPr>
            <w:tcW w:w="1665" w:type="dxa"/>
            <w:noWrap w:val="0"/>
            <w:vAlign w:val="center"/>
          </w:tcPr>
          <w:p w14:paraId="44E4A0C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-1.53 [-1.81, -1.10]</w:t>
            </w:r>
          </w:p>
        </w:tc>
        <w:tc>
          <w:tcPr>
            <w:tcW w:w="1338" w:type="dxa"/>
            <w:noWrap w:val="0"/>
            <w:vAlign w:val="center"/>
          </w:tcPr>
          <w:p w14:paraId="52EFAE7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0.002a</w:t>
            </w:r>
          </w:p>
        </w:tc>
      </w:tr>
      <w:tr w14:paraId="245D4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4B62963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Decompensated cirrhosis, n (%)</w:t>
            </w:r>
          </w:p>
        </w:tc>
        <w:tc>
          <w:tcPr>
            <w:tcW w:w="1344" w:type="dxa"/>
            <w:noWrap w:val="0"/>
            <w:vAlign w:val="center"/>
          </w:tcPr>
          <w:p w14:paraId="4D22828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221 (78.6%)</w:t>
            </w:r>
          </w:p>
        </w:tc>
        <w:tc>
          <w:tcPr>
            <w:tcW w:w="1344" w:type="dxa"/>
            <w:noWrap w:val="0"/>
            <w:vAlign w:val="center"/>
          </w:tcPr>
          <w:p w14:paraId="583DC62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107 (66.9%)</w:t>
            </w:r>
          </w:p>
        </w:tc>
        <w:tc>
          <w:tcPr>
            <w:tcW w:w="1665" w:type="dxa"/>
            <w:noWrap w:val="0"/>
            <w:vAlign w:val="center"/>
          </w:tcPr>
          <w:p w14:paraId="59F56CF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114 (94.2%)</w:t>
            </w:r>
          </w:p>
        </w:tc>
        <w:tc>
          <w:tcPr>
            <w:tcW w:w="1338" w:type="dxa"/>
            <w:noWrap w:val="0"/>
            <w:vAlign w:val="center"/>
          </w:tcPr>
          <w:p w14:paraId="2414DB8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&lt;0.001c</w:t>
            </w:r>
          </w:p>
        </w:tc>
      </w:tr>
      <w:tr w14:paraId="12110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500A5E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Ascites, n (%)</w:t>
            </w:r>
          </w:p>
        </w:tc>
        <w:tc>
          <w:tcPr>
            <w:tcW w:w="1344" w:type="dxa"/>
            <w:noWrap w:val="0"/>
            <w:vAlign w:val="center"/>
          </w:tcPr>
          <w:p w14:paraId="794CC72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198 (70.5%)</w:t>
            </w:r>
          </w:p>
        </w:tc>
        <w:tc>
          <w:tcPr>
            <w:tcW w:w="1344" w:type="dxa"/>
            <w:noWrap w:val="0"/>
            <w:vAlign w:val="center"/>
          </w:tcPr>
          <w:p w14:paraId="5AA53C4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88 (55.0%)</w:t>
            </w:r>
          </w:p>
        </w:tc>
        <w:tc>
          <w:tcPr>
            <w:tcW w:w="1665" w:type="dxa"/>
            <w:noWrap w:val="0"/>
            <w:vAlign w:val="center"/>
          </w:tcPr>
          <w:p w14:paraId="2D89FCD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110 (90.9%)</w:t>
            </w:r>
          </w:p>
        </w:tc>
        <w:tc>
          <w:tcPr>
            <w:tcW w:w="1338" w:type="dxa"/>
            <w:noWrap w:val="0"/>
            <w:vAlign w:val="center"/>
          </w:tcPr>
          <w:p w14:paraId="16DDCEB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&lt;0.001c</w:t>
            </w:r>
          </w:p>
        </w:tc>
      </w:tr>
      <w:tr w14:paraId="096F1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5ACEE7B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Ascites grade, n (%)</w:t>
            </w:r>
          </w:p>
        </w:tc>
        <w:tc>
          <w:tcPr>
            <w:tcW w:w="1344" w:type="dxa"/>
            <w:noWrap w:val="0"/>
            <w:vAlign w:val="center"/>
          </w:tcPr>
          <w:p w14:paraId="4570FAF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1D813BE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274127C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1E3E12F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&lt;0.001c</w:t>
            </w:r>
          </w:p>
        </w:tc>
      </w:tr>
      <w:tr w14:paraId="7C11B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765B303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</w:t>
            </w:r>
          </w:p>
        </w:tc>
        <w:tc>
          <w:tcPr>
            <w:tcW w:w="1344" w:type="dxa"/>
            <w:noWrap w:val="0"/>
            <w:vAlign w:val="center"/>
          </w:tcPr>
          <w:p w14:paraId="15C2DE3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101 (35.9%)</w:t>
            </w:r>
          </w:p>
        </w:tc>
        <w:tc>
          <w:tcPr>
            <w:tcW w:w="1344" w:type="dxa"/>
            <w:noWrap w:val="0"/>
            <w:vAlign w:val="center"/>
          </w:tcPr>
          <w:p w14:paraId="0D16C44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79 (49.4%)</w:t>
            </w:r>
          </w:p>
        </w:tc>
        <w:tc>
          <w:tcPr>
            <w:tcW w:w="1665" w:type="dxa"/>
            <w:noWrap w:val="0"/>
            <w:vAlign w:val="center"/>
          </w:tcPr>
          <w:p w14:paraId="1E01F98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22 (18.2%)</w:t>
            </w:r>
          </w:p>
        </w:tc>
        <w:tc>
          <w:tcPr>
            <w:tcW w:w="1338" w:type="dxa"/>
            <w:noWrap w:val="0"/>
            <w:vAlign w:val="center"/>
          </w:tcPr>
          <w:p w14:paraId="2BFA81D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628D8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50F8C3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</w:t>
            </w:r>
          </w:p>
        </w:tc>
        <w:tc>
          <w:tcPr>
            <w:tcW w:w="1344" w:type="dxa"/>
            <w:noWrap w:val="0"/>
            <w:vAlign w:val="center"/>
          </w:tcPr>
          <w:p w14:paraId="50EC824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115 (40.9%)</w:t>
            </w:r>
          </w:p>
        </w:tc>
        <w:tc>
          <w:tcPr>
            <w:tcW w:w="1344" w:type="dxa"/>
            <w:noWrap w:val="0"/>
            <w:vAlign w:val="center"/>
          </w:tcPr>
          <w:p w14:paraId="777204E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59 (36.9%)</w:t>
            </w:r>
          </w:p>
        </w:tc>
        <w:tc>
          <w:tcPr>
            <w:tcW w:w="1665" w:type="dxa"/>
            <w:noWrap w:val="0"/>
            <w:vAlign w:val="center"/>
          </w:tcPr>
          <w:p w14:paraId="384A8CF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56 (46.3%)</w:t>
            </w:r>
          </w:p>
        </w:tc>
        <w:tc>
          <w:tcPr>
            <w:tcW w:w="1338" w:type="dxa"/>
            <w:noWrap w:val="0"/>
            <w:vAlign w:val="center"/>
          </w:tcPr>
          <w:p w14:paraId="1FF77EA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4EA2F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679411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</w:t>
            </w:r>
          </w:p>
        </w:tc>
        <w:tc>
          <w:tcPr>
            <w:tcW w:w="1344" w:type="dxa"/>
            <w:noWrap w:val="0"/>
            <w:vAlign w:val="center"/>
          </w:tcPr>
          <w:p w14:paraId="4175DA8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65 (23.1%)</w:t>
            </w:r>
          </w:p>
        </w:tc>
        <w:tc>
          <w:tcPr>
            <w:tcW w:w="1344" w:type="dxa"/>
            <w:noWrap w:val="0"/>
            <w:vAlign w:val="center"/>
          </w:tcPr>
          <w:p w14:paraId="05BC16A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22 (13.8%)</w:t>
            </w:r>
          </w:p>
        </w:tc>
        <w:tc>
          <w:tcPr>
            <w:tcW w:w="1665" w:type="dxa"/>
            <w:noWrap w:val="0"/>
            <w:vAlign w:val="center"/>
          </w:tcPr>
          <w:p w14:paraId="1F3D71D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43 (35.5%)</w:t>
            </w:r>
          </w:p>
        </w:tc>
        <w:tc>
          <w:tcPr>
            <w:tcW w:w="1338" w:type="dxa"/>
            <w:noWrap w:val="0"/>
            <w:vAlign w:val="center"/>
          </w:tcPr>
          <w:p w14:paraId="27DDFF2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12A5D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626EEE1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Hepatic encephalopathy, n (%)</w:t>
            </w:r>
          </w:p>
        </w:tc>
        <w:tc>
          <w:tcPr>
            <w:tcW w:w="1344" w:type="dxa"/>
            <w:noWrap w:val="0"/>
            <w:vAlign w:val="center"/>
          </w:tcPr>
          <w:p w14:paraId="1649F70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12 (4.3%)</w:t>
            </w:r>
          </w:p>
        </w:tc>
        <w:tc>
          <w:tcPr>
            <w:tcW w:w="1344" w:type="dxa"/>
            <w:noWrap w:val="0"/>
            <w:vAlign w:val="center"/>
          </w:tcPr>
          <w:p w14:paraId="1510BC3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 (4.4%)</w:t>
            </w:r>
          </w:p>
        </w:tc>
        <w:tc>
          <w:tcPr>
            <w:tcW w:w="1665" w:type="dxa"/>
            <w:noWrap w:val="0"/>
            <w:vAlign w:val="center"/>
          </w:tcPr>
          <w:p w14:paraId="68D81F6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 (4.1%)</w:t>
            </w:r>
          </w:p>
        </w:tc>
        <w:tc>
          <w:tcPr>
            <w:tcW w:w="1338" w:type="dxa"/>
            <w:noWrap w:val="0"/>
            <w:vAlign w:val="center"/>
          </w:tcPr>
          <w:p w14:paraId="6E5DA0A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0.921c</w:t>
            </w:r>
          </w:p>
        </w:tc>
      </w:tr>
      <w:tr w14:paraId="6370C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02FC86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Hepatic encephalopathy grade, n (%)</w:t>
            </w:r>
          </w:p>
        </w:tc>
        <w:tc>
          <w:tcPr>
            <w:tcW w:w="1344" w:type="dxa"/>
            <w:noWrap w:val="0"/>
            <w:vAlign w:val="center"/>
          </w:tcPr>
          <w:p w14:paraId="6F4A0DB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53077F7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56D2D3B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324732F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-</w:t>
            </w:r>
          </w:p>
        </w:tc>
      </w:tr>
      <w:tr w14:paraId="13AFB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73CE8EE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</w:t>
            </w:r>
          </w:p>
        </w:tc>
        <w:tc>
          <w:tcPr>
            <w:tcW w:w="1344" w:type="dxa"/>
            <w:noWrap w:val="0"/>
            <w:vAlign w:val="center"/>
          </w:tcPr>
          <w:p w14:paraId="5342C3B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261 (92.9%)</w:t>
            </w:r>
          </w:p>
        </w:tc>
        <w:tc>
          <w:tcPr>
            <w:tcW w:w="1344" w:type="dxa"/>
            <w:noWrap w:val="0"/>
            <w:vAlign w:val="center"/>
          </w:tcPr>
          <w:p w14:paraId="420893A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149 (93.1%)</w:t>
            </w:r>
          </w:p>
        </w:tc>
        <w:tc>
          <w:tcPr>
            <w:tcW w:w="1665" w:type="dxa"/>
            <w:noWrap w:val="0"/>
            <w:vAlign w:val="center"/>
          </w:tcPr>
          <w:p w14:paraId="7EB0237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112 (92.6%)</w:t>
            </w:r>
          </w:p>
        </w:tc>
        <w:tc>
          <w:tcPr>
            <w:tcW w:w="1338" w:type="dxa"/>
            <w:noWrap w:val="0"/>
            <w:vAlign w:val="center"/>
          </w:tcPr>
          <w:p w14:paraId="0DB8A14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54826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393C64B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</w:t>
            </w:r>
          </w:p>
        </w:tc>
        <w:tc>
          <w:tcPr>
            <w:tcW w:w="1344" w:type="dxa"/>
            <w:noWrap w:val="0"/>
            <w:vAlign w:val="center"/>
          </w:tcPr>
          <w:p w14:paraId="4103DA9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20 (7.1%)</w:t>
            </w:r>
          </w:p>
        </w:tc>
        <w:tc>
          <w:tcPr>
            <w:tcW w:w="1344" w:type="dxa"/>
            <w:noWrap w:val="0"/>
            <w:vAlign w:val="center"/>
          </w:tcPr>
          <w:p w14:paraId="4AE10AB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11 (6.9%)</w:t>
            </w:r>
          </w:p>
        </w:tc>
        <w:tc>
          <w:tcPr>
            <w:tcW w:w="1665" w:type="dxa"/>
            <w:noWrap w:val="0"/>
            <w:vAlign w:val="center"/>
          </w:tcPr>
          <w:p w14:paraId="6E3220C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9 (7.4%)</w:t>
            </w:r>
          </w:p>
        </w:tc>
        <w:tc>
          <w:tcPr>
            <w:tcW w:w="1338" w:type="dxa"/>
            <w:noWrap w:val="0"/>
            <w:vAlign w:val="center"/>
          </w:tcPr>
          <w:p w14:paraId="214A3BC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09DF6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E6A32C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</w:t>
            </w:r>
          </w:p>
        </w:tc>
        <w:tc>
          <w:tcPr>
            <w:tcW w:w="1344" w:type="dxa"/>
            <w:noWrap w:val="0"/>
            <w:vAlign w:val="center"/>
          </w:tcPr>
          <w:p w14:paraId="3D6C57B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 (0.0%)</w:t>
            </w:r>
          </w:p>
        </w:tc>
        <w:tc>
          <w:tcPr>
            <w:tcW w:w="1344" w:type="dxa"/>
            <w:noWrap w:val="0"/>
            <w:vAlign w:val="center"/>
          </w:tcPr>
          <w:p w14:paraId="60D4DC6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 (0.0%)</w:t>
            </w:r>
          </w:p>
        </w:tc>
        <w:tc>
          <w:tcPr>
            <w:tcW w:w="1665" w:type="dxa"/>
            <w:noWrap w:val="0"/>
            <w:vAlign w:val="center"/>
          </w:tcPr>
          <w:p w14:paraId="3460933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 (0.0%)</w:t>
            </w:r>
          </w:p>
        </w:tc>
        <w:tc>
          <w:tcPr>
            <w:tcW w:w="1338" w:type="dxa"/>
            <w:noWrap w:val="0"/>
            <w:vAlign w:val="center"/>
          </w:tcPr>
          <w:p w14:paraId="0807C09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</w:p>
        </w:tc>
      </w:tr>
      <w:tr w14:paraId="4C268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4D160DB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Variceal bleeding, n (%)</w:t>
            </w:r>
          </w:p>
        </w:tc>
        <w:tc>
          <w:tcPr>
            <w:tcW w:w="1344" w:type="dxa"/>
            <w:noWrap w:val="0"/>
            <w:vAlign w:val="center"/>
          </w:tcPr>
          <w:p w14:paraId="7310BDB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97 (34.5%)</w:t>
            </w:r>
          </w:p>
        </w:tc>
        <w:tc>
          <w:tcPr>
            <w:tcW w:w="1344" w:type="dxa"/>
            <w:noWrap w:val="0"/>
            <w:vAlign w:val="center"/>
          </w:tcPr>
          <w:p w14:paraId="5578A8B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58 (36.2%)</w:t>
            </w:r>
          </w:p>
        </w:tc>
        <w:tc>
          <w:tcPr>
            <w:tcW w:w="1665" w:type="dxa"/>
            <w:noWrap w:val="0"/>
            <w:vAlign w:val="center"/>
          </w:tcPr>
          <w:p w14:paraId="676FCD6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39 (32.2%)</w:t>
            </w:r>
          </w:p>
        </w:tc>
        <w:tc>
          <w:tcPr>
            <w:tcW w:w="1338" w:type="dxa"/>
            <w:noWrap w:val="0"/>
            <w:vAlign w:val="center"/>
          </w:tcPr>
          <w:p w14:paraId="64A04BD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0.483c</w:t>
            </w:r>
          </w:p>
        </w:tc>
      </w:tr>
      <w:tr w14:paraId="0B258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C450A4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Hepatocellular carcinoma, n (%)</w:t>
            </w:r>
          </w:p>
        </w:tc>
        <w:tc>
          <w:tcPr>
            <w:tcW w:w="1344" w:type="dxa"/>
            <w:noWrap w:val="0"/>
            <w:vAlign w:val="center"/>
          </w:tcPr>
          <w:p w14:paraId="2A2C9FB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46 (16.4%)</w:t>
            </w:r>
          </w:p>
        </w:tc>
        <w:tc>
          <w:tcPr>
            <w:tcW w:w="1344" w:type="dxa"/>
            <w:noWrap w:val="0"/>
            <w:vAlign w:val="center"/>
          </w:tcPr>
          <w:p w14:paraId="7CE05D1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22 (13.8%)</w:t>
            </w:r>
          </w:p>
        </w:tc>
        <w:tc>
          <w:tcPr>
            <w:tcW w:w="1665" w:type="dxa"/>
            <w:noWrap w:val="0"/>
            <w:vAlign w:val="center"/>
          </w:tcPr>
          <w:p w14:paraId="34A30A8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24 (19.8%)</w:t>
            </w:r>
          </w:p>
        </w:tc>
        <w:tc>
          <w:tcPr>
            <w:tcW w:w="1338" w:type="dxa"/>
            <w:noWrap w:val="0"/>
            <w:vAlign w:val="center"/>
          </w:tcPr>
          <w:p w14:paraId="798D791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0.172c</w:t>
            </w:r>
          </w:p>
        </w:tc>
      </w:tr>
      <w:tr w14:paraId="32ADE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center"/>
          </w:tcPr>
          <w:p w14:paraId="3182D8E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Etiology of liver cirrhosis, n (%)</w:t>
            </w:r>
          </w:p>
        </w:tc>
      </w:tr>
      <w:tr w14:paraId="329C3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77D3958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HBV</w:t>
            </w:r>
          </w:p>
        </w:tc>
        <w:tc>
          <w:tcPr>
            <w:tcW w:w="1344" w:type="dxa"/>
            <w:noWrap w:val="0"/>
            <w:vAlign w:val="center"/>
          </w:tcPr>
          <w:p w14:paraId="66B9E82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84 (29.9%)</w:t>
            </w:r>
          </w:p>
        </w:tc>
        <w:tc>
          <w:tcPr>
            <w:tcW w:w="1344" w:type="dxa"/>
            <w:noWrap w:val="0"/>
            <w:vAlign w:val="center"/>
          </w:tcPr>
          <w:p w14:paraId="73E4B80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59 (36.9%)</w:t>
            </w:r>
          </w:p>
        </w:tc>
        <w:tc>
          <w:tcPr>
            <w:tcW w:w="1665" w:type="dxa"/>
            <w:noWrap w:val="0"/>
            <w:vAlign w:val="center"/>
          </w:tcPr>
          <w:p w14:paraId="5DC8CAD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25 (20.7%)</w:t>
            </w:r>
          </w:p>
        </w:tc>
        <w:tc>
          <w:tcPr>
            <w:tcW w:w="1338" w:type="dxa"/>
            <w:noWrap w:val="0"/>
            <w:vAlign w:val="center"/>
          </w:tcPr>
          <w:p w14:paraId="27C5315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0.003c</w:t>
            </w:r>
          </w:p>
        </w:tc>
      </w:tr>
      <w:tr w14:paraId="0502F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59A8C21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HCV</w:t>
            </w:r>
          </w:p>
        </w:tc>
        <w:tc>
          <w:tcPr>
            <w:tcW w:w="1344" w:type="dxa"/>
            <w:noWrap w:val="0"/>
            <w:vAlign w:val="center"/>
          </w:tcPr>
          <w:p w14:paraId="7B3BC77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20 (7.1%)</w:t>
            </w:r>
          </w:p>
        </w:tc>
        <w:tc>
          <w:tcPr>
            <w:tcW w:w="1344" w:type="dxa"/>
            <w:noWrap w:val="0"/>
            <w:vAlign w:val="center"/>
          </w:tcPr>
          <w:p w14:paraId="72C93F5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16 (10.0%)</w:t>
            </w:r>
          </w:p>
        </w:tc>
        <w:tc>
          <w:tcPr>
            <w:tcW w:w="1665" w:type="dxa"/>
            <w:noWrap w:val="0"/>
            <w:vAlign w:val="center"/>
          </w:tcPr>
          <w:p w14:paraId="25D7780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4 (3.3%)</w:t>
            </w:r>
          </w:p>
        </w:tc>
        <w:tc>
          <w:tcPr>
            <w:tcW w:w="1338" w:type="dxa"/>
            <w:noWrap w:val="0"/>
            <w:vAlign w:val="center"/>
          </w:tcPr>
          <w:p w14:paraId="35F2488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0.031c</w:t>
            </w:r>
          </w:p>
        </w:tc>
      </w:tr>
      <w:tr w14:paraId="7352B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590012A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Alcoholic liver disease</w:t>
            </w:r>
          </w:p>
        </w:tc>
        <w:tc>
          <w:tcPr>
            <w:tcW w:w="1344" w:type="dxa"/>
            <w:noWrap w:val="0"/>
            <w:vAlign w:val="center"/>
          </w:tcPr>
          <w:p w14:paraId="5FD9B01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82 (29.2%)</w:t>
            </w:r>
          </w:p>
        </w:tc>
        <w:tc>
          <w:tcPr>
            <w:tcW w:w="1344" w:type="dxa"/>
            <w:noWrap w:val="0"/>
            <w:vAlign w:val="center"/>
          </w:tcPr>
          <w:p w14:paraId="61E94A4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54 (33.8%)</w:t>
            </w:r>
          </w:p>
        </w:tc>
        <w:tc>
          <w:tcPr>
            <w:tcW w:w="1665" w:type="dxa"/>
            <w:noWrap w:val="0"/>
            <w:vAlign w:val="center"/>
          </w:tcPr>
          <w:p w14:paraId="0B81B35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28 (23.1%)</w:t>
            </w:r>
          </w:p>
        </w:tc>
        <w:tc>
          <w:tcPr>
            <w:tcW w:w="1338" w:type="dxa"/>
            <w:noWrap w:val="0"/>
            <w:vAlign w:val="center"/>
          </w:tcPr>
          <w:p w14:paraId="2093EC8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0.053c</w:t>
            </w:r>
          </w:p>
        </w:tc>
      </w:tr>
      <w:tr w14:paraId="1800D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550B727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PBC</w:t>
            </w:r>
          </w:p>
        </w:tc>
        <w:tc>
          <w:tcPr>
            <w:tcW w:w="1344" w:type="dxa"/>
            <w:noWrap w:val="0"/>
            <w:vAlign w:val="center"/>
          </w:tcPr>
          <w:p w14:paraId="00E089A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64 (22.8%)</w:t>
            </w:r>
          </w:p>
        </w:tc>
        <w:tc>
          <w:tcPr>
            <w:tcW w:w="1344" w:type="dxa"/>
            <w:noWrap w:val="0"/>
            <w:vAlign w:val="center"/>
          </w:tcPr>
          <w:p w14:paraId="7BF5508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23 (14.4%)</w:t>
            </w:r>
          </w:p>
        </w:tc>
        <w:tc>
          <w:tcPr>
            <w:tcW w:w="1665" w:type="dxa"/>
            <w:noWrap w:val="0"/>
            <w:vAlign w:val="center"/>
          </w:tcPr>
          <w:p w14:paraId="6EBC2E1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41 (33.9%)</w:t>
            </w:r>
          </w:p>
        </w:tc>
        <w:tc>
          <w:tcPr>
            <w:tcW w:w="1338" w:type="dxa"/>
            <w:noWrap w:val="0"/>
            <w:vAlign w:val="center"/>
          </w:tcPr>
          <w:p w14:paraId="4B73A57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&lt;0.001c</w:t>
            </w:r>
          </w:p>
        </w:tc>
      </w:tr>
      <w:tr w14:paraId="2C405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E8514D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Autoimmune hepatitis</w:t>
            </w:r>
          </w:p>
        </w:tc>
        <w:tc>
          <w:tcPr>
            <w:tcW w:w="1344" w:type="dxa"/>
            <w:noWrap w:val="0"/>
            <w:vAlign w:val="center"/>
          </w:tcPr>
          <w:p w14:paraId="628F0EE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10 (3.6%)</w:t>
            </w:r>
          </w:p>
        </w:tc>
        <w:tc>
          <w:tcPr>
            <w:tcW w:w="1344" w:type="dxa"/>
            <w:noWrap w:val="0"/>
            <w:vAlign w:val="center"/>
          </w:tcPr>
          <w:p w14:paraId="2D2B72D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 (1.9%)</w:t>
            </w:r>
          </w:p>
        </w:tc>
        <w:tc>
          <w:tcPr>
            <w:tcW w:w="1665" w:type="dxa"/>
            <w:noWrap w:val="0"/>
            <w:vAlign w:val="center"/>
          </w:tcPr>
          <w:p w14:paraId="3BB1291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 (5.8%)</w:t>
            </w:r>
          </w:p>
        </w:tc>
        <w:tc>
          <w:tcPr>
            <w:tcW w:w="1338" w:type="dxa"/>
            <w:noWrap w:val="0"/>
            <w:vAlign w:val="center"/>
          </w:tcPr>
          <w:p w14:paraId="36E84E3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0.154d</w:t>
            </w:r>
          </w:p>
        </w:tc>
      </w:tr>
      <w:tr w14:paraId="37759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B45160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Cryptogenic cirrhosis</w:t>
            </w:r>
          </w:p>
        </w:tc>
        <w:tc>
          <w:tcPr>
            <w:tcW w:w="1344" w:type="dxa"/>
            <w:noWrap w:val="0"/>
            <w:vAlign w:val="center"/>
          </w:tcPr>
          <w:p w14:paraId="684BABA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38 (13.5%)</w:t>
            </w:r>
          </w:p>
        </w:tc>
        <w:tc>
          <w:tcPr>
            <w:tcW w:w="1344" w:type="dxa"/>
            <w:noWrap w:val="0"/>
            <w:vAlign w:val="center"/>
          </w:tcPr>
          <w:p w14:paraId="3E52992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13 (8.1%)</w:t>
            </w:r>
          </w:p>
        </w:tc>
        <w:tc>
          <w:tcPr>
            <w:tcW w:w="1665" w:type="dxa"/>
            <w:noWrap w:val="0"/>
            <w:vAlign w:val="center"/>
          </w:tcPr>
          <w:p w14:paraId="3AB66C1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25 (20.7%)</w:t>
            </w:r>
          </w:p>
        </w:tc>
        <w:tc>
          <w:tcPr>
            <w:tcW w:w="1338" w:type="dxa"/>
            <w:noWrap w:val="0"/>
            <w:vAlign w:val="center"/>
          </w:tcPr>
          <w:p w14:paraId="0945DFD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0.002c</w:t>
            </w:r>
          </w:p>
        </w:tc>
      </w:tr>
      <w:tr w14:paraId="7C174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center"/>
          </w:tcPr>
          <w:p w14:paraId="4A4D46D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Comorbidities and medications, n (%)</w:t>
            </w:r>
          </w:p>
        </w:tc>
      </w:tr>
      <w:tr w14:paraId="1CF5D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1E656BB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COPD</w:t>
            </w:r>
          </w:p>
        </w:tc>
        <w:tc>
          <w:tcPr>
            <w:tcW w:w="1344" w:type="dxa"/>
            <w:noWrap w:val="0"/>
            <w:vAlign w:val="center"/>
          </w:tcPr>
          <w:p w14:paraId="6391F2A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11 (3.9%)</w:t>
            </w:r>
          </w:p>
        </w:tc>
        <w:tc>
          <w:tcPr>
            <w:tcW w:w="1344" w:type="dxa"/>
            <w:noWrap w:val="0"/>
            <w:vAlign w:val="center"/>
          </w:tcPr>
          <w:p w14:paraId="71922D4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 (0.6%)</w:t>
            </w:r>
          </w:p>
        </w:tc>
        <w:tc>
          <w:tcPr>
            <w:tcW w:w="1665" w:type="dxa"/>
            <w:noWrap w:val="0"/>
            <w:vAlign w:val="center"/>
          </w:tcPr>
          <w:p w14:paraId="438FD31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10 (8.3%)</w:t>
            </w:r>
          </w:p>
        </w:tc>
        <w:tc>
          <w:tcPr>
            <w:tcW w:w="1338" w:type="dxa"/>
            <w:noWrap w:val="0"/>
            <w:vAlign w:val="center"/>
          </w:tcPr>
          <w:p w14:paraId="73685A2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0.003d</w:t>
            </w:r>
          </w:p>
        </w:tc>
      </w:tr>
      <w:tr w14:paraId="7886B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652CF6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Diabetes mellitus</w:t>
            </w:r>
          </w:p>
        </w:tc>
        <w:tc>
          <w:tcPr>
            <w:tcW w:w="1344" w:type="dxa"/>
            <w:noWrap w:val="0"/>
            <w:vAlign w:val="center"/>
          </w:tcPr>
          <w:p w14:paraId="768EBCC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42 (14.9%)</w:t>
            </w:r>
          </w:p>
        </w:tc>
        <w:tc>
          <w:tcPr>
            <w:tcW w:w="1344" w:type="dxa"/>
            <w:noWrap w:val="0"/>
            <w:vAlign w:val="center"/>
          </w:tcPr>
          <w:p w14:paraId="73059A8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22 (13.8%)</w:t>
            </w:r>
          </w:p>
        </w:tc>
        <w:tc>
          <w:tcPr>
            <w:tcW w:w="1665" w:type="dxa"/>
            <w:noWrap w:val="0"/>
            <w:vAlign w:val="center"/>
          </w:tcPr>
          <w:p w14:paraId="106484F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20 (16.5%)</w:t>
            </w:r>
          </w:p>
        </w:tc>
        <w:tc>
          <w:tcPr>
            <w:tcW w:w="1338" w:type="dxa"/>
            <w:noWrap w:val="0"/>
            <w:vAlign w:val="center"/>
          </w:tcPr>
          <w:p w14:paraId="4D21013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0.518c</w:t>
            </w:r>
          </w:p>
        </w:tc>
      </w:tr>
      <w:tr w14:paraId="46530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F7B13B1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CKD</w:t>
            </w:r>
          </w:p>
        </w:tc>
        <w:tc>
          <w:tcPr>
            <w:tcW w:w="1344" w:type="dxa"/>
            <w:noWrap w:val="0"/>
            <w:vAlign w:val="center"/>
          </w:tcPr>
          <w:p w14:paraId="4917FE3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 (1.1%)</w:t>
            </w:r>
          </w:p>
        </w:tc>
        <w:tc>
          <w:tcPr>
            <w:tcW w:w="1344" w:type="dxa"/>
            <w:noWrap w:val="0"/>
            <w:vAlign w:val="center"/>
          </w:tcPr>
          <w:p w14:paraId="7E5D6FD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 (1.2%)</w:t>
            </w:r>
          </w:p>
        </w:tc>
        <w:tc>
          <w:tcPr>
            <w:tcW w:w="1665" w:type="dxa"/>
            <w:noWrap w:val="0"/>
            <w:vAlign w:val="center"/>
          </w:tcPr>
          <w:p w14:paraId="0D72B32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 (0.8%)</w:t>
            </w:r>
          </w:p>
        </w:tc>
        <w:tc>
          <w:tcPr>
            <w:tcW w:w="1338" w:type="dxa"/>
            <w:noWrap w:val="0"/>
            <w:vAlign w:val="center"/>
          </w:tcPr>
          <w:p w14:paraId="4ECF00D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&gt;0.99d</w:t>
            </w:r>
          </w:p>
        </w:tc>
      </w:tr>
      <w:tr w14:paraId="4714A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0E0DA80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Diuretics use</w:t>
            </w:r>
          </w:p>
        </w:tc>
        <w:tc>
          <w:tcPr>
            <w:tcW w:w="1344" w:type="dxa"/>
            <w:noWrap w:val="0"/>
            <w:vAlign w:val="center"/>
          </w:tcPr>
          <w:p w14:paraId="0C9F988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42 (14.9%)</w:t>
            </w:r>
          </w:p>
        </w:tc>
        <w:tc>
          <w:tcPr>
            <w:tcW w:w="1344" w:type="dxa"/>
            <w:noWrap w:val="0"/>
            <w:vAlign w:val="center"/>
          </w:tcPr>
          <w:p w14:paraId="6D9BE99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7 (4.4%)</w:t>
            </w:r>
          </w:p>
        </w:tc>
        <w:tc>
          <w:tcPr>
            <w:tcW w:w="1665" w:type="dxa"/>
            <w:noWrap w:val="0"/>
            <w:vAlign w:val="center"/>
          </w:tcPr>
          <w:p w14:paraId="445B716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35 (28.9%)</w:t>
            </w:r>
          </w:p>
        </w:tc>
        <w:tc>
          <w:tcPr>
            <w:tcW w:w="1338" w:type="dxa"/>
            <w:noWrap w:val="0"/>
            <w:vAlign w:val="center"/>
          </w:tcPr>
          <w:p w14:paraId="1737C6C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&lt;0.001c</w:t>
            </w:r>
          </w:p>
        </w:tc>
      </w:tr>
      <w:tr w14:paraId="78D07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1AE092F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PPI use</w:t>
            </w:r>
          </w:p>
        </w:tc>
        <w:tc>
          <w:tcPr>
            <w:tcW w:w="1344" w:type="dxa"/>
            <w:noWrap w:val="0"/>
            <w:vAlign w:val="center"/>
          </w:tcPr>
          <w:p w14:paraId="0488902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26 (9.3%)</w:t>
            </w:r>
          </w:p>
        </w:tc>
        <w:tc>
          <w:tcPr>
            <w:tcW w:w="1344" w:type="dxa"/>
            <w:noWrap w:val="0"/>
            <w:vAlign w:val="center"/>
          </w:tcPr>
          <w:p w14:paraId="3188A12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12 (7.5%)</w:t>
            </w:r>
          </w:p>
        </w:tc>
        <w:tc>
          <w:tcPr>
            <w:tcW w:w="1665" w:type="dxa"/>
            <w:noWrap w:val="0"/>
            <w:vAlign w:val="center"/>
          </w:tcPr>
          <w:p w14:paraId="022AAB22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14 (11.6%)</w:t>
            </w:r>
          </w:p>
        </w:tc>
        <w:tc>
          <w:tcPr>
            <w:tcW w:w="1338" w:type="dxa"/>
            <w:noWrap w:val="0"/>
            <w:vAlign w:val="center"/>
          </w:tcPr>
          <w:p w14:paraId="45697D8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0.244c</w:t>
            </w:r>
          </w:p>
        </w:tc>
      </w:tr>
      <w:tr w14:paraId="650AF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DAC864E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TDF use</w:t>
            </w:r>
          </w:p>
        </w:tc>
        <w:tc>
          <w:tcPr>
            <w:tcW w:w="1344" w:type="dxa"/>
            <w:noWrap w:val="0"/>
            <w:vAlign w:val="center"/>
          </w:tcPr>
          <w:p w14:paraId="3B427655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15 (5.3%)</w:t>
            </w:r>
          </w:p>
        </w:tc>
        <w:tc>
          <w:tcPr>
            <w:tcW w:w="1344" w:type="dxa"/>
            <w:noWrap w:val="0"/>
            <w:vAlign w:val="center"/>
          </w:tcPr>
          <w:p w14:paraId="0A1CF11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10 (6.2%)</w:t>
            </w:r>
          </w:p>
        </w:tc>
        <w:tc>
          <w:tcPr>
            <w:tcW w:w="1665" w:type="dxa"/>
            <w:noWrap w:val="0"/>
            <w:vAlign w:val="center"/>
          </w:tcPr>
          <w:p w14:paraId="7B0365AA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5 (4.1%)</w:t>
            </w:r>
          </w:p>
        </w:tc>
        <w:tc>
          <w:tcPr>
            <w:tcW w:w="1338" w:type="dxa"/>
            <w:noWrap w:val="0"/>
            <w:vAlign w:val="center"/>
          </w:tcPr>
          <w:p w14:paraId="34FAB6A4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0.434c</w:t>
            </w:r>
          </w:p>
        </w:tc>
      </w:tr>
      <w:tr w14:paraId="603DE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793D51F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SLE</w:t>
            </w:r>
          </w:p>
        </w:tc>
        <w:tc>
          <w:tcPr>
            <w:tcW w:w="1344" w:type="dxa"/>
            <w:noWrap w:val="0"/>
            <w:vAlign w:val="center"/>
          </w:tcPr>
          <w:p w14:paraId="54D1C2A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6 (2.1%)</w:t>
            </w:r>
          </w:p>
        </w:tc>
        <w:tc>
          <w:tcPr>
            <w:tcW w:w="1344" w:type="dxa"/>
            <w:noWrap w:val="0"/>
            <w:vAlign w:val="center"/>
          </w:tcPr>
          <w:p w14:paraId="3CF9453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 (1.9%)</w:t>
            </w:r>
          </w:p>
        </w:tc>
        <w:tc>
          <w:tcPr>
            <w:tcW w:w="1665" w:type="dxa"/>
            <w:noWrap w:val="0"/>
            <w:vAlign w:val="center"/>
          </w:tcPr>
          <w:p w14:paraId="6992762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3 (2.5%)</w:t>
            </w:r>
          </w:p>
        </w:tc>
        <w:tc>
          <w:tcPr>
            <w:tcW w:w="1338" w:type="dxa"/>
            <w:noWrap w:val="0"/>
            <w:vAlign w:val="center"/>
          </w:tcPr>
          <w:p w14:paraId="3BAF3CD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&gt;0.99d</w:t>
            </w:r>
          </w:p>
        </w:tc>
      </w:tr>
      <w:tr w14:paraId="4873B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70BEF9C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Corticosteroid use</w:t>
            </w:r>
          </w:p>
        </w:tc>
        <w:tc>
          <w:tcPr>
            <w:tcW w:w="1344" w:type="dxa"/>
            <w:noWrap w:val="0"/>
            <w:vAlign w:val="center"/>
          </w:tcPr>
          <w:p w14:paraId="2D3DCF6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 (0.4%)</w:t>
            </w:r>
          </w:p>
        </w:tc>
        <w:tc>
          <w:tcPr>
            <w:tcW w:w="1344" w:type="dxa"/>
            <w:noWrap w:val="0"/>
            <w:vAlign w:val="center"/>
          </w:tcPr>
          <w:p w14:paraId="07397D67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 (0.0%)</w:t>
            </w:r>
          </w:p>
        </w:tc>
        <w:tc>
          <w:tcPr>
            <w:tcW w:w="1665" w:type="dxa"/>
            <w:noWrap w:val="0"/>
            <w:vAlign w:val="center"/>
          </w:tcPr>
          <w:p w14:paraId="2D0EDF3F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1 (0.8%)</w:t>
            </w:r>
          </w:p>
        </w:tc>
        <w:tc>
          <w:tcPr>
            <w:tcW w:w="1338" w:type="dxa"/>
            <w:noWrap w:val="0"/>
            <w:vAlign w:val="center"/>
          </w:tcPr>
          <w:p w14:paraId="35B29713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0.431d</w:t>
            </w:r>
          </w:p>
        </w:tc>
      </w:tr>
      <w:tr w14:paraId="2D11F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noWrap w:val="0"/>
            <w:vAlign w:val="center"/>
          </w:tcPr>
          <w:p w14:paraId="2B44933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Antiepileptic drug use</w:t>
            </w:r>
          </w:p>
        </w:tc>
        <w:tc>
          <w:tcPr>
            <w:tcW w:w="1344" w:type="dxa"/>
            <w:noWrap w:val="0"/>
            <w:vAlign w:val="center"/>
          </w:tcPr>
          <w:p w14:paraId="60BE30B0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 (0.7%)</w:t>
            </w:r>
          </w:p>
        </w:tc>
        <w:tc>
          <w:tcPr>
            <w:tcW w:w="1344" w:type="dxa"/>
            <w:noWrap w:val="0"/>
            <w:vAlign w:val="center"/>
          </w:tcPr>
          <w:p w14:paraId="273DE62C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 (1.2%)</w:t>
            </w:r>
          </w:p>
        </w:tc>
        <w:tc>
          <w:tcPr>
            <w:tcW w:w="1665" w:type="dxa"/>
            <w:noWrap w:val="0"/>
            <w:vAlign w:val="center"/>
          </w:tcPr>
          <w:p w14:paraId="45A33EB8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 (0.0%)</w:t>
            </w:r>
          </w:p>
        </w:tc>
        <w:tc>
          <w:tcPr>
            <w:tcW w:w="1338" w:type="dxa"/>
            <w:noWrap w:val="0"/>
            <w:vAlign w:val="center"/>
          </w:tcPr>
          <w:p w14:paraId="60FAF649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0.508d</w:t>
            </w:r>
          </w:p>
        </w:tc>
      </w:tr>
      <w:tr w14:paraId="5D9EF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tcBorders>
              <w:bottom w:val="single" w:color="000000" w:sz="12" w:space="0"/>
            </w:tcBorders>
            <w:noWrap w:val="0"/>
            <w:vAlign w:val="center"/>
          </w:tcPr>
          <w:p w14:paraId="674A6D7D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Vitamin D use</w:t>
            </w:r>
          </w:p>
        </w:tc>
        <w:tc>
          <w:tcPr>
            <w:tcW w:w="1344" w:type="dxa"/>
            <w:tcBorders>
              <w:bottom w:val="single" w:color="000000" w:sz="12" w:space="0"/>
            </w:tcBorders>
            <w:noWrap w:val="0"/>
            <w:vAlign w:val="center"/>
          </w:tcPr>
          <w:p w14:paraId="3CFB477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 (0.7%)</w:t>
            </w:r>
          </w:p>
        </w:tc>
        <w:tc>
          <w:tcPr>
            <w:tcW w:w="1344" w:type="dxa"/>
            <w:tcBorders>
              <w:bottom w:val="single" w:color="000000" w:sz="12" w:space="0"/>
            </w:tcBorders>
            <w:noWrap w:val="0"/>
            <w:vAlign w:val="center"/>
          </w:tcPr>
          <w:p w14:paraId="1C3E46C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2 (1.2%)</w:t>
            </w:r>
          </w:p>
        </w:tc>
        <w:tc>
          <w:tcPr>
            <w:tcW w:w="1665" w:type="dxa"/>
            <w:tcBorders>
              <w:bottom w:val="single" w:color="000000" w:sz="12" w:space="0"/>
            </w:tcBorders>
            <w:noWrap w:val="0"/>
            <w:vAlign w:val="center"/>
          </w:tcPr>
          <w:p w14:paraId="7B228F2B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 (0.0%)</w:t>
            </w:r>
          </w:p>
        </w:tc>
        <w:tc>
          <w:tcPr>
            <w:tcW w:w="1338" w:type="dxa"/>
            <w:tcBorders>
              <w:bottom w:val="single" w:color="000000" w:sz="12" w:space="0"/>
            </w:tcBorders>
            <w:noWrap w:val="0"/>
            <w:vAlign w:val="center"/>
          </w:tcPr>
          <w:p w14:paraId="19EEE3E6">
            <w:pPr>
              <w:pStyle w:val="8"/>
              <w:spacing w:line="240" w:lineRule="auto"/>
              <w:jc w:val="center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</w:rPr>
              <w:t>0.508d</w:t>
            </w:r>
          </w:p>
        </w:tc>
      </w:tr>
    </w:tbl>
    <w:p w14:paraId="3B365FF3">
      <w:pPr>
        <w:spacing w:before="120"/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</w:pPr>
      <w:r>
        <w:rPr>
          <w:rFonts w:hint="default" w:ascii="Arial" w:hAnsi="Arial" w:eastAsia="Times New Roman" w:cs="Arial"/>
          <w:b/>
          <w:bCs/>
          <w:color w:val="000000"/>
          <w:kern w:val="0"/>
          <w:sz w:val="18"/>
          <w:szCs w:val="22"/>
          <w:lang w:val="en-US" w:eastAsia="de-DE" w:bidi="en-US"/>
        </w:rPr>
        <w:t xml:space="preserve">Notes: 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t>Data are presented as median [interquartile range, IQR] for continuous variables with non-normal distribution, or number (percentage) for categorical variables.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br w:type="textWrapping"/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t>a Mann-Whitney U test was used for non-normally distributed continuous variables.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br w:type="textWrapping"/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t>b Student's t-test was used for normally distributed continuous variables.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br w:type="textWrapping"/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t>c Chi-square test was used for categorical variables.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br w:type="textWrapping"/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t>d Fisher's exact test was used for categorical variables with small expected frequencies.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br w:type="textWrapping"/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t xml:space="preserve">- 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zh-CN" w:bidi="en-US"/>
        </w:rPr>
        <w:t>P-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t>value was not calculated due to zero cases in specific subcategories.</w:t>
      </w:r>
    </w:p>
    <w:p w14:paraId="0665B4B9">
      <w:pP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</w:pPr>
      <w:r>
        <w:rPr>
          <w:rFonts w:hint="default" w:ascii="Arial" w:hAnsi="Arial" w:eastAsia="Times New Roman" w:cs="Arial"/>
          <w:b/>
          <w:bCs/>
          <w:color w:val="000000"/>
          <w:kern w:val="0"/>
          <w:sz w:val="18"/>
          <w:szCs w:val="22"/>
          <w:lang w:val="en-US" w:eastAsia="de-DE" w:bidi="en-US"/>
        </w:rPr>
        <w:t xml:space="preserve">Abbreviations: 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22"/>
          <w:lang w:val="en-US" w:eastAsia="de-DE" w:bidi="en-US"/>
        </w:rPr>
        <w:t>CT, computed tomography; HU, Hounsfield unit; BMI, body mass index; NRS2002, Nutritional Risk Screening 2002; ALT, alanine aminotransferase; AST, aspartate aminotransferase; INR, international normalized ratio; eGFR, estimated glomerular filtration rate; NLR, neutrophil-to-lymphocyte ratio; SII, systemic immune-inflammation index; PNI, prognostic nutritional index; MELD-Na, Model for End-Stage Liver Disease-Sodium; FIB-4, fibrosis-4; ALBI, albumin-bilirubin; HBV, hepatitis B virus; HCV, hepatitis C virus; PBC, primary biliary cholangitis; COPD, chronic obstructive pulmonary disease; CKD, chronic kidney disease; PPI, proton pump inhibitor; TDF, tenofovir disoproxil fumarate; SLE, systemic lupus erythematosus.</w:t>
      </w:r>
    </w:p>
    <w:p w14:paraId="20F884C8">
      <w:pPr>
        <w:rPr>
          <w:rFonts w:hint="default" w:ascii="Arial" w:hAnsi="Arial" w:cs="Arial"/>
          <w:sz w:val="18"/>
        </w:rPr>
      </w:pPr>
    </w:p>
    <w:p w14:paraId="39E85615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S Reference Specialty"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rmala Text Semilight">
    <w:panose1 w:val="020B0402040204020203"/>
    <w:charset w:val="00"/>
    <w:family w:val="auto"/>
    <w:pitch w:val="default"/>
    <w:sig w:usb0="80FF8023" w:usb1="0200004A" w:usb2="00000200" w:usb3="00040000" w:csb0="00000001" w:csb1="00000000"/>
  </w:font>
  <w:font w:name="Nirmala UI Semilight">
    <w:panose1 w:val="020B0402040204020203"/>
    <w:charset w:val="00"/>
    <w:family w:val="auto"/>
    <w:pitch w:val="default"/>
    <w:sig w:usb0="80FF8023" w:usb1="0200004A" w:usb2="00000200" w:usb3="00040000" w:csb0="00000001" w:csb1="00000000"/>
  </w:font>
  <w:font w:name="Sans Serif Collection">
    <w:panose1 w:val="020B0502040504020204"/>
    <w:charset w:val="00"/>
    <w:family w:val="auto"/>
    <w:pitch w:val="default"/>
    <w:sig w:usb0="E857A3FF" w:usb1="4200605F" w:usb2="29100029" w:usb3="007B0631" w:csb0="000001D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4522F"/>
    <w:rsid w:val="0BD4522F"/>
    <w:rsid w:val="2AB161DC"/>
    <w:rsid w:val="4ABD6A9F"/>
    <w:rsid w:val="7559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MDPI_5.1_figure_caption"/>
    <w:qFormat/>
    <w:uiPriority w:val="0"/>
    <w:pPr>
      <w:adjustRightInd w:val="0"/>
      <w:snapToGrid w:val="0"/>
      <w:spacing w:before="120" w:after="240" w:line="280" w:lineRule="atLeast"/>
      <w:ind w:left="2608"/>
      <w:jc w:val="both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paragraph" w:customStyle="1" w:styleId="7">
    <w:name w:val="MDPI_4.1_table_caption"/>
    <w:qFormat/>
    <w:uiPriority w:val="0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8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9">
    <w:name w:val="MDPI_4.3_table_footer"/>
    <w:next w:val="10"/>
    <w:qFormat/>
    <w:uiPriority w:val="0"/>
    <w:pPr>
      <w:adjustRightInd w:val="0"/>
      <w:snapToGrid w:val="0"/>
      <w:spacing w:line="280" w:lineRule="atLeast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10">
    <w:name w:val="MDPI_3.1_text"/>
    <w:qFormat/>
    <w:uiPriority w:val="0"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1102</Words>
  <Characters>6162</Characters>
  <Lines>0</Lines>
  <Paragraphs>0</Paragraphs>
  <TotalTime>4</TotalTime>
  <ScaleCrop>false</ScaleCrop>
  <LinksUpToDate>false</LinksUpToDate>
  <CharactersWithSpaces>6880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2026-05-31T13:18:00Z</dcterms:created>
  <dc:creator>W2Y+</dc:creator>
  <cp:lastModifiedBy>W2Y+</cp:lastModifiedBy>
  <dcterms:modified xsi:type="dcterms:W3CDTF">2026-06-17T11:54:05Z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14B73B67B1ED4AB69FBDA906DE45EBA8_13</vt:lpwstr>
  </property>
  <property fmtid="{D5CDD505-2E9C-101B-9397-08002B2CF9AE}" pid="4" name="KSOTemplateDocerSaveRecord">
    <vt:lpwstr>eyJoZGlkIjoiZjFmZWIzNDg2MmIzZjExOTIzMmViNTBmYTMwYTk0ZWYiLCJ1c2VySWQiOiIyMzM1MjQ0NzgifQ==</vt:lpwstr>
  </property>
</Properties>
</file>