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29A" w:rsidRPr="00354422" w:rsidRDefault="008F229A" w:rsidP="00197E33">
      <w:pPr>
        <w:autoSpaceDE w:val="0"/>
        <w:autoSpaceDN w:val="0"/>
        <w:adjustRightInd w:val="0"/>
        <w:spacing w:after="0" w:line="240" w:lineRule="auto"/>
        <w:rPr>
          <w:rFonts w:cs="AdvP6EC0"/>
          <w:i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drawing>
          <wp:inline distT="0" distB="0" distL="0" distR="0">
            <wp:extent cx="4410075" cy="3082925"/>
            <wp:effectExtent l="19050" t="0" r="9525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08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29A" w:rsidRDefault="008F229A" w:rsidP="008F229A">
      <w:pPr>
        <w:pStyle w:val="Caption"/>
        <w:jc w:val="both"/>
        <w:rPr>
          <w:rFonts w:asciiTheme="minorHAnsi" w:hAnsiTheme="minorHAnsi"/>
          <w:color w:val="auto"/>
          <w:sz w:val="20"/>
          <w:szCs w:val="20"/>
        </w:rPr>
      </w:pPr>
      <w:bookmarkStart w:id="0" w:name="_Toc49879988"/>
    </w:p>
    <w:p w:rsidR="008F229A" w:rsidRPr="008F229A" w:rsidRDefault="008F229A" w:rsidP="008F229A">
      <w:pPr>
        <w:pStyle w:val="Caption"/>
        <w:jc w:val="both"/>
        <w:rPr>
          <w:rFonts w:asciiTheme="minorHAnsi" w:hAnsiTheme="minorHAnsi"/>
          <w:color w:val="auto"/>
          <w:sz w:val="20"/>
          <w:szCs w:val="20"/>
        </w:rPr>
      </w:pPr>
      <w:r w:rsidRPr="008F229A">
        <w:rPr>
          <w:rFonts w:asciiTheme="minorHAnsi" w:hAnsiTheme="minorHAnsi"/>
          <w:color w:val="auto"/>
          <w:sz w:val="20"/>
          <w:szCs w:val="20"/>
        </w:rPr>
        <w:t xml:space="preserve">Supplementary figure 1: Propensity Score match common support on covariates for SMD </w:t>
      </w:r>
      <w:r w:rsidR="00970286">
        <w:rPr>
          <w:rFonts w:asciiTheme="minorHAnsi" w:hAnsiTheme="minorHAnsi"/>
          <w:color w:val="auto"/>
          <w:sz w:val="20"/>
          <w:szCs w:val="20"/>
        </w:rPr>
        <w:t>sub-</w:t>
      </w:r>
      <w:r w:rsidRPr="008F229A">
        <w:rPr>
          <w:rFonts w:asciiTheme="minorHAnsi" w:hAnsiTheme="minorHAnsi"/>
          <w:color w:val="auto"/>
          <w:sz w:val="20"/>
          <w:szCs w:val="20"/>
        </w:rPr>
        <w:t>study</w:t>
      </w:r>
      <w:bookmarkEnd w:id="0"/>
    </w:p>
    <w:p w:rsidR="008F229A" w:rsidRPr="008F229A" w:rsidRDefault="008F229A" w:rsidP="008F229A"/>
    <w:p w:rsidR="00CE4463" w:rsidRDefault="008F229A" w:rsidP="00197E33">
      <w:r>
        <w:rPr>
          <w:rFonts w:ascii="Times New Roman" w:hAnsi="Times New Roman"/>
          <w:b/>
          <w:i/>
          <w:noProof/>
          <w:sz w:val="24"/>
          <w:szCs w:val="24"/>
        </w:rPr>
        <w:drawing>
          <wp:inline distT="0" distB="0" distL="0" distR="0">
            <wp:extent cx="4498975" cy="3722370"/>
            <wp:effectExtent l="19050" t="0" r="0" b="0"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975" cy="372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29A" w:rsidRPr="008F229A" w:rsidRDefault="008F229A" w:rsidP="008F229A">
      <w:pPr>
        <w:pStyle w:val="Caption"/>
        <w:jc w:val="both"/>
        <w:rPr>
          <w:rFonts w:asciiTheme="minorHAnsi" w:hAnsiTheme="minorHAnsi"/>
          <w:color w:val="auto"/>
          <w:sz w:val="20"/>
          <w:szCs w:val="20"/>
        </w:rPr>
      </w:pPr>
      <w:r w:rsidRPr="008F229A">
        <w:rPr>
          <w:rFonts w:asciiTheme="minorHAnsi" w:hAnsiTheme="minorHAnsi"/>
          <w:color w:val="auto"/>
          <w:sz w:val="20"/>
          <w:szCs w:val="20"/>
        </w:rPr>
        <w:t xml:space="preserve">Supplementary figure 2: Propensity Score match common support on covariates for depression </w:t>
      </w:r>
      <w:r w:rsidR="00970286">
        <w:rPr>
          <w:rFonts w:asciiTheme="minorHAnsi" w:hAnsiTheme="minorHAnsi"/>
          <w:color w:val="auto"/>
          <w:sz w:val="20"/>
          <w:szCs w:val="20"/>
        </w:rPr>
        <w:t>sub-</w:t>
      </w:r>
      <w:r w:rsidRPr="008F229A">
        <w:rPr>
          <w:rFonts w:asciiTheme="minorHAnsi" w:hAnsiTheme="minorHAnsi"/>
          <w:color w:val="auto"/>
          <w:sz w:val="20"/>
          <w:szCs w:val="20"/>
        </w:rPr>
        <w:t>study</w:t>
      </w:r>
    </w:p>
    <w:p w:rsidR="000F2F43" w:rsidRPr="00B56606" w:rsidRDefault="000F2F43" w:rsidP="000F2F43">
      <w:pPr>
        <w:spacing w:line="480" w:lineRule="auto"/>
        <w:rPr>
          <w:b/>
          <w:sz w:val="24"/>
          <w:szCs w:val="24"/>
        </w:rPr>
      </w:pPr>
      <w:proofErr w:type="gramStart"/>
      <w:r>
        <w:rPr>
          <w:rFonts w:cs="AdvP6EC0"/>
        </w:rPr>
        <w:lastRenderedPageBreak/>
        <w:t xml:space="preserve">Supplementary </w:t>
      </w:r>
      <w:r w:rsidRPr="00812E86">
        <w:rPr>
          <w:rFonts w:cs="AdvP6EC0"/>
        </w:rPr>
        <w:t xml:space="preserve">Table </w:t>
      </w:r>
      <w:r>
        <w:rPr>
          <w:rFonts w:cs="AdvP6EC0"/>
        </w:rPr>
        <w:t>1</w:t>
      </w:r>
      <w:r w:rsidRPr="00812E86">
        <w:rPr>
          <w:rFonts w:cs="AdvP6EC0"/>
        </w:rPr>
        <w:t>.</w:t>
      </w:r>
      <w:proofErr w:type="gramEnd"/>
      <w:r w:rsidRPr="00DA35CF">
        <w:rPr>
          <w:rFonts w:cs="AdvP6EC0"/>
        </w:rPr>
        <w:t xml:space="preserve"> </w:t>
      </w:r>
      <w:proofErr w:type="gramStart"/>
      <w:r w:rsidRPr="00812E86">
        <w:t xml:space="preserve">Predictors </w:t>
      </w:r>
      <w:r w:rsidR="00970286" w:rsidRPr="00812E86">
        <w:t>of changes</w:t>
      </w:r>
      <w:r w:rsidRPr="00812E86">
        <w:t xml:space="preserve"> in income and consumption</w:t>
      </w:r>
      <w:r w:rsidR="006C5069">
        <w:t xml:space="preserve"> expenditure</w:t>
      </w:r>
      <w:r w:rsidRPr="00812E86">
        <w:t xml:space="preserve"> over 12</w:t>
      </w:r>
      <w:r w:rsidR="00970286">
        <w:t>-</w:t>
      </w:r>
      <w:r w:rsidRPr="00812E86">
        <w:t xml:space="preserve"> months in households </w:t>
      </w:r>
      <w:r w:rsidR="00970286" w:rsidRPr="00812E86">
        <w:t>of persons in</w:t>
      </w:r>
      <w:r>
        <w:t xml:space="preserve"> </w:t>
      </w:r>
      <w:r w:rsidRPr="00812E86">
        <w:t xml:space="preserve">severe mental </w:t>
      </w:r>
      <w:r w:rsidRPr="00B8770D">
        <w:rPr>
          <w:rFonts w:asciiTheme="minorHAnsi" w:hAnsiTheme="minorHAnsi"/>
        </w:rPr>
        <w:t>disorder</w:t>
      </w:r>
      <w:r w:rsidRPr="00B8770D">
        <w:rPr>
          <w:rFonts w:asciiTheme="minorHAnsi" w:hAnsiTheme="minorHAnsi"/>
          <w:sz w:val="24"/>
          <w:szCs w:val="24"/>
        </w:rPr>
        <w:t xml:space="preserve"> </w:t>
      </w:r>
      <w:r w:rsidRPr="00B8770D">
        <w:rPr>
          <w:rFonts w:asciiTheme="minorHAnsi" w:hAnsiTheme="minorHAnsi"/>
        </w:rPr>
        <w:t>intervention</w:t>
      </w:r>
      <w:r w:rsidR="006C5069">
        <w:rPr>
          <w:rFonts w:asciiTheme="minorHAnsi" w:hAnsiTheme="minorHAnsi"/>
        </w:rPr>
        <w:t>s.</w:t>
      </w:r>
      <w:proofErr w:type="gramEnd"/>
    </w:p>
    <w:tbl>
      <w:tblPr>
        <w:tblW w:w="9738" w:type="dxa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4158"/>
        <w:gridCol w:w="3150"/>
        <w:gridCol w:w="2430"/>
      </w:tblGrid>
      <w:tr w:rsidR="000F2F43" w:rsidRPr="009B3C26" w:rsidTr="00452B9D">
        <w:tc>
          <w:tcPr>
            <w:tcW w:w="97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AdvP6EC0"/>
              </w:rPr>
              <w:t>I. Household income</w:t>
            </w:r>
          </w:p>
        </w:tc>
      </w:tr>
      <w:tr w:rsidR="000F2F43" w:rsidRPr="009B3C26" w:rsidTr="00452B9D">
        <w:tc>
          <w:tcPr>
            <w:tcW w:w="4158" w:type="dxa"/>
            <w:vMerge w:val="restart"/>
            <w:tcBorders>
              <w:top w:val="single" w:sz="4" w:space="0" w:color="auto"/>
              <w:bottom w:val="nil"/>
            </w:tcBorders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AdvP6EC0"/>
              </w:rPr>
              <w:t xml:space="preserve">   </w:t>
            </w:r>
          </w:p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</w:p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AdvP6EC0"/>
              </w:rPr>
              <w:t>Characteristics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AdvP6EC0"/>
              </w:rPr>
              <w:t>Change in income</w:t>
            </w:r>
            <w:r w:rsidR="0006378B" w:rsidRPr="0006378B">
              <w:rPr>
                <w:bCs/>
                <w:i/>
                <w:color w:val="000000"/>
                <w:vertAlign w:val="superscript"/>
              </w:rPr>
              <w:t>†</w:t>
            </w:r>
            <w:r w:rsidR="0006378B" w:rsidRPr="009B3C26">
              <w:rPr>
                <w:rFonts w:cs="AdvP6EC0"/>
              </w:rPr>
              <w:t xml:space="preserve"> </w:t>
            </w:r>
            <w:r w:rsidRPr="009B3C26">
              <w:rPr>
                <w:rFonts w:cs="AdvP6EC0"/>
              </w:rPr>
              <w:t>(T2-T1)</w:t>
            </w:r>
          </w:p>
        </w:tc>
      </w:tr>
      <w:tr w:rsidR="000F2F43" w:rsidRPr="009B3C26" w:rsidTr="00452B9D">
        <w:tc>
          <w:tcPr>
            <w:tcW w:w="4158" w:type="dxa"/>
            <w:vMerge/>
            <w:tcBorders>
              <w:top w:val="nil"/>
              <w:bottom w:val="nil"/>
            </w:tcBorders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AdvP6EC0"/>
              </w:rPr>
              <w:t>Unadjusted model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AdvP6EC0"/>
              </w:rPr>
              <w:t>Adjusted model</w:t>
            </w:r>
          </w:p>
        </w:tc>
      </w:tr>
      <w:tr w:rsidR="000F2F43" w:rsidRPr="009B3C26" w:rsidTr="00452B9D">
        <w:tc>
          <w:tcPr>
            <w:tcW w:w="4158" w:type="dxa"/>
            <w:vMerge/>
            <w:tcBorders>
              <w:top w:val="nil"/>
              <w:bottom w:val="single" w:sz="4" w:space="0" w:color="auto"/>
            </w:tcBorders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FranklinGothic-BookCmpr"/>
              </w:rPr>
              <w:t>ß</w:t>
            </w:r>
            <w:r w:rsidRPr="009B3C26">
              <w:rPr>
                <w:rFonts w:cs="AdvP6EC0"/>
              </w:rPr>
              <w:t xml:space="preserve"> (CI)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FranklinGothic-BookCmpr"/>
              </w:rPr>
              <w:t>ß</w:t>
            </w:r>
            <w:r w:rsidRPr="009B3C26">
              <w:rPr>
                <w:rFonts w:cs="AdvP6EC0"/>
              </w:rPr>
              <w:t xml:space="preserve"> (CI)</w:t>
            </w:r>
          </w:p>
        </w:tc>
      </w:tr>
      <w:tr w:rsidR="000F2F43" w:rsidRPr="009B3C26" w:rsidTr="00452B9D">
        <w:tc>
          <w:tcPr>
            <w:tcW w:w="4158" w:type="dxa"/>
            <w:tcBorders>
              <w:top w:val="single" w:sz="4" w:space="0" w:color="auto"/>
            </w:tcBorders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AdvP6EC0"/>
              </w:rPr>
              <w:t>Female household head</w:t>
            </w:r>
            <w:r w:rsidRPr="00452B9D">
              <w:rPr>
                <w:rFonts w:asciiTheme="minorHAnsi" w:hAnsiTheme="minorHAnsi" w:cs="AdvP6EC0"/>
              </w:rPr>
              <w:t>(</w:t>
            </w:r>
            <w:r w:rsidRPr="00452B9D">
              <w:rPr>
                <w:rStyle w:val="fontstyle01"/>
                <w:rFonts w:asciiTheme="minorHAnsi" w:hAnsiTheme="minorHAnsi"/>
                <w:sz w:val="20"/>
                <w:szCs w:val="20"/>
              </w:rPr>
              <w:t>ref. male)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  <w:b/>
              </w:rPr>
            </w:pPr>
            <w:r w:rsidRPr="009B3C26">
              <w:rPr>
                <w:rFonts w:cs="AdvP6EC0"/>
              </w:rPr>
              <w:t>-572.28(-3056.34, 1911.77)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AdvP6EC0"/>
              </w:rPr>
              <w:t>-279.86 (-5628.60,</w:t>
            </w:r>
            <w:r w:rsidRPr="009B3C26">
              <w:t xml:space="preserve"> </w:t>
            </w:r>
            <w:r w:rsidRPr="009B3C26">
              <w:rPr>
                <w:rFonts w:cs="AdvP6EC0"/>
              </w:rPr>
              <w:t>5068.87)</w:t>
            </w:r>
          </w:p>
        </w:tc>
      </w:tr>
      <w:tr w:rsidR="000F2F43" w:rsidRPr="009B3C26" w:rsidTr="000F2F43">
        <w:tc>
          <w:tcPr>
            <w:tcW w:w="4158" w:type="dxa"/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AdvP6EC0"/>
              </w:rPr>
              <w:t xml:space="preserve">No formal education </w:t>
            </w:r>
            <w:r w:rsidRPr="009B3C26">
              <w:rPr>
                <w:rStyle w:val="fontstyle01"/>
              </w:rPr>
              <w:t>(</w:t>
            </w:r>
            <w:r w:rsidRPr="00452B9D">
              <w:rPr>
                <w:rStyle w:val="fontstyle01"/>
                <w:rFonts w:asciiTheme="minorHAnsi" w:hAnsiTheme="minorHAnsi"/>
                <w:sz w:val="20"/>
                <w:szCs w:val="20"/>
              </w:rPr>
              <w:t>ref.</w:t>
            </w:r>
            <w:r w:rsidRPr="009B3C26">
              <w:rPr>
                <w:rStyle w:val="fontstyle01"/>
              </w:rPr>
              <w:t xml:space="preserve"> </w:t>
            </w:r>
            <w:r w:rsidRPr="009B3C26">
              <w:rPr>
                <w:rFonts w:cs="AdvP6EC0"/>
              </w:rPr>
              <w:t>Primary and above)</w:t>
            </w:r>
          </w:p>
        </w:tc>
        <w:tc>
          <w:tcPr>
            <w:tcW w:w="3150" w:type="dxa"/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  <w:b/>
              </w:rPr>
            </w:pPr>
            <w:r w:rsidRPr="009B3C26">
              <w:rPr>
                <w:rFonts w:cs="AdvP6EC0"/>
              </w:rPr>
              <w:t>-197.37(-2487.27, 2092.51)</w:t>
            </w:r>
          </w:p>
        </w:tc>
        <w:tc>
          <w:tcPr>
            <w:tcW w:w="2430" w:type="dxa"/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  <w:b/>
              </w:rPr>
            </w:pPr>
            <w:r w:rsidRPr="009B3C26">
              <w:rPr>
                <w:rFonts w:cs="AdvP6EC0"/>
              </w:rPr>
              <w:t>-338.55 (-3153.2</w:t>
            </w:r>
            <w:r w:rsidR="00EB65D2">
              <w:rPr>
                <w:rFonts w:cs="AdvP6EC0"/>
              </w:rPr>
              <w:t>0</w:t>
            </w:r>
            <w:r w:rsidRPr="009B3C26">
              <w:rPr>
                <w:rFonts w:cs="AdvP6EC0"/>
              </w:rPr>
              <w:t>,</w:t>
            </w:r>
            <w:r w:rsidRPr="009B3C26">
              <w:t xml:space="preserve"> </w:t>
            </w:r>
            <w:r w:rsidRPr="009B3C26">
              <w:rPr>
                <w:rFonts w:cs="AdvP6EC0"/>
              </w:rPr>
              <w:t>2476.09)</w:t>
            </w:r>
          </w:p>
        </w:tc>
      </w:tr>
      <w:tr w:rsidR="000F2F43" w:rsidRPr="009B3C26" w:rsidTr="000F2F43">
        <w:tc>
          <w:tcPr>
            <w:tcW w:w="4158" w:type="dxa"/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AdvP6EC0"/>
              </w:rPr>
              <w:t xml:space="preserve">Rural </w:t>
            </w:r>
            <w:r w:rsidRPr="00EB65D2">
              <w:rPr>
                <w:rStyle w:val="fontstyle01"/>
                <w:rFonts w:asciiTheme="minorHAnsi" w:hAnsiTheme="minorHAnsi"/>
                <w:sz w:val="20"/>
                <w:szCs w:val="20"/>
              </w:rPr>
              <w:t>(ref. urban)</w:t>
            </w:r>
          </w:p>
        </w:tc>
        <w:tc>
          <w:tcPr>
            <w:tcW w:w="3150" w:type="dxa"/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AdvP6EC0"/>
              </w:rPr>
              <w:t>-1612.30(-4501.31,</w:t>
            </w:r>
            <w:r w:rsidRPr="009B3C26">
              <w:t xml:space="preserve"> </w:t>
            </w:r>
            <w:r w:rsidRPr="009B3C26">
              <w:rPr>
                <w:rFonts w:cs="AdvP6EC0"/>
              </w:rPr>
              <w:t>1276.69)</w:t>
            </w:r>
          </w:p>
        </w:tc>
        <w:tc>
          <w:tcPr>
            <w:tcW w:w="2430" w:type="dxa"/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AdvP6EC0"/>
              </w:rPr>
              <w:t>-1313.00 (-3734.47, 6360.48)</w:t>
            </w:r>
          </w:p>
        </w:tc>
      </w:tr>
      <w:tr w:rsidR="000F2F43" w:rsidRPr="009B3C26" w:rsidTr="000F2F43">
        <w:trPr>
          <w:trHeight w:val="332"/>
        </w:trPr>
        <w:tc>
          <w:tcPr>
            <w:tcW w:w="4158" w:type="dxa"/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AdvP6EC0"/>
              </w:rPr>
              <w:t>Baseline WHODAS complex score</w:t>
            </w:r>
          </w:p>
        </w:tc>
        <w:tc>
          <w:tcPr>
            <w:tcW w:w="3150" w:type="dxa"/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AdvP6EC0"/>
              </w:rPr>
              <w:t xml:space="preserve">20.575(-27.42, 68.57) </w:t>
            </w:r>
          </w:p>
        </w:tc>
        <w:tc>
          <w:tcPr>
            <w:tcW w:w="2430" w:type="dxa"/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  <w:b/>
              </w:rPr>
            </w:pPr>
            <w:r w:rsidRPr="009B3C26">
              <w:rPr>
                <w:rFonts w:cs="AdvP6EC0"/>
              </w:rPr>
              <w:t>-7.25(-27.83, 26.38)</w:t>
            </w:r>
          </w:p>
        </w:tc>
      </w:tr>
      <w:tr w:rsidR="000F2F43" w:rsidRPr="009B3C26" w:rsidTr="000F2F43">
        <w:tc>
          <w:tcPr>
            <w:tcW w:w="4158" w:type="dxa"/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AdvP6EC0"/>
              </w:rPr>
              <w:t>Months treatment followed</w:t>
            </w:r>
          </w:p>
        </w:tc>
        <w:tc>
          <w:tcPr>
            <w:tcW w:w="3150" w:type="dxa"/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AdvP6EC0"/>
              </w:rPr>
              <w:t>521.88(-66.56,</w:t>
            </w:r>
            <w:r w:rsidRPr="009B3C26">
              <w:t xml:space="preserve"> </w:t>
            </w:r>
            <w:r w:rsidRPr="009B3C26">
              <w:rPr>
                <w:rFonts w:cs="AdvP6EC0"/>
              </w:rPr>
              <w:t>977.20)</w:t>
            </w:r>
          </w:p>
        </w:tc>
        <w:tc>
          <w:tcPr>
            <w:tcW w:w="2430" w:type="dxa"/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AdvP6EC0"/>
              </w:rPr>
              <w:t xml:space="preserve">401.48(- </w:t>
            </w:r>
            <w:r>
              <w:rPr>
                <w:rFonts w:cs="AdvP6EC0"/>
              </w:rPr>
              <w:t>443.47</w:t>
            </w:r>
            <w:r w:rsidRPr="009B3C26">
              <w:rPr>
                <w:rFonts w:cs="AdvP6EC0"/>
              </w:rPr>
              <w:t>, 1246.44)</w:t>
            </w:r>
          </w:p>
        </w:tc>
      </w:tr>
      <w:tr w:rsidR="000F2F43" w:rsidRPr="009B3C26" w:rsidTr="000F2F43">
        <w:tc>
          <w:tcPr>
            <w:tcW w:w="4158" w:type="dxa"/>
            <w:tcBorders>
              <w:bottom w:val="single" w:sz="4" w:space="0" w:color="auto"/>
            </w:tcBorders>
            <w:shd w:val="clear" w:color="auto" w:fill="auto"/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  <w:highlight w:val="yellow"/>
              </w:rPr>
            </w:pPr>
            <w:r w:rsidRPr="009B3C26">
              <w:rPr>
                <w:rFonts w:cs="AdvP6EC0"/>
              </w:rPr>
              <w:t>Baseline income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  <w:highlight w:val="yellow"/>
              </w:rPr>
            </w:pPr>
            <w:r w:rsidRPr="009B3C26">
              <w:rPr>
                <w:rFonts w:cs="AdvP6EC0"/>
              </w:rPr>
              <w:t xml:space="preserve">0.424(0.032, 0 .816) 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  <w:highlight w:val="yellow"/>
              </w:rPr>
            </w:pPr>
            <w:r w:rsidRPr="009B3C26">
              <w:rPr>
                <w:rFonts w:cs="AdvP6EC0"/>
              </w:rPr>
              <w:t>-0.188(-0. 530, 0.153)</w:t>
            </w:r>
          </w:p>
        </w:tc>
      </w:tr>
      <w:tr w:rsidR="000F2F43" w:rsidRPr="009B3C26" w:rsidTr="000F2F43">
        <w:tc>
          <w:tcPr>
            <w:tcW w:w="97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AdvP6EC0"/>
              </w:rPr>
              <w:t>II. Household consumption expenditure</w:t>
            </w:r>
          </w:p>
        </w:tc>
      </w:tr>
      <w:tr w:rsidR="000F2F43" w:rsidRPr="009B3C26" w:rsidTr="000F2F43">
        <w:tc>
          <w:tcPr>
            <w:tcW w:w="4158" w:type="dxa"/>
            <w:vMerge w:val="restart"/>
            <w:tcBorders>
              <w:top w:val="single" w:sz="4" w:space="0" w:color="auto"/>
              <w:bottom w:val="nil"/>
            </w:tcBorders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</w:p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</w:p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AdvP6EC0"/>
              </w:rPr>
              <w:t>Characteristics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AdvP6EC0"/>
              </w:rPr>
              <w:t>Change in consumption expenditure</w:t>
            </w:r>
            <w:r w:rsidR="0006378B" w:rsidRPr="0006378B">
              <w:rPr>
                <w:bCs/>
                <w:i/>
                <w:color w:val="000000"/>
                <w:vertAlign w:val="superscript"/>
              </w:rPr>
              <w:t>†</w:t>
            </w:r>
          </w:p>
        </w:tc>
      </w:tr>
      <w:tr w:rsidR="000F2F43" w:rsidRPr="009B3C26" w:rsidTr="000F2F43">
        <w:tc>
          <w:tcPr>
            <w:tcW w:w="4158" w:type="dxa"/>
            <w:vMerge/>
            <w:tcBorders>
              <w:top w:val="nil"/>
              <w:bottom w:val="nil"/>
            </w:tcBorders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AdvP6EC0"/>
              </w:rPr>
              <w:t>Unadjusted model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AdvP6EC0"/>
              </w:rPr>
              <w:t>Adjusted model</w:t>
            </w:r>
          </w:p>
        </w:tc>
      </w:tr>
      <w:tr w:rsidR="000F2F43" w:rsidRPr="009B3C26" w:rsidTr="000F2F43">
        <w:tc>
          <w:tcPr>
            <w:tcW w:w="4158" w:type="dxa"/>
            <w:vMerge/>
            <w:tcBorders>
              <w:top w:val="nil"/>
              <w:bottom w:val="single" w:sz="4" w:space="0" w:color="auto"/>
            </w:tcBorders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FranklinGothic-BookCmpr"/>
              </w:rPr>
              <w:t>ß</w:t>
            </w:r>
            <w:r w:rsidRPr="009B3C26">
              <w:rPr>
                <w:rFonts w:cs="AdvP6EC0"/>
              </w:rPr>
              <w:t xml:space="preserve"> (CI)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FranklinGothic-BookCmpr"/>
              </w:rPr>
              <w:t>ß</w:t>
            </w:r>
            <w:r w:rsidRPr="009B3C26">
              <w:rPr>
                <w:rFonts w:cs="AdvP6EC0"/>
              </w:rPr>
              <w:t xml:space="preserve"> (CI)</w:t>
            </w:r>
          </w:p>
        </w:tc>
      </w:tr>
      <w:tr w:rsidR="000F2F43" w:rsidRPr="009B3C26" w:rsidTr="000F2F43">
        <w:tc>
          <w:tcPr>
            <w:tcW w:w="4158" w:type="dxa"/>
            <w:tcBorders>
              <w:top w:val="single" w:sz="4" w:space="0" w:color="auto"/>
              <w:bottom w:val="nil"/>
            </w:tcBorders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AdvP6EC0"/>
              </w:rPr>
              <w:t>Female household head(</w:t>
            </w:r>
            <w:r w:rsidRPr="00452B9D">
              <w:rPr>
                <w:rStyle w:val="fontstyle01"/>
                <w:rFonts w:asciiTheme="minorHAnsi" w:hAnsiTheme="minorHAnsi"/>
                <w:sz w:val="20"/>
                <w:szCs w:val="20"/>
              </w:rPr>
              <w:t>ref. male</w:t>
            </w:r>
            <w:r w:rsidRPr="009B3C26">
              <w:rPr>
                <w:rStyle w:val="fontstyle01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bottom w:val="nil"/>
            </w:tcBorders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AdvP6EC0"/>
              </w:rPr>
              <w:t>925.54(-1168.36,</w:t>
            </w:r>
            <w:r w:rsidRPr="009B3C26">
              <w:t xml:space="preserve"> </w:t>
            </w:r>
            <w:r w:rsidRPr="009B3C26">
              <w:rPr>
                <w:rFonts w:cs="AdvP6EC0"/>
              </w:rPr>
              <w:t>3019.44)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AdvP6EC0"/>
              </w:rPr>
              <w:t>-795.06(-1967.91,</w:t>
            </w:r>
            <w:r w:rsidRPr="009B3C26">
              <w:t xml:space="preserve"> </w:t>
            </w:r>
            <w:r w:rsidRPr="009B3C26">
              <w:rPr>
                <w:rFonts w:cs="AdvP6EC0"/>
              </w:rPr>
              <w:t>3558.04)</w:t>
            </w:r>
          </w:p>
        </w:tc>
      </w:tr>
      <w:tr w:rsidR="000F2F43" w:rsidRPr="009B3C26" w:rsidTr="000F2F43">
        <w:tc>
          <w:tcPr>
            <w:tcW w:w="4158" w:type="dxa"/>
            <w:tcBorders>
              <w:top w:val="nil"/>
              <w:bottom w:val="nil"/>
            </w:tcBorders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AdvP6EC0"/>
              </w:rPr>
              <w:t xml:space="preserve">No formal education </w:t>
            </w:r>
            <w:r w:rsidRPr="009B3C26">
              <w:rPr>
                <w:rStyle w:val="fontstyle01"/>
              </w:rPr>
              <w:t>(</w:t>
            </w:r>
            <w:r w:rsidRPr="00452B9D">
              <w:rPr>
                <w:rStyle w:val="fontstyle01"/>
                <w:rFonts w:asciiTheme="minorHAnsi" w:hAnsiTheme="minorHAnsi"/>
                <w:sz w:val="20"/>
                <w:szCs w:val="20"/>
              </w:rPr>
              <w:t>ref.</w:t>
            </w:r>
            <w:r w:rsidRPr="009B3C26">
              <w:rPr>
                <w:rStyle w:val="fontstyle01"/>
              </w:rPr>
              <w:t xml:space="preserve"> </w:t>
            </w:r>
            <w:r w:rsidRPr="009B3C26">
              <w:rPr>
                <w:rFonts w:cs="AdvP6EC0"/>
              </w:rPr>
              <w:t>Primary and above)</w:t>
            </w:r>
          </w:p>
        </w:tc>
        <w:tc>
          <w:tcPr>
            <w:tcW w:w="3150" w:type="dxa"/>
            <w:tcBorders>
              <w:top w:val="nil"/>
              <w:bottom w:val="nil"/>
            </w:tcBorders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AdvP6EC0"/>
              </w:rPr>
              <w:t>-1124.65 (-3052.34,</w:t>
            </w:r>
            <w:r w:rsidRPr="009B3C26">
              <w:t xml:space="preserve"> </w:t>
            </w:r>
            <w:r w:rsidRPr="009B3C26">
              <w:rPr>
                <w:rFonts w:cs="AdvP6EC0"/>
              </w:rPr>
              <w:t>803.03)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  <w:b/>
              </w:rPr>
            </w:pPr>
            <w:r w:rsidRPr="009B3C26">
              <w:rPr>
                <w:rFonts w:cs="AdvP6EC0"/>
              </w:rPr>
              <w:t>-2456.71*(-4651.32, -262.11)</w:t>
            </w:r>
          </w:p>
        </w:tc>
      </w:tr>
      <w:tr w:rsidR="000F2F43" w:rsidRPr="009B3C26" w:rsidTr="000F2F43">
        <w:tc>
          <w:tcPr>
            <w:tcW w:w="4158" w:type="dxa"/>
            <w:tcBorders>
              <w:top w:val="nil"/>
              <w:bottom w:val="nil"/>
            </w:tcBorders>
          </w:tcPr>
          <w:p w:rsidR="000F2F43" w:rsidRPr="00EB65D2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EB65D2">
              <w:rPr>
                <w:rFonts w:asciiTheme="minorHAnsi" w:hAnsiTheme="minorHAnsi" w:cs="AdvP6EC0"/>
              </w:rPr>
              <w:t>Rural</w:t>
            </w:r>
            <w:r w:rsidRPr="00EB65D2">
              <w:rPr>
                <w:rStyle w:val="fontstyle01"/>
                <w:rFonts w:asciiTheme="minorHAnsi" w:hAnsiTheme="minorHAnsi"/>
                <w:sz w:val="20"/>
                <w:szCs w:val="20"/>
              </w:rPr>
              <w:t>(ref. urban)</w:t>
            </w:r>
          </w:p>
        </w:tc>
        <w:tc>
          <w:tcPr>
            <w:tcW w:w="3150" w:type="dxa"/>
            <w:tcBorders>
              <w:top w:val="nil"/>
              <w:bottom w:val="nil"/>
            </w:tcBorders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AdvP6EC0"/>
              </w:rPr>
              <w:t>-1652.37(-4059.48,</w:t>
            </w:r>
            <w:r w:rsidRPr="009B3C26">
              <w:t xml:space="preserve"> </w:t>
            </w:r>
            <w:r w:rsidRPr="009B3C26">
              <w:rPr>
                <w:rFonts w:cs="AdvP6EC0"/>
              </w:rPr>
              <w:t>754.72)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ind w:right="612"/>
              <w:rPr>
                <w:rFonts w:cs="AdvP6EC0"/>
              </w:rPr>
            </w:pPr>
            <w:r w:rsidRPr="009B3C26">
              <w:rPr>
                <w:rFonts w:cs="AdvP6EC0"/>
              </w:rPr>
              <w:t>-2363.2</w:t>
            </w:r>
            <w:r w:rsidR="00F74F65">
              <w:rPr>
                <w:rFonts w:cs="AdvP6EC0"/>
              </w:rPr>
              <w:t>0</w:t>
            </w:r>
            <w:r w:rsidRPr="009B3C26">
              <w:rPr>
                <w:rFonts w:cs="AdvP6EC0"/>
              </w:rPr>
              <w:t>(-5909.34, 1182.94)</w:t>
            </w:r>
          </w:p>
        </w:tc>
      </w:tr>
      <w:tr w:rsidR="000F2F43" w:rsidRPr="009B3C26" w:rsidTr="000F2F43">
        <w:tc>
          <w:tcPr>
            <w:tcW w:w="4158" w:type="dxa"/>
            <w:tcBorders>
              <w:top w:val="nil"/>
              <w:bottom w:val="nil"/>
            </w:tcBorders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AdvP6EC0"/>
              </w:rPr>
              <w:t>Household debt</w:t>
            </w:r>
          </w:p>
        </w:tc>
        <w:tc>
          <w:tcPr>
            <w:tcW w:w="3150" w:type="dxa"/>
            <w:tcBorders>
              <w:top w:val="nil"/>
              <w:bottom w:val="nil"/>
            </w:tcBorders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  <w:b/>
              </w:rPr>
            </w:pPr>
            <w:r w:rsidRPr="009B3C26">
              <w:rPr>
                <w:rFonts w:cs="AdvP6EC0"/>
              </w:rPr>
              <w:t>0.164(-0.164, 0.493)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  <w:b/>
              </w:rPr>
            </w:pPr>
            <w:r w:rsidRPr="009B3C26">
              <w:rPr>
                <w:rFonts w:cs="AdvP6EC0"/>
              </w:rPr>
              <w:t>-0.207(-0.473, 0.889)</w:t>
            </w:r>
          </w:p>
        </w:tc>
      </w:tr>
      <w:tr w:rsidR="000F2F43" w:rsidRPr="009B3C26" w:rsidTr="000F2F43">
        <w:tc>
          <w:tcPr>
            <w:tcW w:w="4158" w:type="dxa"/>
            <w:tcBorders>
              <w:top w:val="nil"/>
              <w:bottom w:val="single" w:sz="4" w:space="0" w:color="auto"/>
            </w:tcBorders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</w:rPr>
            </w:pPr>
            <w:r w:rsidRPr="009B3C26">
              <w:rPr>
                <w:rFonts w:cs="AdvP6EC0"/>
              </w:rPr>
              <w:t>Baseline consumption</w:t>
            </w: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  <w:b/>
              </w:rPr>
            </w:pPr>
            <w:r w:rsidRPr="009B3C26">
              <w:rPr>
                <w:rFonts w:cs="AdvP6EC0"/>
              </w:rPr>
              <w:t>-0.211***(-0.320, -0.102)</w:t>
            </w: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0F2F43" w:rsidRPr="009B3C26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cs="AdvP6EC0"/>
                <w:b/>
              </w:rPr>
            </w:pPr>
            <w:r w:rsidRPr="009B3C26">
              <w:rPr>
                <w:rFonts w:cs="AdvP6EC0"/>
              </w:rPr>
              <w:t xml:space="preserve">-0.274(-0.610, 0.060) </w:t>
            </w:r>
          </w:p>
        </w:tc>
      </w:tr>
    </w:tbl>
    <w:p w:rsidR="000F2F43" w:rsidRPr="009B3C26" w:rsidRDefault="000F2F43" w:rsidP="000F2F43">
      <w:pPr>
        <w:autoSpaceDE w:val="0"/>
        <w:autoSpaceDN w:val="0"/>
        <w:adjustRightInd w:val="0"/>
        <w:spacing w:after="0" w:line="240" w:lineRule="auto"/>
        <w:rPr>
          <w:rFonts w:cs="AdvP6EC0"/>
        </w:rPr>
      </w:pPr>
    </w:p>
    <w:p w:rsidR="000F2F43" w:rsidRPr="009B3C26" w:rsidRDefault="0006378B" w:rsidP="000F2F43">
      <w:pPr>
        <w:autoSpaceDE w:val="0"/>
        <w:autoSpaceDN w:val="0"/>
        <w:adjustRightInd w:val="0"/>
        <w:spacing w:after="0" w:line="240" w:lineRule="auto"/>
        <w:rPr>
          <w:rFonts w:cs="AdvP6EC0"/>
          <w:i/>
        </w:rPr>
      </w:pPr>
      <w:r w:rsidRPr="0006378B">
        <w:rPr>
          <w:bCs/>
          <w:i/>
          <w:color w:val="000000"/>
          <w:vertAlign w:val="superscript"/>
        </w:rPr>
        <w:t>†</w:t>
      </w:r>
      <w:r w:rsidRPr="0006378B">
        <w:rPr>
          <w:i/>
        </w:rPr>
        <w:t>=Birr; US$1= Birr 20.69 (2015</w:t>
      </w:r>
      <w:proofErr w:type="gramStart"/>
      <w:r w:rsidRPr="0006378B">
        <w:rPr>
          <w:i/>
        </w:rPr>
        <w:t>)</w:t>
      </w:r>
      <w:r w:rsidRPr="0006378B">
        <w:rPr>
          <w:rFonts w:cs="AdvP6EC0"/>
          <w:i/>
        </w:rPr>
        <w:t xml:space="preserve"> ;</w:t>
      </w:r>
      <w:proofErr w:type="gramEnd"/>
      <w:r w:rsidRPr="0006378B">
        <w:rPr>
          <w:rFonts w:cs="AdvP6EC0"/>
          <w:i/>
        </w:rPr>
        <w:t xml:space="preserve"> </w:t>
      </w:r>
      <w:r w:rsidR="000F2F43" w:rsidRPr="009B3C26">
        <w:rPr>
          <w:rFonts w:cs="AdvP6EC0"/>
          <w:i/>
        </w:rPr>
        <w:t xml:space="preserve">P&lt;0.05*, P&lt;0.001***.; </w:t>
      </w:r>
      <w:r w:rsidR="000F2F43" w:rsidRPr="009B3C26">
        <w:rPr>
          <w:i/>
        </w:rPr>
        <w:t xml:space="preserve">WHODAS (World Health Organization Disability Assessment Scale) </w:t>
      </w:r>
    </w:p>
    <w:p w:rsidR="000F2F43" w:rsidRPr="009B3C26" w:rsidRDefault="000F2F43" w:rsidP="000F2F43">
      <w:pPr>
        <w:autoSpaceDE w:val="0"/>
        <w:autoSpaceDN w:val="0"/>
        <w:adjustRightInd w:val="0"/>
        <w:spacing w:after="0" w:line="240" w:lineRule="auto"/>
        <w:rPr>
          <w:rFonts w:cs="AdvP6EC0"/>
          <w:i/>
        </w:rPr>
      </w:pPr>
    </w:p>
    <w:p w:rsidR="000F2F43" w:rsidRDefault="000F2F43" w:rsidP="000F2F43">
      <w:pPr>
        <w:spacing w:line="480" w:lineRule="auto"/>
        <w:rPr>
          <w:rFonts w:cs="AdvP6EC0"/>
        </w:rPr>
      </w:pPr>
    </w:p>
    <w:p w:rsidR="000F2F43" w:rsidRDefault="000F2F43" w:rsidP="000F2F43">
      <w:pPr>
        <w:spacing w:line="480" w:lineRule="auto"/>
        <w:rPr>
          <w:rFonts w:cs="AdvP6EC0"/>
        </w:rPr>
      </w:pPr>
    </w:p>
    <w:p w:rsidR="000F2F43" w:rsidRDefault="000F2F43" w:rsidP="000F2F43">
      <w:pPr>
        <w:spacing w:line="480" w:lineRule="auto"/>
        <w:rPr>
          <w:rFonts w:cs="AdvP6EC0"/>
        </w:rPr>
      </w:pPr>
    </w:p>
    <w:p w:rsidR="000F2F43" w:rsidRDefault="000F2F43" w:rsidP="000F2F43">
      <w:pPr>
        <w:spacing w:line="480" w:lineRule="auto"/>
        <w:rPr>
          <w:rFonts w:cs="AdvP6EC0"/>
        </w:rPr>
      </w:pPr>
    </w:p>
    <w:p w:rsidR="000F2F43" w:rsidRDefault="000F2F43" w:rsidP="000F2F43">
      <w:pPr>
        <w:spacing w:line="480" w:lineRule="auto"/>
        <w:rPr>
          <w:rFonts w:cs="AdvP6EC0"/>
        </w:rPr>
      </w:pPr>
    </w:p>
    <w:p w:rsidR="000F2F43" w:rsidRDefault="000F2F43" w:rsidP="000F2F43">
      <w:pPr>
        <w:spacing w:line="480" w:lineRule="auto"/>
        <w:rPr>
          <w:rFonts w:cs="AdvP6EC0"/>
        </w:rPr>
      </w:pPr>
    </w:p>
    <w:p w:rsidR="000F2F43" w:rsidRDefault="000F2F43" w:rsidP="000F2F43">
      <w:pPr>
        <w:spacing w:line="480" w:lineRule="auto"/>
        <w:rPr>
          <w:rFonts w:cs="AdvP6EC0"/>
        </w:rPr>
      </w:pPr>
    </w:p>
    <w:p w:rsidR="000F2F43" w:rsidRPr="00B8770D" w:rsidRDefault="000F2F43" w:rsidP="000F2F43">
      <w:pPr>
        <w:spacing w:line="480" w:lineRule="auto"/>
        <w:rPr>
          <w:rFonts w:asciiTheme="minorHAnsi" w:hAnsiTheme="minorHAnsi"/>
          <w:b/>
        </w:rPr>
      </w:pPr>
      <w:proofErr w:type="gramStart"/>
      <w:r>
        <w:rPr>
          <w:rFonts w:cs="AdvP6EC0"/>
        </w:rPr>
        <w:lastRenderedPageBreak/>
        <w:t xml:space="preserve">Supplementary </w:t>
      </w:r>
      <w:r w:rsidRPr="009B3C26">
        <w:rPr>
          <w:rFonts w:cs="AdvP6EC0"/>
        </w:rPr>
        <w:t xml:space="preserve">Table </w:t>
      </w:r>
      <w:r>
        <w:rPr>
          <w:rFonts w:cs="AdvP6EC0"/>
        </w:rPr>
        <w:t>2</w:t>
      </w:r>
      <w:r w:rsidRPr="009B3C26">
        <w:rPr>
          <w:rFonts w:cs="AdvP6EC0"/>
        </w:rPr>
        <w:t>.</w:t>
      </w:r>
      <w:proofErr w:type="gramEnd"/>
      <w:r w:rsidRPr="009B3C26">
        <w:rPr>
          <w:rFonts w:cs="AdvP6EC0"/>
        </w:rPr>
        <w:t xml:space="preserve"> </w:t>
      </w:r>
      <w:r w:rsidRPr="009B3C26">
        <w:t xml:space="preserve">Predictors </w:t>
      </w:r>
      <w:proofErr w:type="gramStart"/>
      <w:r w:rsidRPr="009B3C26">
        <w:t>of  changes</w:t>
      </w:r>
      <w:proofErr w:type="gramEnd"/>
      <w:r w:rsidRPr="009B3C26">
        <w:t xml:space="preserve"> in income and consumption over 12</w:t>
      </w:r>
      <w:r w:rsidR="00970286">
        <w:t>-</w:t>
      </w:r>
      <w:r w:rsidRPr="009B3C26">
        <w:t xml:space="preserve"> months in households of  persons  </w:t>
      </w:r>
      <w:r>
        <w:t>i</w:t>
      </w:r>
      <w:r w:rsidRPr="00B8770D">
        <w:rPr>
          <w:rFonts w:asciiTheme="minorHAnsi" w:hAnsiTheme="minorHAnsi"/>
        </w:rPr>
        <w:t xml:space="preserve">n depression intervention </w:t>
      </w:r>
    </w:p>
    <w:tbl>
      <w:tblPr>
        <w:tblW w:w="10008" w:type="dxa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4158"/>
        <w:gridCol w:w="2880"/>
        <w:gridCol w:w="2970"/>
      </w:tblGrid>
      <w:tr w:rsidR="000F2F43" w:rsidRPr="00452B9D" w:rsidTr="00452B9D">
        <w:tc>
          <w:tcPr>
            <w:tcW w:w="100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>I. Household income</w:t>
            </w:r>
          </w:p>
        </w:tc>
      </w:tr>
      <w:tr w:rsidR="000F2F43" w:rsidRPr="00452B9D" w:rsidTr="00452B9D">
        <w:tc>
          <w:tcPr>
            <w:tcW w:w="4158" w:type="dxa"/>
            <w:vMerge w:val="restart"/>
            <w:tcBorders>
              <w:top w:val="single" w:sz="4" w:space="0" w:color="auto"/>
              <w:bottom w:val="nil"/>
            </w:tcBorders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 xml:space="preserve">   </w:t>
            </w:r>
          </w:p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</w:p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>Characteristics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>Change in income</w:t>
            </w:r>
            <w:r w:rsidR="0006378B" w:rsidRPr="0006378B">
              <w:rPr>
                <w:bCs/>
                <w:i/>
                <w:color w:val="000000"/>
                <w:vertAlign w:val="superscript"/>
              </w:rPr>
              <w:t>†</w:t>
            </w:r>
          </w:p>
        </w:tc>
      </w:tr>
      <w:tr w:rsidR="000F2F43" w:rsidRPr="00452B9D" w:rsidTr="00452B9D">
        <w:tc>
          <w:tcPr>
            <w:tcW w:w="4158" w:type="dxa"/>
            <w:vMerge/>
            <w:tcBorders>
              <w:top w:val="nil"/>
              <w:bottom w:val="nil"/>
            </w:tcBorders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>Unadjusted model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>Adjusted model</w:t>
            </w:r>
          </w:p>
        </w:tc>
      </w:tr>
      <w:tr w:rsidR="000F2F43" w:rsidRPr="00452B9D" w:rsidTr="00452B9D">
        <w:trPr>
          <w:trHeight w:val="98"/>
        </w:trPr>
        <w:tc>
          <w:tcPr>
            <w:tcW w:w="4158" w:type="dxa"/>
            <w:vMerge/>
            <w:tcBorders>
              <w:top w:val="nil"/>
              <w:bottom w:val="single" w:sz="4" w:space="0" w:color="auto"/>
            </w:tcBorders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FranklinGothic-BookCmpr"/>
              </w:rPr>
              <w:t>ß</w:t>
            </w:r>
            <w:r w:rsidRPr="00452B9D">
              <w:rPr>
                <w:rFonts w:asciiTheme="minorHAnsi" w:hAnsiTheme="minorHAnsi" w:cs="AdvP6EC0"/>
              </w:rPr>
              <w:t xml:space="preserve"> (CI)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FranklinGothic-BookCmpr"/>
              </w:rPr>
              <w:t>ß</w:t>
            </w:r>
            <w:r w:rsidRPr="00452B9D">
              <w:rPr>
                <w:rFonts w:asciiTheme="minorHAnsi" w:hAnsiTheme="minorHAnsi" w:cs="AdvP6EC0"/>
              </w:rPr>
              <w:t xml:space="preserve"> (CI)</w:t>
            </w:r>
          </w:p>
        </w:tc>
      </w:tr>
      <w:tr w:rsidR="000F2F43" w:rsidRPr="00452B9D" w:rsidTr="00452B9D">
        <w:tc>
          <w:tcPr>
            <w:tcW w:w="4158" w:type="dxa"/>
            <w:tcBorders>
              <w:top w:val="single" w:sz="4" w:space="0" w:color="auto"/>
            </w:tcBorders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>Female  household head (</w:t>
            </w:r>
            <w:r w:rsidRPr="00452B9D">
              <w:rPr>
                <w:rStyle w:val="fontstyle01"/>
                <w:rFonts w:asciiTheme="minorHAnsi" w:hAnsiTheme="minorHAnsi"/>
                <w:sz w:val="20"/>
                <w:szCs w:val="20"/>
              </w:rPr>
              <w:t>ref. male)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  <w:b/>
              </w:rPr>
            </w:pPr>
            <w:r w:rsidRPr="00452B9D">
              <w:rPr>
                <w:rFonts w:asciiTheme="minorHAnsi" w:hAnsiTheme="minorHAnsi" w:cs="AdvP6EC0"/>
              </w:rPr>
              <w:t>-238.28 (-2519.49, 2042.92)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>-663.79 (-2843.27,</w:t>
            </w:r>
            <w:r w:rsidRPr="00452B9D">
              <w:rPr>
                <w:rFonts w:asciiTheme="minorHAnsi" w:hAnsiTheme="minorHAnsi"/>
              </w:rPr>
              <w:t xml:space="preserve"> </w:t>
            </w:r>
            <w:r w:rsidRPr="00452B9D">
              <w:rPr>
                <w:rFonts w:asciiTheme="minorHAnsi" w:hAnsiTheme="minorHAnsi" w:cs="AdvP6EC0"/>
              </w:rPr>
              <w:t>1515.68)</w:t>
            </w:r>
          </w:p>
        </w:tc>
      </w:tr>
      <w:tr w:rsidR="000F2F43" w:rsidRPr="00452B9D" w:rsidTr="00452B9D">
        <w:tc>
          <w:tcPr>
            <w:tcW w:w="4158" w:type="dxa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>No formal education</w:t>
            </w:r>
            <w:r w:rsidRPr="00452B9D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(ref. </w:t>
            </w:r>
            <w:r w:rsidRPr="00452B9D">
              <w:rPr>
                <w:rFonts w:asciiTheme="minorHAnsi" w:hAnsiTheme="minorHAnsi" w:cs="AdvP6EC0"/>
              </w:rPr>
              <w:t>Primary and above)</w:t>
            </w:r>
          </w:p>
        </w:tc>
        <w:tc>
          <w:tcPr>
            <w:tcW w:w="2880" w:type="dxa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>664.73 (-1223.36,</w:t>
            </w:r>
            <w:r w:rsidRPr="00452B9D">
              <w:rPr>
                <w:rFonts w:asciiTheme="minorHAnsi" w:hAnsiTheme="minorHAnsi"/>
              </w:rPr>
              <w:t xml:space="preserve"> </w:t>
            </w:r>
            <w:r w:rsidRPr="00452B9D">
              <w:rPr>
                <w:rFonts w:asciiTheme="minorHAnsi" w:hAnsiTheme="minorHAnsi" w:cs="AdvP6EC0"/>
              </w:rPr>
              <w:t>2552.83)</w:t>
            </w:r>
          </w:p>
        </w:tc>
        <w:tc>
          <w:tcPr>
            <w:tcW w:w="2970" w:type="dxa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>-146.39 (-1683.36, 1976.15)</w:t>
            </w:r>
          </w:p>
        </w:tc>
      </w:tr>
      <w:tr w:rsidR="000F2F43" w:rsidRPr="00452B9D" w:rsidTr="00452B9D">
        <w:tc>
          <w:tcPr>
            <w:tcW w:w="4158" w:type="dxa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>Rural residence</w:t>
            </w:r>
            <w:r w:rsidRPr="00452B9D">
              <w:rPr>
                <w:rStyle w:val="fontstyle01"/>
                <w:rFonts w:asciiTheme="minorHAnsi" w:hAnsiTheme="minorHAnsi"/>
                <w:sz w:val="20"/>
                <w:szCs w:val="20"/>
              </w:rPr>
              <w:t>(ref. urban)</w:t>
            </w:r>
          </w:p>
        </w:tc>
        <w:tc>
          <w:tcPr>
            <w:tcW w:w="2880" w:type="dxa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>-3685.38**(-6134.70,</w:t>
            </w:r>
            <w:r w:rsidRPr="00452B9D">
              <w:rPr>
                <w:rFonts w:asciiTheme="minorHAnsi" w:hAnsiTheme="minorHAnsi"/>
              </w:rPr>
              <w:t xml:space="preserve"> </w:t>
            </w:r>
            <w:r w:rsidRPr="00452B9D">
              <w:rPr>
                <w:rFonts w:asciiTheme="minorHAnsi" w:hAnsiTheme="minorHAnsi" w:cs="AdvP6EC0"/>
              </w:rPr>
              <w:t>-1236.07)</w:t>
            </w:r>
          </w:p>
        </w:tc>
        <w:tc>
          <w:tcPr>
            <w:tcW w:w="2970" w:type="dxa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>-3347.13(-7074.75,</w:t>
            </w:r>
            <w:r w:rsidRPr="00452B9D">
              <w:rPr>
                <w:rFonts w:asciiTheme="minorHAnsi" w:hAnsiTheme="minorHAnsi"/>
              </w:rPr>
              <w:t xml:space="preserve"> </w:t>
            </w:r>
            <w:r w:rsidRPr="00452B9D">
              <w:rPr>
                <w:rFonts w:asciiTheme="minorHAnsi" w:hAnsiTheme="minorHAnsi" w:cs="AdvP6EC0"/>
              </w:rPr>
              <w:t>380.24)</w:t>
            </w:r>
          </w:p>
        </w:tc>
      </w:tr>
      <w:tr w:rsidR="000F2F43" w:rsidRPr="00452B9D" w:rsidTr="00452B9D">
        <w:trPr>
          <w:trHeight w:val="332"/>
        </w:trPr>
        <w:tc>
          <w:tcPr>
            <w:tcW w:w="4158" w:type="dxa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>Baseline WHODAS complex score</w:t>
            </w:r>
          </w:p>
        </w:tc>
        <w:tc>
          <w:tcPr>
            <w:tcW w:w="2880" w:type="dxa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>31.75 (-19.37, 82.88)</w:t>
            </w:r>
          </w:p>
        </w:tc>
        <w:tc>
          <w:tcPr>
            <w:tcW w:w="2970" w:type="dxa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  <w:b/>
              </w:rPr>
            </w:pPr>
            <w:r w:rsidRPr="00452B9D">
              <w:rPr>
                <w:rFonts w:asciiTheme="minorHAnsi" w:hAnsiTheme="minorHAnsi" w:cs="AdvP6EC0"/>
              </w:rPr>
              <w:t>-2.36 (-44.16,</w:t>
            </w:r>
            <w:r w:rsidRPr="00452B9D">
              <w:rPr>
                <w:rFonts w:asciiTheme="minorHAnsi" w:hAnsiTheme="minorHAnsi"/>
              </w:rPr>
              <w:t xml:space="preserve"> </w:t>
            </w:r>
            <w:r w:rsidRPr="00452B9D">
              <w:rPr>
                <w:rFonts w:asciiTheme="minorHAnsi" w:hAnsiTheme="minorHAnsi" w:cs="AdvP6EC0"/>
              </w:rPr>
              <w:t>48.90)</w:t>
            </w:r>
          </w:p>
        </w:tc>
      </w:tr>
      <w:tr w:rsidR="000F2F43" w:rsidRPr="00452B9D" w:rsidTr="00452B9D">
        <w:tc>
          <w:tcPr>
            <w:tcW w:w="4158" w:type="dxa"/>
            <w:shd w:val="clear" w:color="auto" w:fill="auto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>Months treatment followed</w:t>
            </w:r>
          </w:p>
        </w:tc>
        <w:tc>
          <w:tcPr>
            <w:tcW w:w="2880" w:type="dxa"/>
            <w:shd w:val="clear" w:color="auto" w:fill="auto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>331.52(-221.47,</w:t>
            </w:r>
            <w:r w:rsidRPr="00452B9D">
              <w:rPr>
                <w:rFonts w:asciiTheme="minorHAnsi" w:hAnsiTheme="minorHAnsi"/>
              </w:rPr>
              <w:t xml:space="preserve"> </w:t>
            </w:r>
            <w:r w:rsidRPr="00452B9D">
              <w:rPr>
                <w:rFonts w:asciiTheme="minorHAnsi" w:hAnsiTheme="minorHAnsi" w:cs="AdvP6EC0"/>
              </w:rPr>
              <w:t>884.52)</w:t>
            </w:r>
          </w:p>
        </w:tc>
        <w:tc>
          <w:tcPr>
            <w:tcW w:w="2970" w:type="dxa"/>
            <w:shd w:val="clear" w:color="auto" w:fill="auto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>105.59 (-320.64,   531.83)</w:t>
            </w:r>
          </w:p>
        </w:tc>
      </w:tr>
      <w:tr w:rsidR="000F2F43" w:rsidRPr="00452B9D" w:rsidTr="00452B9D">
        <w:tc>
          <w:tcPr>
            <w:tcW w:w="4158" w:type="dxa"/>
            <w:tcBorders>
              <w:bottom w:val="single" w:sz="4" w:space="0" w:color="auto"/>
            </w:tcBorders>
            <w:shd w:val="clear" w:color="auto" w:fill="auto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>Baseline income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  <w:b/>
              </w:rPr>
            </w:pPr>
            <w:r w:rsidRPr="00452B9D">
              <w:rPr>
                <w:rFonts w:asciiTheme="minorHAnsi" w:hAnsiTheme="minorHAnsi" w:cs="AdvP6EC0"/>
              </w:rPr>
              <w:t>-0.56***1(-0.750, -0.372)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  <w:b/>
              </w:rPr>
            </w:pPr>
            <w:r w:rsidRPr="00452B9D">
              <w:rPr>
                <w:rFonts w:asciiTheme="minorHAnsi" w:hAnsiTheme="minorHAnsi" w:cs="AdvP6EC0"/>
              </w:rPr>
              <w:t>-0.433***(-0.669,</w:t>
            </w:r>
            <w:r w:rsidRPr="00452B9D">
              <w:rPr>
                <w:rFonts w:asciiTheme="minorHAnsi" w:hAnsiTheme="minorHAnsi"/>
              </w:rPr>
              <w:t xml:space="preserve"> </w:t>
            </w:r>
            <w:r w:rsidRPr="00452B9D">
              <w:rPr>
                <w:rFonts w:asciiTheme="minorHAnsi" w:hAnsiTheme="minorHAnsi" w:cs="AdvP6EC0"/>
              </w:rPr>
              <w:t xml:space="preserve">-0.197) </w:t>
            </w:r>
          </w:p>
        </w:tc>
      </w:tr>
      <w:tr w:rsidR="000F2F43" w:rsidRPr="00452B9D" w:rsidTr="00452B9D">
        <w:tc>
          <w:tcPr>
            <w:tcW w:w="100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>II. Household consumption expenditure</w:t>
            </w:r>
          </w:p>
        </w:tc>
      </w:tr>
      <w:tr w:rsidR="000F2F43" w:rsidRPr="00452B9D" w:rsidTr="00452B9D">
        <w:tc>
          <w:tcPr>
            <w:tcW w:w="415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</w:p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</w:p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>Characteristics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>Change in consumption expenditure</w:t>
            </w:r>
            <w:r w:rsidR="0006378B" w:rsidRPr="0006378B">
              <w:rPr>
                <w:bCs/>
                <w:i/>
                <w:color w:val="000000"/>
                <w:vertAlign w:val="superscript"/>
              </w:rPr>
              <w:t>†</w:t>
            </w:r>
          </w:p>
        </w:tc>
      </w:tr>
      <w:tr w:rsidR="000F2F43" w:rsidRPr="00452B9D" w:rsidTr="00452B9D">
        <w:trPr>
          <w:trHeight w:val="268"/>
        </w:trPr>
        <w:tc>
          <w:tcPr>
            <w:tcW w:w="4158" w:type="dxa"/>
            <w:vMerge/>
            <w:tcBorders>
              <w:top w:val="nil"/>
              <w:bottom w:val="nil"/>
            </w:tcBorders>
            <w:shd w:val="clear" w:color="auto" w:fill="auto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>Unadjusted model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>Adjusted model</w:t>
            </w:r>
          </w:p>
        </w:tc>
      </w:tr>
      <w:tr w:rsidR="000F2F43" w:rsidRPr="00452B9D" w:rsidTr="00452B9D">
        <w:trPr>
          <w:trHeight w:val="184"/>
        </w:trPr>
        <w:tc>
          <w:tcPr>
            <w:tcW w:w="415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FranklinGothic-BookCmpr"/>
              </w:rPr>
              <w:t>ß</w:t>
            </w:r>
            <w:r w:rsidRPr="00452B9D">
              <w:rPr>
                <w:rFonts w:asciiTheme="minorHAnsi" w:hAnsiTheme="minorHAnsi" w:cs="AdvP6EC0"/>
              </w:rPr>
              <w:t xml:space="preserve"> (CI)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ind w:right="612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FranklinGothic-BookCmpr"/>
              </w:rPr>
              <w:t>ß</w:t>
            </w:r>
            <w:r w:rsidRPr="00452B9D">
              <w:rPr>
                <w:rFonts w:asciiTheme="minorHAnsi" w:hAnsiTheme="minorHAnsi" w:cs="AdvP6EC0"/>
              </w:rPr>
              <w:t xml:space="preserve"> (CI)</w:t>
            </w:r>
          </w:p>
        </w:tc>
      </w:tr>
      <w:tr w:rsidR="000F2F43" w:rsidRPr="00452B9D" w:rsidTr="00452B9D">
        <w:tc>
          <w:tcPr>
            <w:tcW w:w="4158" w:type="dxa"/>
            <w:tcBorders>
              <w:top w:val="single" w:sz="4" w:space="0" w:color="auto"/>
            </w:tcBorders>
            <w:shd w:val="clear" w:color="auto" w:fill="auto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 xml:space="preserve">Female household head 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>-3468.58(-7426.42  , 489.25)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>-3372.58 (-5530.32, 1214.83)</w:t>
            </w:r>
          </w:p>
        </w:tc>
      </w:tr>
      <w:tr w:rsidR="000F2F43" w:rsidRPr="00452B9D" w:rsidTr="00452B9D">
        <w:tc>
          <w:tcPr>
            <w:tcW w:w="4158" w:type="dxa"/>
            <w:shd w:val="clear" w:color="auto" w:fill="auto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>No formal education</w:t>
            </w:r>
            <w:r w:rsidRPr="00452B9D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(ref. </w:t>
            </w:r>
            <w:r w:rsidRPr="00452B9D">
              <w:rPr>
                <w:rFonts w:asciiTheme="minorHAnsi" w:hAnsiTheme="minorHAnsi" w:cs="AdvP6EC0"/>
              </w:rPr>
              <w:t>primary and above)</w:t>
            </w:r>
          </w:p>
        </w:tc>
        <w:tc>
          <w:tcPr>
            <w:tcW w:w="2880" w:type="dxa"/>
            <w:shd w:val="clear" w:color="auto" w:fill="auto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>1874.13(-1435.13, 5183.40)</w:t>
            </w:r>
          </w:p>
        </w:tc>
        <w:tc>
          <w:tcPr>
            <w:tcW w:w="2970" w:type="dxa"/>
            <w:shd w:val="clear" w:color="auto" w:fill="auto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  <w:b/>
              </w:rPr>
            </w:pPr>
            <w:r w:rsidRPr="00452B9D">
              <w:rPr>
                <w:rFonts w:asciiTheme="minorHAnsi" w:hAnsiTheme="minorHAnsi" w:cs="AdvP6EC0"/>
              </w:rPr>
              <w:t>-354.16 (-2795.46,</w:t>
            </w:r>
            <w:r w:rsidRPr="00452B9D">
              <w:rPr>
                <w:rFonts w:asciiTheme="minorHAnsi" w:hAnsiTheme="minorHAnsi"/>
              </w:rPr>
              <w:t xml:space="preserve"> </w:t>
            </w:r>
            <w:r w:rsidRPr="00452B9D">
              <w:rPr>
                <w:rFonts w:asciiTheme="minorHAnsi" w:hAnsiTheme="minorHAnsi" w:cs="AdvP6EC0"/>
              </w:rPr>
              <w:t>2087.13)</w:t>
            </w:r>
          </w:p>
        </w:tc>
      </w:tr>
      <w:tr w:rsidR="000F2F43" w:rsidRPr="00452B9D" w:rsidTr="00452B9D">
        <w:tc>
          <w:tcPr>
            <w:tcW w:w="4158" w:type="dxa"/>
            <w:shd w:val="clear" w:color="auto" w:fill="auto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 xml:space="preserve">Rural residence </w:t>
            </w:r>
            <w:r w:rsidRPr="00452B9D">
              <w:rPr>
                <w:rStyle w:val="fontstyle01"/>
                <w:rFonts w:asciiTheme="minorHAnsi" w:hAnsiTheme="minorHAnsi"/>
                <w:sz w:val="20"/>
                <w:szCs w:val="20"/>
              </w:rPr>
              <w:t>(ref. urban)</w:t>
            </w:r>
          </w:p>
        </w:tc>
        <w:tc>
          <w:tcPr>
            <w:tcW w:w="2880" w:type="dxa"/>
            <w:shd w:val="clear" w:color="auto" w:fill="auto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>-935.11(-5279.48, 3409.26)</w:t>
            </w:r>
          </w:p>
        </w:tc>
        <w:tc>
          <w:tcPr>
            <w:tcW w:w="2970" w:type="dxa"/>
            <w:shd w:val="clear" w:color="auto" w:fill="auto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>-1398.24 (-4681.23,  1884.73)</w:t>
            </w:r>
          </w:p>
        </w:tc>
      </w:tr>
      <w:tr w:rsidR="000F2F43" w:rsidRPr="00452B9D" w:rsidTr="00452B9D">
        <w:tc>
          <w:tcPr>
            <w:tcW w:w="4158" w:type="dxa"/>
            <w:shd w:val="clear" w:color="auto" w:fill="auto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 xml:space="preserve">Household debt </w:t>
            </w:r>
          </w:p>
        </w:tc>
        <w:tc>
          <w:tcPr>
            <w:tcW w:w="2880" w:type="dxa"/>
            <w:shd w:val="clear" w:color="auto" w:fill="auto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  <w:b/>
              </w:rPr>
            </w:pPr>
            <w:r w:rsidRPr="00452B9D">
              <w:rPr>
                <w:rFonts w:asciiTheme="minorHAnsi" w:hAnsiTheme="minorHAnsi" w:cs="AdvP6EC0"/>
              </w:rPr>
              <w:t>-0.109(-0.228, 0.448)</w:t>
            </w:r>
          </w:p>
        </w:tc>
        <w:tc>
          <w:tcPr>
            <w:tcW w:w="2970" w:type="dxa"/>
            <w:shd w:val="clear" w:color="auto" w:fill="auto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  <w:b/>
              </w:rPr>
            </w:pPr>
            <w:r w:rsidRPr="00452B9D">
              <w:rPr>
                <w:rFonts w:asciiTheme="minorHAnsi" w:hAnsiTheme="minorHAnsi" w:cs="AdvP6EC0"/>
              </w:rPr>
              <w:t>-0.057(-0.136,</w:t>
            </w:r>
            <w:r w:rsidRPr="00452B9D">
              <w:rPr>
                <w:rFonts w:asciiTheme="minorHAnsi" w:hAnsiTheme="minorHAnsi"/>
              </w:rPr>
              <w:t xml:space="preserve"> 0</w:t>
            </w:r>
            <w:r w:rsidRPr="00452B9D">
              <w:rPr>
                <w:rFonts w:asciiTheme="minorHAnsi" w:hAnsiTheme="minorHAnsi" w:cs="AdvP6EC0"/>
              </w:rPr>
              <w:t>.252)</w:t>
            </w:r>
          </w:p>
        </w:tc>
      </w:tr>
      <w:tr w:rsidR="000F2F43" w:rsidRPr="00452B9D" w:rsidTr="00452B9D">
        <w:tc>
          <w:tcPr>
            <w:tcW w:w="4158" w:type="dxa"/>
            <w:shd w:val="clear" w:color="auto" w:fill="auto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</w:rPr>
            </w:pPr>
            <w:r w:rsidRPr="00452B9D">
              <w:rPr>
                <w:rFonts w:asciiTheme="minorHAnsi" w:hAnsiTheme="minorHAnsi" w:cs="AdvP6EC0"/>
              </w:rPr>
              <w:t>Baseline consumption</w:t>
            </w:r>
          </w:p>
        </w:tc>
        <w:tc>
          <w:tcPr>
            <w:tcW w:w="2880" w:type="dxa"/>
            <w:shd w:val="clear" w:color="auto" w:fill="auto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  <w:b/>
              </w:rPr>
            </w:pPr>
            <w:r w:rsidRPr="00452B9D">
              <w:rPr>
                <w:rFonts w:asciiTheme="minorHAnsi" w:hAnsiTheme="minorHAnsi" w:cs="AdvP6EC0"/>
              </w:rPr>
              <w:t>-0.908***(-1.052, -0.765)</w:t>
            </w:r>
          </w:p>
        </w:tc>
        <w:tc>
          <w:tcPr>
            <w:tcW w:w="2970" w:type="dxa"/>
            <w:shd w:val="clear" w:color="auto" w:fill="auto"/>
          </w:tcPr>
          <w:p w:rsidR="000F2F43" w:rsidRPr="00452B9D" w:rsidRDefault="000F2F43" w:rsidP="00FB24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dvP6EC0"/>
                <w:b/>
              </w:rPr>
            </w:pPr>
            <w:r w:rsidRPr="00452B9D">
              <w:rPr>
                <w:rFonts w:asciiTheme="minorHAnsi" w:hAnsiTheme="minorHAnsi" w:cs="AdvP6EC0"/>
              </w:rPr>
              <w:t>-0.861***(-1.077, -0.645)</w:t>
            </w:r>
          </w:p>
        </w:tc>
      </w:tr>
    </w:tbl>
    <w:p w:rsidR="000F2F43" w:rsidRPr="00452B9D" w:rsidRDefault="000F2F43" w:rsidP="000F2F4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dvP6EC0"/>
        </w:rPr>
      </w:pPr>
    </w:p>
    <w:p w:rsidR="000F2F43" w:rsidRPr="0006378B" w:rsidRDefault="0006378B" w:rsidP="000F2F43">
      <w:pPr>
        <w:autoSpaceDE w:val="0"/>
        <w:autoSpaceDN w:val="0"/>
        <w:adjustRightInd w:val="0"/>
        <w:spacing w:after="0" w:line="240" w:lineRule="auto"/>
        <w:rPr>
          <w:rFonts w:cs="AdvP6EC0"/>
          <w:i/>
        </w:rPr>
      </w:pPr>
      <w:r w:rsidRPr="0006378B">
        <w:rPr>
          <w:bCs/>
          <w:i/>
          <w:color w:val="000000"/>
          <w:vertAlign w:val="superscript"/>
        </w:rPr>
        <w:t>†</w:t>
      </w:r>
      <w:r w:rsidRPr="0006378B">
        <w:rPr>
          <w:i/>
        </w:rPr>
        <w:t>=Birr; US$1= Birr 20.69 (2015</w:t>
      </w:r>
      <w:proofErr w:type="gramStart"/>
      <w:r w:rsidRPr="0006378B">
        <w:rPr>
          <w:i/>
        </w:rPr>
        <w:t>)</w:t>
      </w:r>
      <w:r w:rsidRPr="0006378B">
        <w:rPr>
          <w:rFonts w:cs="AdvP6EC0"/>
          <w:i/>
        </w:rPr>
        <w:t xml:space="preserve"> ;</w:t>
      </w:r>
      <w:proofErr w:type="gramEnd"/>
      <w:r w:rsidRPr="0006378B">
        <w:rPr>
          <w:rFonts w:cs="AdvP6EC0"/>
          <w:i/>
        </w:rPr>
        <w:t xml:space="preserve"> </w:t>
      </w:r>
      <w:r w:rsidR="000F2F43" w:rsidRPr="0006378B">
        <w:rPr>
          <w:rFonts w:cs="AdvP6EC0"/>
          <w:i/>
        </w:rPr>
        <w:t xml:space="preserve">P&lt;0.01**;P&lt;0.001***.; </w:t>
      </w:r>
      <w:r w:rsidR="000F2F43" w:rsidRPr="0006378B">
        <w:rPr>
          <w:i/>
        </w:rPr>
        <w:t>WHODAS (World Health Organization Disability Assessment Scale)</w:t>
      </w:r>
      <w:r w:rsidR="00986813" w:rsidRPr="0006378B">
        <w:rPr>
          <w:i/>
        </w:rPr>
        <w:t>.</w:t>
      </w:r>
    </w:p>
    <w:p w:rsidR="008F229A" w:rsidRPr="0006378B" w:rsidRDefault="008F229A" w:rsidP="00197E33"/>
    <w:sectPr w:rsidR="008F229A" w:rsidRPr="0006378B" w:rsidSect="008F2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bxjvpAdvTTe45e47d2+2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dvP6EC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Gothic-BookCmp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5D3433"/>
    <w:rsid w:val="0001263A"/>
    <w:rsid w:val="0006378B"/>
    <w:rsid w:val="000E2469"/>
    <w:rsid w:val="000F2F43"/>
    <w:rsid w:val="0012021E"/>
    <w:rsid w:val="0019778D"/>
    <w:rsid w:val="00197E33"/>
    <w:rsid w:val="00235404"/>
    <w:rsid w:val="00444C14"/>
    <w:rsid w:val="00452B9D"/>
    <w:rsid w:val="004E3BB5"/>
    <w:rsid w:val="005B453E"/>
    <w:rsid w:val="005D3433"/>
    <w:rsid w:val="005F0923"/>
    <w:rsid w:val="005F77C4"/>
    <w:rsid w:val="006565DA"/>
    <w:rsid w:val="006921AA"/>
    <w:rsid w:val="00696DA3"/>
    <w:rsid w:val="006C5069"/>
    <w:rsid w:val="00706159"/>
    <w:rsid w:val="007E5529"/>
    <w:rsid w:val="008218E6"/>
    <w:rsid w:val="00840DEA"/>
    <w:rsid w:val="008D5800"/>
    <w:rsid w:val="008F229A"/>
    <w:rsid w:val="009436CA"/>
    <w:rsid w:val="00970286"/>
    <w:rsid w:val="00986813"/>
    <w:rsid w:val="00993432"/>
    <w:rsid w:val="009A093B"/>
    <w:rsid w:val="00AE24A5"/>
    <w:rsid w:val="00C26CC9"/>
    <w:rsid w:val="00CD1BF4"/>
    <w:rsid w:val="00CE4463"/>
    <w:rsid w:val="00D13F15"/>
    <w:rsid w:val="00D340A4"/>
    <w:rsid w:val="00D81678"/>
    <w:rsid w:val="00E00FBE"/>
    <w:rsid w:val="00E04F0C"/>
    <w:rsid w:val="00EB65D2"/>
    <w:rsid w:val="00EC1619"/>
    <w:rsid w:val="00F6107C"/>
    <w:rsid w:val="00F74F65"/>
    <w:rsid w:val="00FA3442"/>
    <w:rsid w:val="00FB2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b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E33"/>
    <w:rPr>
      <w:rFonts w:eastAsia="Calibri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9A"/>
    <w:rPr>
      <w:rFonts w:ascii="Tahoma" w:eastAsia="Calibri" w:hAnsi="Tahoma" w:cs="Tahoma"/>
      <w:b w:val="0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F229A"/>
    <w:pPr>
      <w:spacing w:line="240" w:lineRule="auto"/>
    </w:pPr>
    <w:rPr>
      <w:bCs/>
      <w:color w:val="4F81BD"/>
      <w:sz w:val="18"/>
      <w:szCs w:val="18"/>
    </w:rPr>
  </w:style>
  <w:style w:type="character" w:customStyle="1" w:styleId="fontstyle01">
    <w:name w:val="fontstyle01"/>
    <w:rsid w:val="000F2F43"/>
    <w:rPr>
      <w:rFonts w:ascii="TbxjvpAdvTTe45e47d2+22" w:hAnsi="TbxjvpAdvTTe45e47d2+22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12</cp:revision>
  <dcterms:created xsi:type="dcterms:W3CDTF">2020-11-02T13:53:00Z</dcterms:created>
  <dcterms:modified xsi:type="dcterms:W3CDTF">2021-07-18T18:21:00Z</dcterms:modified>
</cp:coreProperties>
</file>