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" w:line="360"/>
        <w:jc w:val="center"/>
      </w:pPr>
      <w:r>
        <w:rPr>
          <w:b/>
          <w:bCs/>
          <w:sz w:val="32"/>
          <w:szCs w:val="32"/>
        </w:rPr>
        <w:t xml:space="preserve">Additional files</w:t>
      </w:r>
    </w:p>
    <w:p>
      <w:pPr>
        <w:spacing w:after="360" w:line="320"/>
        <w:jc w:val="center"/>
      </w:pPr>
      <w:r>
        <w:rPr>
          <w:i/>
          <w:iCs/>
          <w:sz w:val="22"/>
          <w:szCs w:val="22"/>
        </w:rPr>
        <w:t xml:space="preserve">Antimicrobial Resistance and Empirical Antibiotic Prescribing Among Cancer Patients at a Tertiary Referral Hospital in Rwanda, 2019–2024</w:t>
      </w:r>
    </w:p>
    <w:p>
      <w:pPr>
        <w:pStyle w:val="Heading1"/>
        <w:spacing w:after="180" w:before="360"/>
      </w:pPr>
      <w:r>
        <w:rPr>
          <w:b/>
          <w:bCs/>
          <w:sz w:val="28"/>
          <w:szCs w:val="28"/>
        </w:rPr>
        <w:t xml:space="preserve">Additional file 1</w:t>
      </w:r>
    </w:p>
    <w:p>
      <w:pPr>
        <w:spacing w:after="200" w:before="100" w:line="320"/>
      </w:pPr>
      <w:r>
        <w:rPr>
          <w:i w:val="false"/>
          <w:iCs w:val="false"/>
        </w:rPr>
        <w:t xml:space="preserve">Antimicrobial resistance among WHO priority pathogens in cancer patients, King Faisal Hospital, Kigali, Rwanda, 2019–2024.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4200"/>
        <w:gridCol w:w="1600"/>
        <w:gridCol w:w="1500"/>
      </w:tblGrid>
      <w:tr>
        <w:trPr>
          <w:tblHeader/>
        </w:trP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WHO priority level</w:t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Pathogen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Resistant / Total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Percentage (%)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Critical priority</w:t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60"/>
            </w:pPr>
            <w:r>
              <w:rPr>
                <w:i/>
                <w:iCs/>
                <w:sz w:val="20"/>
                <w:szCs w:val="20"/>
              </w:rPr>
              <w:t xml:space="preserve">Carbapenem-resistant Acinetobacter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8/13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61.5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60"/>
            </w:pPr>
            <w:r>
              <w:rPr>
                <w:i/>
                <w:iCs/>
                <w:sz w:val="20"/>
                <w:szCs w:val="20"/>
              </w:rPr>
              <w:t xml:space="preserve">Carbapenem-resistant Pseudomonas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6/23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26.1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60"/>
            </w:pPr>
            <w:r>
              <w:rPr>
                <w:i/>
                <w:iCs/>
                <w:sz w:val="20"/>
                <w:szCs w:val="20"/>
              </w:rPr>
              <w:t xml:space="preserve">Carbapenem-resistant Enterobacterales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11/159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6.9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High priority</w:t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60"/>
            </w:pPr>
            <w:r>
              <w:rPr>
                <w:i/>
                <w:iCs/>
                <w:sz w:val="20"/>
                <w:szCs w:val="20"/>
              </w:rPr>
              <w:t xml:space="preserve">Vancomycin-resistant Enterococcus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0/25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0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60"/>
            </w:pPr>
            <w:r>
              <w:rPr>
                <w:i/>
                <w:iCs/>
                <w:sz w:val="20"/>
                <w:szCs w:val="20"/>
              </w:rPr>
              <w:t xml:space="preserve">Methicillin-resistant Staphylococcus aureus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4/11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36.4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60"/>
            </w:pPr>
            <w:r>
              <w:rPr>
                <w:i/>
                <w:iCs/>
                <w:sz w:val="20"/>
                <w:szCs w:val="20"/>
              </w:rPr>
              <w:t xml:space="preserve">Fluoroquinolone-resistant Salmonella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0/1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0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Medium priority</w:t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60"/>
            </w:pPr>
            <w:r>
              <w:rPr>
                <w:i/>
                <w:iCs/>
                <w:sz w:val="20"/>
                <w:szCs w:val="20"/>
              </w:rPr>
              <w:t xml:space="preserve">Penicillin-non-susceptible Streptococcus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2/11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18.2</w:t>
            </w:r>
          </w:p>
        </w:tc>
      </w:tr>
    </w:tbl>
    <w:p>
      <w:pPr>
        <w:spacing w:after="200" w:before="100"/>
      </w:pPr>
      <w:r>
        <w:rPr>
          <w:i/>
          <w:iCs/>
          <w:sz w:val="18"/>
          <w:szCs w:val="18"/>
        </w:rPr>
        <w:t xml:space="preserve">Priority categories follow the World Health Organization Bacterial Priority Pathogens List. Values are number of resistant isolates / total isolates tested (percentage).</w:t>
      </w:r>
    </w:p>
    <w:p>
      <w:pPr>
        <w:pageBreakBefore/>
      </w:pPr>
      <w:r>
        <w:t xml:space="preserve"/>
      </w:r>
    </w:p>
    <w:p>
      <w:pPr>
        <w:pStyle w:val="Heading1"/>
        <w:spacing w:after="180" w:before="360"/>
      </w:pPr>
      <w:r>
        <w:rPr>
          <w:b/>
          <w:bCs/>
          <w:sz w:val="28"/>
          <w:szCs w:val="28"/>
        </w:rPr>
        <w:t xml:space="preserve">Additional file 2</w:t>
      </w:r>
    </w:p>
    <w:p>
      <w:pPr>
        <w:spacing w:after="200" w:before="100" w:line="320"/>
      </w:pPr>
      <w:r>
        <w:t xml:space="preserve">Empirical antibiotic treatment by WHO AWaRe classification among cancer patients with empirical therapy documented in the electronic medical record, King Faisal Hospital, Kigali, Rwanda, 2019–2024 (n = 105; 100/105 [95.2%] inpatient encounters).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4500"/>
        <w:gridCol w:w="2200"/>
      </w:tblGrid>
      <w:tr>
        <w:trPr>
          <w:tblHeader/>
        </w:trP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AWaRe category</w:t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Antibiotic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N (%)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Access</w:t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Metronidazole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12 (11.4)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Amoxicillin–clavulanate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8 (7.6)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Cloxacillin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3 (2.9)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Trimethoprim–sulfamethoxazole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3 (2.9)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Doxycycline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1 (1.0)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Flucloxacillin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1 (1.0)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Ampicillin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1 (1.0)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Watch</w:t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Ceftriaxone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54 (51.4)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Meropenem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14 (13.3)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Ciprofloxacin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6 (5.7)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Vancomycin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6 (5.7)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Levofloxacin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4 (3.8)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Erythromycin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4 (3.8)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Cefuroxime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2 (1.9)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Piperacillin–tazobactam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2 (1.9)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Azithromycin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1 (1.0)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Cefixime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1 (1.0)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Piperacillin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1 (1.0)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Reserve</w:t>
            </w:r>
          </w:p>
        </w:tc>
        <w:tc>
          <w:tcPr>
            <w:tcW w:type="dxa" w:w="4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Polymyxin B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sz w:val="20"/>
                <w:szCs w:val="20"/>
              </w:rPr>
              <w:t xml:space="preserve">1 (1.0)</w:t>
            </w:r>
          </w:p>
        </w:tc>
      </w:tr>
    </w:tbl>
    <w:p>
      <w:pPr>
        <w:spacing w:after="200" w:before="100"/>
      </w:pPr>
      <w:r>
        <w:rPr>
          <w:i/>
          <w:iCs/>
          <w:sz w:val="18"/>
          <w:szCs w:val="18"/>
        </w:rPr>
        <w:t xml:space="preserve">AWaRe, Access, Watch, Reserve. Percentages calculated within the 105 episodes with EMR-documented empirical therapy.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60"/>
      <w:outlineLvl w:val="0"/>
    </w:pPr>
    <w:rPr>
      <w:rFonts w:ascii="Arial" w:cs="Arial" w:eastAsia="Arial" w:hAnsi="Arial"/>
      <w:b/>
      <w:bCs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2026-05-26T12:18:52.413Z</dcterms:created>
  <dcterms:modified xsi:type="dcterms:W3CDTF">2026-05-26T12:18:52.413Z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