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321C05" w14:textId="77777777" w:rsidR="00EF4459" w:rsidRPr="00942AA3" w:rsidRDefault="00EF4459" w:rsidP="00EF4459">
      <w:pPr>
        <w:jc w:val="center"/>
        <w:rPr>
          <w:rFonts w:ascii="Times New Roman" w:hAnsi="Times New Roman" w:cs="Times New Roman"/>
          <w:b/>
          <w:bCs/>
          <w:sz w:val="20"/>
          <w:szCs w:val="20"/>
        </w:rPr>
      </w:pPr>
      <w:r w:rsidRPr="00942AA3">
        <w:rPr>
          <w:rFonts w:ascii="Times New Roman" w:hAnsi="Times New Roman" w:cs="Times New Roman"/>
          <w:b/>
          <w:bCs/>
          <w:sz w:val="20"/>
          <w:szCs w:val="20"/>
        </w:rPr>
        <w:t>Table S1.</w:t>
      </w:r>
      <w:r w:rsidRPr="00942AA3">
        <w:rPr>
          <w:rFonts w:ascii="Times New Roman" w:hAnsi="Times New Roman" w:cs="Times New Roman"/>
          <w:sz w:val="20"/>
          <w:szCs w:val="20"/>
        </w:rPr>
        <w:t xml:space="preserve"> Inclusion and Exclusion Criteria for Mothers in the Research.</w:t>
      </w:r>
    </w:p>
    <w:tbl>
      <w:tblPr>
        <w:tblStyle w:val="a3"/>
        <w:tblW w:w="832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1"/>
        <w:gridCol w:w="5364"/>
        <w:gridCol w:w="989"/>
      </w:tblGrid>
      <w:tr w:rsidR="00EF4459" w:rsidRPr="00942AA3" w14:paraId="61408498" w14:textId="77777777" w:rsidTr="003B4D6A">
        <w:trPr>
          <w:trHeight w:val="240"/>
          <w:jc w:val="center"/>
        </w:trPr>
        <w:tc>
          <w:tcPr>
            <w:tcW w:w="1971" w:type="dxa"/>
            <w:tcBorders>
              <w:top w:val="single" w:sz="8" w:space="0" w:color="auto"/>
              <w:bottom w:val="single" w:sz="8" w:space="0" w:color="auto"/>
            </w:tcBorders>
          </w:tcPr>
          <w:p w14:paraId="2269CBF4" w14:textId="77777777" w:rsidR="00EF4459" w:rsidRPr="00942AA3" w:rsidRDefault="00EF4459" w:rsidP="003B4D6A">
            <w:pPr>
              <w:spacing w:line="200" w:lineRule="exact"/>
              <w:rPr>
                <w:rFonts w:ascii="Times New Roman" w:hAnsi="Times New Roman" w:cs="Times New Roman"/>
                <w:b/>
                <w:bCs/>
                <w:sz w:val="20"/>
                <w:szCs w:val="20"/>
              </w:rPr>
            </w:pPr>
          </w:p>
        </w:tc>
        <w:tc>
          <w:tcPr>
            <w:tcW w:w="6353" w:type="dxa"/>
            <w:gridSpan w:val="2"/>
            <w:tcBorders>
              <w:top w:val="single" w:sz="8" w:space="0" w:color="auto"/>
              <w:bottom w:val="single" w:sz="8" w:space="0" w:color="auto"/>
            </w:tcBorders>
          </w:tcPr>
          <w:p w14:paraId="4FC204D7" w14:textId="77777777" w:rsidR="00EF4459" w:rsidRPr="00942AA3" w:rsidRDefault="00EF4459" w:rsidP="003B4D6A">
            <w:pPr>
              <w:spacing w:line="200" w:lineRule="exact"/>
              <w:rPr>
                <w:rFonts w:ascii="Times New Roman" w:hAnsi="Times New Roman" w:cs="Times New Roman"/>
                <w:b/>
                <w:bCs/>
                <w:sz w:val="20"/>
                <w:szCs w:val="20"/>
              </w:rPr>
            </w:pPr>
            <w:r w:rsidRPr="00942AA3">
              <w:rPr>
                <w:rFonts w:ascii="Times New Roman" w:hAnsi="Times New Roman" w:cs="Times New Roman"/>
                <w:b/>
                <w:bCs/>
                <w:sz w:val="20"/>
                <w:szCs w:val="20"/>
              </w:rPr>
              <w:t>Details</w:t>
            </w:r>
          </w:p>
        </w:tc>
      </w:tr>
      <w:tr w:rsidR="00EF4459" w:rsidRPr="00942AA3" w14:paraId="1DAA369C" w14:textId="77777777" w:rsidTr="003B4D6A">
        <w:trPr>
          <w:gridAfter w:val="1"/>
          <w:wAfter w:w="989" w:type="dxa"/>
          <w:trHeight w:val="853"/>
          <w:jc w:val="center"/>
        </w:trPr>
        <w:tc>
          <w:tcPr>
            <w:tcW w:w="1971" w:type="dxa"/>
          </w:tcPr>
          <w:p w14:paraId="032BA8EB" w14:textId="77777777" w:rsidR="00EF4459" w:rsidRPr="00942AA3" w:rsidRDefault="00EF4459" w:rsidP="003B4D6A">
            <w:pPr>
              <w:spacing w:line="200" w:lineRule="exact"/>
              <w:rPr>
                <w:rFonts w:ascii="Times New Roman" w:hAnsi="Times New Roman" w:cs="Times New Roman"/>
                <w:b/>
                <w:bCs/>
                <w:sz w:val="20"/>
                <w:szCs w:val="20"/>
              </w:rPr>
            </w:pPr>
            <w:r w:rsidRPr="00942AA3">
              <w:rPr>
                <w:rFonts w:ascii="Times New Roman" w:hAnsi="Times New Roman" w:cs="Times New Roman"/>
                <w:b/>
                <w:bCs/>
                <w:sz w:val="20"/>
                <w:szCs w:val="20"/>
              </w:rPr>
              <w:t>Inclusion Criteria</w:t>
            </w:r>
          </w:p>
        </w:tc>
        <w:tc>
          <w:tcPr>
            <w:tcW w:w="5364" w:type="dxa"/>
          </w:tcPr>
          <w:p w14:paraId="3CFBEFDA"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The gestational age was between 37 to 42 weeks</w:t>
            </w:r>
          </w:p>
          <w:p w14:paraId="282D45AE"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 xml:space="preserve">Having regular prenatal visits </w:t>
            </w:r>
          </w:p>
          <w:p w14:paraId="6BD6F9A0"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Clinical data is available</w:t>
            </w:r>
          </w:p>
          <w:p w14:paraId="31337207" w14:textId="77777777" w:rsidR="00EF4459" w:rsidRPr="00942AA3" w:rsidRDefault="00EF4459" w:rsidP="003B4D6A">
            <w:pPr>
              <w:spacing w:line="200" w:lineRule="exact"/>
              <w:rPr>
                <w:rFonts w:ascii="Times New Roman" w:hAnsi="Times New Roman" w:cs="Times New Roman"/>
                <w:b/>
                <w:bCs/>
                <w:sz w:val="20"/>
                <w:szCs w:val="20"/>
              </w:rPr>
            </w:pPr>
            <w:r w:rsidRPr="00942AA3">
              <w:rPr>
                <w:rFonts w:ascii="Times New Roman" w:hAnsi="Times New Roman" w:cs="Times New Roman"/>
                <w:sz w:val="20"/>
                <w:szCs w:val="20"/>
              </w:rPr>
              <w:t>Their infants delivered later are restricted to normal full-term</w:t>
            </w:r>
          </w:p>
        </w:tc>
      </w:tr>
      <w:tr w:rsidR="00EF4459" w:rsidRPr="00942AA3" w14:paraId="68A06B3A" w14:textId="77777777" w:rsidTr="003B4D6A">
        <w:trPr>
          <w:trHeight w:val="6347"/>
          <w:jc w:val="center"/>
        </w:trPr>
        <w:tc>
          <w:tcPr>
            <w:tcW w:w="1971" w:type="dxa"/>
            <w:tcBorders>
              <w:bottom w:val="single" w:sz="8" w:space="0" w:color="auto"/>
            </w:tcBorders>
          </w:tcPr>
          <w:p w14:paraId="25FDBDC3" w14:textId="77777777" w:rsidR="00EF4459" w:rsidRPr="00942AA3" w:rsidRDefault="00EF4459" w:rsidP="003B4D6A">
            <w:pPr>
              <w:spacing w:line="200" w:lineRule="exact"/>
              <w:rPr>
                <w:rFonts w:ascii="Times New Roman" w:hAnsi="Times New Roman" w:cs="Times New Roman"/>
                <w:b/>
                <w:bCs/>
                <w:sz w:val="20"/>
                <w:szCs w:val="20"/>
              </w:rPr>
            </w:pPr>
            <w:r w:rsidRPr="00942AA3">
              <w:rPr>
                <w:rFonts w:ascii="Times New Roman" w:hAnsi="Times New Roman" w:cs="Times New Roman"/>
                <w:b/>
                <w:bCs/>
                <w:sz w:val="20"/>
                <w:szCs w:val="20"/>
              </w:rPr>
              <w:t>Exclusion Criteria</w:t>
            </w:r>
          </w:p>
        </w:tc>
        <w:tc>
          <w:tcPr>
            <w:tcW w:w="6353" w:type="dxa"/>
            <w:gridSpan w:val="2"/>
            <w:tcBorders>
              <w:bottom w:val="single" w:sz="8" w:space="0" w:color="auto"/>
            </w:tcBorders>
          </w:tcPr>
          <w:p w14:paraId="1265B96F"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&lt; 18 years</w:t>
            </w:r>
          </w:p>
          <w:p w14:paraId="638797C3"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Multiple pregnancy</w:t>
            </w:r>
          </w:p>
          <w:p w14:paraId="63D5F5C5"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Having infectious diseases caused by bacteria, virus or parasite</w:t>
            </w:r>
          </w:p>
          <w:p w14:paraId="22426FEB"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xml:space="preserve">♦ Group B hemolytic </w:t>
            </w:r>
            <w:r w:rsidRPr="00942AA3">
              <w:rPr>
                <w:rFonts w:ascii="Times New Roman" w:hAnsi="Times New Roman" w:cs="Times New Roman"/>
                <w:i/>
                <w:iCs/>
                <w:sz w:val="20"/>
                <w:szCs w:val="20"/>
              </w:rPr>
              <w:t>Streptococcus</w:t>
            </w:r>
          </w:p>
          <w:p w14:paraId="69CC4CAE"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Hepatitis A, B, and C viruses</w:t>
            </w:r>
          </w:p>
          <w:p w14:paraId="5DA6A5E5"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vaginal trichomoniasis</w:t>
            </w:r>
          </w:p>
          <w:p w14:paraId="5D37379A"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HIV</w:t>
            </w:r>
          </w:p>
          <w:p w14:paraId="2A5D00FD"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Inflammatory diseases</w:t>
            </w:r>
          </w:p>
          <w:p w14:paraId="4CFBAEEB"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Ankylosing spondylitis</w:t>
            </w:r>
          </w:p>
          <w:p w14:paraId="6E72525F"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Chorioamnionitis</w:t>
            </w:r>
          </w:p>
          <w:p w14:paraId="32CF0105"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Metabolic diseases</w:t>
            </w:r>
          </w:p>
          <w:p w14:paraId="4A66F60E"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Diabetes mellitus (all subtypes of DM including gestational diabetes)</w:t>
            </w:r>
          </w:p>
          <w:p w14:paraId="6AFA5DBC"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Pregnancy-associated diseases</w:t>
            </w:r>
          </w:p>
          <w:p w14:paraId="21EAEFA8"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Preeclampsia</w:t>
            </w:r>
          </w:p>
          <w:p w14:paraId="4CF8CB55"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Gestational hypertension</w:t>
            </w:r>
          </w:p>
          <w:p w14:paraId="7F9D6AC5"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Reproductive system disorders</w:t>
            </w:r>
          </w:p>
          <w:p w14:paraId="5516012D"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Ovarian cyst</w:t>
            </w:r>
          </w:p>
          <w:p w14:paraId="4837EDB2"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xml:space="preserve">♦ Duplex uterus </w:t>
            </w:r>
          </w:p>
          <w:p w14:paraId="24A6910B"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Uterine abnormal development</w:t>
            </w:r>
          </w:p>
          <w:p w14:paraId="2517227F"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Aberrant pregnancy state</w:t>
            </w:r>
          </w:p>
          <w:p w14:paraId="03933144"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Pregnancy with intrauterine devices</w:t>
            </w:r>
          </w:p>
          <w:p w14:paraId="40D5A9FC"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Prolonged pregnancy</w:t>
            </w:r>
          </w:p>
          <w:p w14:paraId="5FE70FCC"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The placenta abnormality</w:t>
            </w:r>
          </w:p>
          <w:p w14:paraId="3E55EA7D"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Relative cephalopelvic disproportion</w:t>
            </w:r>
          </w:p>
          <w:p w14:paraId="01118E0A"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General contracted pelvis</w:t>
            </w:r>
          </w:p>
          <w:p w14:paraId="1982B3D5"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Different blood type between maternal and fetus</w:t>
            </w:r>
          </w:p>
          <w:p w14:paraId="4639AD93"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Chromosomal/single gene syndromes</w:t>
            </w:r>
          </w:p>
          <w:p w14:paraId="2DC4B26A"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Thalassemia</w:t>
            </w:r>
          </w:p>
          <w:p w14:paraId="6DFD4BBF" w14:textId="77777777" w:rsidR="00EF4459" w:rsidRPr="00942AA3" w:rsidRDefault="00EF4459" w:rsidP="003B4D6A">
            <w:pPr>
              <w:spacing w:line="200" w:lineRule="exact"/>
              <w:rPr>
                <w:rFonts w:ascii="Times New Roman" w:hAnsi="Times New Roman" w:cs="Times New Roman"/>
                <w:sz w:val="20"/>
                <w:szCs w:val="20"/>
              </w:rPr>
            </w:pPr>
            <w:r w:rsidRPr="00942AA3">
              <w:rPr>
                <w:rFonts w:ascii="Times New Roman" w:hAnsi="Times New Roman" w:cs="Times New Roman"/>
                <w:sz w:val="20"/>
                <w:szCs w:val="20"/>
              </w:rPr>
              <w:t>Tumors</w:t>
            </w:r>
          </w:p>
          <w:p w14:paraId="294FC3EB" w14:textId="77777777" w:rsidR="00EF4459" w:rsidRPr="00942AA3" w:rsidRDefault="00EF4459" w:rsidP="003B4D6A">
            <w:pPr>
              <w:spacing w:line="200" w:lineRule="exact"/>
              <w:ind w:firstLineChars="50" w:firstLine="100"/>
              <w:rPr>
                <w:rFonts w:ascii="Times New Roman" w:hAnsi="Times New Roman" w:cs="Times New Roman"/>
                <w:sz w:val="20"/>
                <w:szCs w:val="20"/>
              </w:rPr>
            </w:pPr>
            <w:r w:rsidRPr="00942AA3">
              <w:rPr>
                <w:rFonts w:ascii="Times New Roman" w:hAnsi="Times New Roman" w:cs="Times New Roman"/>
                <w:sz w:val="20"/>
                <w:szCs w:val="20"/>
              </w:rPr>
              <w:t>♦ Pituitary adenoma</w:t>
            </w:r>
          </w:p>
          <w:p w14:paraId="741BC6A4" w14:textId="77777777" w:rsidR="00EF4459" w:rsidRPr="00942AA3" w:rsidRDefault="00EF4459" w:rsidP="003B4D6A">
            <w:pPr>
              <w:spacing w:line="200" w:lineRule="exact"/>
              <w:ind w:firstLineChars="50" w:firstLine="100"/>
              <w:rPr>
                <w:rFonts w:ascii="Times New Roman" w:hAnsi="Times New Roman" w:cs="Times New Roman"/>
                <w:b/>
                <w:bCs/>
                <w:sz w:val="20"/>
                <w:szCs w:val="20"/>
              </w:rPr>
            </w:pPr>
            <w:r w:rsidRPr="00942AA3">
              <w:rPr>
                <w:rFonts w:ascii="Times New Roman" w:hAnsi="Times New Roman" w:cs="Times New Roman"/>
                <w:sz w:val="20"/>
                <w:szCs w:val="20"/>
              </w:rPr>
              <w:t>♦ Uterine fibroids</w:t>
            </w:r>
          </w:p>
        </w:tc>
      </w:tr>
    </w:tbl>
    <w:p w14:paraId="3816E10F" w14:textId="77777777" w:rsidR="00EF4459" w:rsidRDefault="00EF4459">
      <w:pPr>
        <w:widowControl/>
        <w:jc w:val="left"/>
      </w:pPr>
      <w:r>
        <w:br w:type="page"/>
      </w:r>
    </w:p>
    <w:p w14:paraId="0F1E598F" w14:textId="12BF8192" w:rsidR="0077346C" w:rsidRDefault="00EF4459" w:rsidP="00EF4459">
      <w:pPr>
        <w:jc w:val="center"/>
      </w:pPr>
      <w:r>
        <w:rPr>
          <w:noProof/>
        </w:rPr>
        <w:lastRenderedPageBreak/>
        <w:drawing>
          <wp:inline distT="0" distB="0" distL="0" distR="0" wp14:anchorId="009B3403" wp14:editId="34F49097">
            <wp:extent cx="6346209" cy="429125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483590" cy="4384151"/>
                    </a:xfrm>
                    <a:prstGeom prst="rect">
                      <a:avLst/>
                    </a:prstGeom>
                    <a:noFill/>
                  </pic:spPr>
                </pic:pic>
              </a:graphicData>
            </a:graphic>
          </wp:inline>
        </w:drawing>
      </w:r>
    </w:p>
    <w:p w14:paraId="6FE42FAC" w14:textId="77777777" w:rsidR="00EF4459" w:rsidRDefault="00EF4459" w:rsidP="00EF4459">
      <w:pPr>
        <w:jc w:val="center"/>
        <w:rPr>
          <w:rFonts w:ascii="Times New Roman" w:hAnsi="Times New Roman" w:cs="Times New Roman"/>
          <w:b/>
          <w:bCs/>
        </w:rPr>
      </w:pPr>
    </w:p>
    <w:p w14:paraId="57DA6706" w14:textId="49D35307" w:rsidR="00EF4459" w:rsidRDefault="00EF4459" w:rsidP="00EF4459">
      <w:pPr>
        <w:jc w:val="center"/>
        <w:rPr>
          <w:rFonts w:ascii="Times New Roman" w:hAnsi="Times New Roman" w:cs="Times New Roman"/>
          <w:sz w:val="20"/>
          <w:szCs w:val="21"/>
        </w:rPr>
      </w:pPr>
      <w:r w:rsidRPr="00942AA3">
        <w:rPr>
          <w:rFonts w:ascii="Times New Roman" w:hAnsi="Times New Roman" w:cs="Times New Roman"/>
          <w:b/>
          <w:bCs/>
          <w:sz w:val="20"/>
          <w:szCs w:val="21"/>
        </w:rPr>
        <w:t xml:space="preserve">Figure S1. </w:t>
      </w:r>
      <w:r w:rsidRPr="00942AA3">
        <w:rPr>
          <w:rFonts w:ascii="Times New Roman" w:hAnsi="Times New Roman" w:cs="Times New Roman"/>
          <w:sz w:val="20"/>
          <w:szCs w:val="21"/>
        </w:rPr>
        <w:t>Overall Protocol of Reads Processing and Sequence Analysis.</w:t>
      </w:r>
    </w:p>
    <w:p w14:paraId="4B251AB8" w14:textId="77777777" w:rsidR="00EF4459" w:rsidRDefault="00EF4459">
      <w:pPr>
        <w:widowControl/>
        <w:jc w:val="left"/>
        <w:rPr>
          <w:rFonts w:ascii="Times New Roman" w:hAnsi="Times New Roman" w:cs="Times New Roman"/>
          <w:sz w:val="20"/>
          <w:szCs w:val="21"/>
        </w:rPr>
      </w:pPr>
      <w:r>
        <w:rPr>
          <w:rFonts w:ascii="Times New Roman" w:hAnsi="Times New Roman" w:cs="Times New Roman"/>
          <w:sz w:val="20"/>
          <w:szCs w:val="21"/>
        </w:rPr>
        <w:br w:type="page"/>
      </w:r>
    </w:p>
    <w:p w14:paraId="19C586DC" w14:textId="26DFB97D" w:rsidR="00EF4459" w:rsidRDefault="00EF4459" w:rsidP="00EF4459">
      <w:pPr>
        <w:jc w:val="center"/>
        <w:rPr>
          <w:rFonts w:ascii="Times New Roman" w:hAnsi="Times New Roman" w:cs="Times New Roman"/>
          <w:sz w:val="20"/>
          <w:szCs w:val="21"/>
        </w:rPr>
      </w:pPr>
      <w:r>
        <w:rPr>
          <w:rFonts w:ascii="Times New Roman" w:hAnsi="Times New Roman" w:cs="Times New Roman"/>
          <w:noProof/>
          <w:sz w:val="20"/>
          <w:szCs w:val="21"/>
        </w:rPr>
        <w:lastRenderedPageBreak/>
        <w:drawing>
          <wp:inline distT="0" distB="0" distL="0" distR="0" wp14:anchorId="0A457212" wp14:editId="4747C1B9">
            <wp:extent cx="7758752" cy="3841534"/>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772797" cy="3848488"/>
                    </a:xfrm>
                    <a:prstGeom prst="rect">
                      <a:avLst/>
                    </a:prstGeom>
                    <a:noFill/>
                    <a:ln>
                      <a:noFill/>
                    </a:ln>
                  </pic:spPr>
                </pic:pic>
              </a:graphicData>
            </a:graphic>
          </wp:inline>
        </w:drawing>
      </w:r>
    </w:p>
    <w:p w14:paraId="6FDBBDBC" w14:textId="647E1837" w:rsidR="00EF4459" w:rsidRDefault="00EF4459" w:rsidP="00EF4459">
      <w:pPr>
        <w:jc w:val="center"/>
        <w:rPr>
          <w:rFonts w:ascii="Times New Roman" w:hAnsi="Times New Roman" w:cs="Times New Roman"/>
          <w:sz w:val="20"/>
          <w:szCs w:val="21"/>
        </w:rPr>
      </w:pPr>
    </w:p>
    <w:p w14:paraId="60A5CEBD" w14:textId="74086F7F" w:rsidR="00EF4459" w:rsidRDefault="00EF4459" w:rsidP="00EF4459">
      <w:pPr>
        <w:jc w:val="left"/>
        <w:rPr>
          <w:rFonts w:ascii="Times New Roman" w:hAnsi="Times New Roman" w:cs="Times New Roman"/>
          <w:sz w:val="20"/>
          <w:szCs w:val="20"/>
        </w:rPr>
      </w:pPr>
      <w:r w:rsidRPr="00942AA3">
        <w:rPr>
          <w:rFonts w:ascii="Times New Roman" w:hAnsi="Times New Roman" w:cs="Times New Roman"/>
          <w:b/>
          <w:bCs/>
          <w:sz w:val="20"/>
          <w:szCs w:val="20"/>
        </w:rPr>
        <w:t>Figure S2.</w:t>
      </w:r>
      <w:r w:rsidRPr="00942AA3">
        <w:rPr>
          <w:rFonts w:ascii="Times New Roman" w:hAnsi="Times New Roman" w:cs="Times New Roman"/>
          <w:sz w:val="20"/>
          <w:szCs w:val="20"/>
        </w:rPr>
        <w:t xml:space="preserve"> Rarefaction curves of each group. Number of observed species (Sobs) identified with increase of sequencing depth in maternal and neonatal samples.</w:t>
      </w:r>
    </w:p>
    <w:p w14:paraId="02AA45C4" w14:textId="77777777" w:rsidR="00EF4459" w:rsidRDefault="00EF4459">
      <w:pPr>
        <w:widowControl/>
        <w:jc w:val="left"/>
        <w:rPr>
          <w:rFonts w:ascii="Times New Roman" w:hAnsi="Times New Roman" w:cs="Times New Roman"/>
          <w:sz w:val="20"/>
          <w:szCs w:val="20"/>
        </w:rPr>
      </w:pPr>
      <w:r>
        <w:rPr>
          <w:rFonts w:ascii="Times New Roman" w:hAnsi="Times New Roman" w:cs="Times New Roman"/>
          <w:sz w:val="20"/>
          <w:szCs w:val="20"/>
        </w:rPr>
        <w:br w:type="page"/>
      </w:r>
    </w:p>
    <w:p w14:paraId="172EA8A5" w14:textId="0F00C837" w:rsidR="00EF4459" w:rsidRDefault="00EF4459" w:rsidP="00EF4459">
      <w:pPr>
        <w:jc w:val="center"/>
        <w:rPr>
          <w:noProof/>
          <w:sz w:val="18"/>
          <w:szCs w:val="18"/>
        </w:rPr>
      </w:pPr>
      <w:r>
        <w:rPr>
          <w:noProof/>
          <w:sz w:val="18"/>
          <w:szCs w:val="18"/>
        </w:rPr>
        <w:lastRenderedPageBreak/>
        <w:drawing>
          <wp:inline distT="0" distB="0" distL="0" distR="0" wp14:anchorId="28555FF5" wp14:editId="5A2FD69E">
            <wp:extent cx="6080078" cy="5774824"/>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18785" cy="5811587"/>
                    </a:xfrm>
                    <a:prstGeom prst="rect">
                      <a:avLst/>
                    </a:prstGeom>
                    <a:noFill/>
                    <a:ln>
                      <a:noFill/>
                    </a:ln>
                  </pic:spPr>
                </pic:pic>
              </a:graphicData>
            </a:graphic>
          </wp:inline>
        </w:drawing>
      </w:r>
    </w:p>
    <w:p w14:paraId="508EF913" w14:textId="4B738697" w:rsidR="00EF4459" w:rsidRPr="00EF4459" w:rsidRDefault="00EF4459" w:rsidP="00EF4459">
      <w:pPr>
        <w:spacing w:line="276" w:lineRule="auto"/>
        <w:jc w:val="left"/>
        <w:rPr>
          <w:rFonts w:ascii="Times New Roman" w:hAnsi="Times New Roman" w:cs="Times New Roman"/>
          <w:sz w:val="20"/>
          <w:szCs w:val="20"/>
        </w:rPr>
      </w:pPr>
      <w:r w:rsidRPr="00EF4459">
        <w:rPr>
          <w:rFonts w:ascii="Times New Roman" w:hAnsi="Times New Roman" w:cs="Times New Roman"/>
          <w:b/>
          <w:bCs/>
          <w:sz w:val="20"/>
          <w:szCs w:val="20"/>
        </w:rPr>
        <w:lastRenderedPageBreak/>
        <w:t xml:space="preserve">Figure S3. </w:t>
      </w:r>
      <w:r w:rsidRPr="00EF4459">
        <w:rPr>
          <w:rFonts w:ascii="Times New Roman" w:hAnsi="Times New Roman" w:cs="Times New Roman"/>
          <w:sz w:val="20"/>
          <w:szCs w:val="20"/>
        </w:rPr>
        <w:t xml:space="preserve">The </w:t>
      </w:r>
      <w:r w:rsidRPr="00EF4459">
        <w:rPr>
          <w:rFonts w:ascii="Times New Roman" w:hAnsi="Times New Roman" w:cs="Times New Roman" w:hint="eastAsia"/>
          <w:sz w:val="20"/>
          <w:szCs w:val="20"/>
        </w:rPr>
        <w:t>d</w:t>
      </w:r>
      <w:r w:rsidRPr="00EF4459">
        <w:rPr>
          <w:rFonts w:ascii="Times New Roman" w:hAnsi="Times New Roman" w:cs="Times New Roman"/>
          <w:sz w:val="20"/>
          <w:szCs w:val="20"/>
        </w:rPr>
        <w:t xml:space="preserve">istance </w:t>
      </w:r>
      <w:r w:rsidRPr="00EF4459">
        <w:rPr>
          <w:rFonts w:ascii="Times New Roman" w:hAnsi="Times New Roman" w:cs="Times New Roman"/>
          <w:sz w:val="20"/>
          <w:szCs w:val="20"/>
        </w:rPr>
        <w:t>h</w:t>
      </w:r>
      <w:r w:rsidRPr="00EF4459">
        <w:rPr>
          <w:rFonts w:ascii="Times New Roman" w:hAnsi="Times New Roman" w:cs="Times New Roman"/>
          <w:sz w:val="20"/>
          <w:szCs w:val="20"/>
        </w:rPr>
        <w:t>eatmap</w:t>
      </w:r>
      <w:r w:rsidRPr="00EF4459">
        <w:rPr>
          <w:rFonts w:ascii="Times New Roman" w:hAnsi="Times New Roman" w:cs="Times New Roman"/>
          <w:sz w:val="20"/>
          <w:szCs w:val="20"/>
        </w:rPr>
        <w:t xml:space="preserve"> of each sample</w:t>
      </w:r>
      <w:r w:rsidRPr="00EF4459">
        <w:rPr>
          <w:rFonts w:ascii="Times New Roman" w:hAnsi="Times New Roman" w:cs="Times New Roman"/>
          <w:sz w:val="20"/>
          <w:szCs w:val="20"/>
        </w:rPr>
        <w:t>.</w:t>
      </w:r>
      <w:r w:rsidRPr="00EF4459">
        <w:rPr>
          <w:rFonts w:ascii="Times New Roman" w:hAnsi="Times New Roman" w:cs="Times New Roman"/>
          <w:sz w:val="20"/>
          <w:szCs w:val="20"/>
        </w:rPr>
        <w:t xml:space="preserve"> </w:t>
      </w:r>
      <w:r w:rsidRPr="00EF4459">
        <w:rPr>
          <w:rFonts w:ascii="Times New Roman" w:hAnsi="Times New Roman" w:cs="Times New Roman"/>
          <w:sz w:val="20"/>
          <w:szCs w:val="20"/>
        </w:rPr>
        <w:t xml:space="preserve">The distance heatmap was conducted based on unweighted </w:t>
      </w:r>
      <w:proofErr w:type="spellStart"/>
      <w:r w:rsidRPr="00EF4459">
        <w:rPr>
          <w:rFonts w:ascii="Times New Roman" w:hAnsi="Times New Roman" w:cs="Times New Roman"/>
          <w:sz w:val="20"/>
          <w:szCs w:val="20"/>
        </w:rPr>
        <w:t>Unifrac</w:t>
      </w:r>
      <w:proofErr w:type="spellEnd"/>
      <w:r w:rsidRPr="00EF4459">
        <w:rPr>
          <w:rFonts w:ascii="Times New Roman" w:hAnsi="Times New Roman" w:cs="Times New Roman"/>
          <w:sz w:val="20"/>
          <w:szCs w:val="20"/>
        </w:rPr>
        <w:t xml:space="preserve"> matrix at OTU level to characterize the similarities of bacterial composition among samples. Rows and columns represented different samples, and the color of the grid indicated the distance between corresponding samples. The darker color of the grid meant the greater difference of flora structure between samples.</w:t>
      </w:r>
    </w:p>
    <w:p w14:paraId="17F62A97" w14:textId="0F96E04C" w:rsidR="00EF4459" w:rsidRPr="00EF4459" w:rsidRDefault="00EF4459" w:rsidP="00EF4459">
      <w:pPr>
        <w:jc w:val="left"/>
        <w:rPr>
          <w:rFonts w:ascii="Times New Roman" w:hAnsi="Times New Roman" w:cs="Times New Roman"/>
          <w:sz w:val="20"/>
          <w:szCs w:val="20"/>
        </w:rPr>
      </w:pPr>
      <w:r w:rsidRPr="00EF4459">
        <w:rPr>
          <w:rFonts w:ascii="Times New Roman" w:hAnsi="Times New Roman" w:cs="Times New Roman"/>
          <w:sz w:val="20"/>
          <w:szCs w:val="20"/>
        </w:rPr>
        <w:t>Abbreviations: TSC, Transitional stools of caesarean delivered neonates; TSS, Transitional stools of caesarean delivered neonates with the treatment of swabbing maternal vaginal fluid; TSN, Transitional stools of natural delivered neonates; VN, Vaginal fluids of the pregnant women who underwent natural delivery; V, Vaginal fluids of the pregnant women who underwent caesarean delivery; FN, Feces of the women who underwent natural delivery; F, Feces of the pregnant women who underwent caesarean delivery.</w:t>
      </w:r>
    </w:p>
    <w:p w14:paraId="2A278267" w14:textId="77777777" w:rsidR="00EF4459" w:rsidRDefault="00EF4459">
      <w:pPr>
        <w:widowControl/>
        <w:jc w:val="left"/>
        <w:rPr>
          <w:rFonts w:ascii="Times New Roman" w:hAnsi="Times New Roman" w:cs="Times New Roman"/>
          <w:sz w:val="18"/>
          <w:szCs w:val="18"/>
        </w:rPr>
      </w:pPr>
      <w:r>
        <w:rPr>
          <w:rFonts w:ascii="Times New Roman" w:hAnsi="Times New Roman" w:cs="Times New Roman"/>
          <w:sz w:val="18"/>
          <w:szCs w:val="18"/>
        </w:rPr>
        <w:br w:type="page"/>
      </w:r>
    </w:p>
    <w:p w14:paraId="2E3703BB" w14:textId="4A3BF64B" w:rsidR="00EF4459" w:rsidRDefault="00EF4459" w:rsidP="00EF4459">
      <w:pPr>
        <w:jc w:val="center"/>
        <w:rPr>
          <w:rFonts w:ascii="Times New Roman" w:hAnsi="Times New Roman" w:cs="Times New Roman"/>
          <w:sz w:val="18"/>
          <w:szCs w:val="18"/>
        </w:rPr>
      </w:pPr>
      <w:r>
        <w:rPr>
          <w:rFonts w:ascii="Times New Roman" w:hAnsi="Times New Roman" w:cs="Times New Roman"/>
          <w:noProof/>
          <w:sz w:val="18"/>
          <w:szCs w:val="18"/>
        </w:rPr>
        <w:lastRenderedPageBreak/>
        <w:drawing>
          <wp:inline distT="0" distB="0" distL="0" distR="0" wp14:anchorId="52156A60" wp14:editId="24D97BA5">
            <wp:extent cx="7014949" cy="3680747"/>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86847" cy="3718472"/>
                    </a:xfrm>
                    <a:prstGeom prst="rect">
                      <a:avLst/>
                    </a:prstGeom>
                    <a:noFill/>
                    <a:ln>
                      <a:noFill/>
                    </a:ln>
                  </pic:spPr>
                </pic:pic>
              </a:graphicData>
            </a:graphic>
          </wp:inline>
        </w:drawing>
      </w:r>
    </w:p>
    <w:p w14:paraId="621F1B39" w14:textId="113847DF" w:rsidR="00EF4459" w:rsidRPr="00EF4459" w:rsidRDefault="00EF4459" w:rsidP="00EF4459">
      <w:pPr>
        <w:spacing w:line="276" w:lineRule="auto"/>
        <w:jc w:val="left"/>
        <w:rPr>
          <w:rFonts w:ascii="Times New Roman" w:hAnsi="Times New Roman" w:cs="Times New Roman"/>
          <w:sz w:val="20"/>
          <w:szCs w:val="20"/>
        </w:rPr>
      </w:pPr>
      <w:r w:rsidRPr="00EF4459">
        <w:rPr>
          <w:rFonts w:ascii="Times New Roman" w:hAnsi="Times New Roman" w:cs="Times New Roman"/>
          <w:b/>
          <w:bCs/>
          <w:sz w:val="20"/>
          <w:szCs w:val="20"/>
        </w:rPr>
        <w:t xml:space="preserve">Figure S4. </w:t>
      </w:r>
      <w:proofErr w:type="spellStart"/>
      <w:r w:rsidRPr="00EF4459">
        <w:rPr>
          <w:rFonts w:ascii="Times New Roman" w:hAnsi="Times New Roman" w:cs="Times New Roman"/>
          <w:sz w:val="20"/>
          <w:szCs w:val="20"/>
        </w:rPr>
        <w:t>Circos</w:t>
      </w:r>
      <w:proofErr w:type="spellEnd"/>
      <w:r w:rsidRPr="00EF4459">
        <w:rPr>
          <w:rFonts w:ascii="Times New Roman" w:hAnsi="Times New Roman" w:cs="Times New Roman"/>
          <w:sz w:val="20"/>
          <w:szCs w:val="20"/>
        </w:rPr>
        <w:t xml:space="preserve"> Plots at Phylum and Genus Level.</w:t>
      </w:r>
      <w:r>
        <w:rPr>
          <w:rFonts w:ascii="Times New Roman" w:hAnsi="Times New Roman" w:cs="Times New Roman"/>
          <w:sz w:val="20"/>
          <w:szCs w:val="20"/>
        </w:rPr>
        <w:t xml:space="preserve"> </w:t>
      </w:r>
      <w:r w:rsidRPr="00EF4459">
        <w:rPr>
          <w:rFonts w:ascii="Times New Roman" w:hAnsi="Times New Roman" w:cs="Times New Roman"/>
          <w:sz w:val="20"/>
          <w:szCs w:val="20"/>
        </w:rPr>
        <w:t xml:space="preserve">The </w:t>
      </w:r>
      <w:proofErr w:type="spellStart"/>
      <w:r w:rsidRPr="00EF4459">
        <w:rPr>
          <w:rFonts w:ascii="Times New Roman" w:hAnsi="Times New Roman" w:cs="Times New Roman"/>
          <w:sz w:val="20"/>
          <w:szCs w:val="20"/>
        </w:rPr>
        <w:t>circos</w:t>
      </w:r>
      <w:proofErr w:type="spellEnd"/>
      <w:r w:rsidRPr="00EF4459">
        <w:rPr>
          <w:rFonts w:ascii="Times New Roman" w:hAnsi="Times New Roman" w:cs="Times New Roman"/>
          <w:sz w:val="20"/>
          <w:szCs w:val="20"/>
        </w:rPr>
        <w:t xml:space="preserve"> plots displayed the relationship about species composition in the form of ‘sample-species’ lines. The thickness of the corresponding line represented the proportion of species in the sample. Species whose relative abundance (the number of species tags in the sample/the total number of tags in the sample) reached more than 0.1% were displayed in the diagram.</w:t>
      </w:r>
    </w:p>
    <w:p w14:paraId="5E6433B2" w14:textId="77777777" w:rsidR="00EF4459" w:rsidRPr="00EF4459" w:rsidRDefault="00EF4459" w:rsidP="00EF4459">
      <w:pPr>
        <w:jc w:val="left"/>
        <w:rPr>
          <w:rFonts w:ascii="Times New Roman" w:hAnsi="Times New Roman" w:cs="Times New Roman"/>
          <w:sz w:val="20"/>
          <w:szCs w:val="20"/>
        </w:rPr>
      </w:pPr>
      <w:r w:rsidRPr="00EF4459">
        <w:rPr>
          <w:rFonts w:ascii="Times New Roman" w:hAnsi="Times New Roman" w:cs="Times New Roman"/>
          <w:sz w:val="20"/>
          <w:szCs w:val="20"/>
        </w:rPr>
        <w:t>Abbreviations: TSC, Transitional stools of caesarean delivered neonates; TSS, Transitional stools of caesarean delivered neonates with the treatment of swabbing maternal vaginal fluid; TSN, Transitional stools of natural delivered neonates; VN, Vaginal fluids of the pregnant women who underwent natural delivery; V, Vaginal fluids of the pregnant women who underwent caesarean delivery; FN, Feces of the women who underwent natural delivery; F, Feces of the pregnant women who underwent caesarean delivery.</w:t>
      </w:r>
    </w:p>
    <w:p w14:paraId="79647C93" w14:textId="6E40EE97" w:rsidR="00EF4459" w:rsidRDefault="00EF4459" w:rsidP="00EF4459">
      <w:pPr>
        <w:jc w:val="center"/>
        <w:rPr>
          <w:rFonts w:ascii="Times New Roman" w:hAnsi="Times New Roman" w:cs="Times New Roman"/>
          <w:sz w:val="18"/>
          <w:szCs w:val="18"/>
        </w:rPr>
      </w:pPr>
      <w:r>
        <w:rPr>
          <w:rFonts w:ascii="Times New Roman" w:hAnsi="Times New Roman" w:cs="Times New Roman" w:hint="eastAsia"/>
          <w:noProof/>
          <w:sz w:val="18"/>
          <w:szCs w:val="18"/>
        </w:rPr>
        <w:lastRenderedPageBreak/>
        <w:drawing>
          <wp:inline distT="0" distB="0" distL="0" distR="0" wp14:anchorId="79ED1679" wp14:editId="754155A7">
            <wp:extent cx="8222776" cy="3966343"/>
            <wp:effectExtent l="0" t="0" r="6985"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38530" cy="3973942"/>
                    </a:xfrm>
                    <a:prstGeom prst="rect">
                      <a:avLst/>
                    </a:prstGeom>
                    <a:noFill/>
                    <a:ln>
                      <a:noFill/>
                    </a:ln>
                  </pic:spPr>
                </pic:pic>
              </a:graphicData>
            </a:graphic>
          </wp:inline>
        </w:drawing>
      </w:r>
    </w:p>
    <w:p w14:paraId="3B49E76A" w14:textId="29D14C77" w:rsidR="00EF4459" w:rsidRPr="00EF4459" w:rsidRDefault="00EF4459" w:rsidP="00EF4459">
      <w:pPr>
        <w:spacing w:line="276" w:lineRule="auto"/>
        <w:jc w:val="left"/>
        <w:rPr>
          <w:rFonts w:ascii="Times New Roman" w:hAnsi="Times New Roman" w:cs="Times New Roman"/>
          <w:sz w:val="20"/>
          <w:szCs w:val="20"/>
        </w:rPr>
      </w:pPr>
      <w:r w:rsidRPr="00EF4459">
        <w:rPr>
          <w:rFonts w:ascii="Times New Roman" w:hAnsi="Times New Roman" w:cs="Times New Roman"/>
          <w:b/>
          <w:bCs/>
          <w:sz w:val="20"/>
          <w:szCs w:val="20"/>
        </w:rPr>
        <w:t xml:space="preserve">Figure S5. </w:t>
      </w:r>
      <w:r w:rsidRPr="00EF4459">
        <w:rPr>
          <w:rFonts w:ascii="Times New Roman" w:hAnsi="Times New Roman" w:cs="Times New Roman"/>
          <w:sz w:val="20"/>
          <w:szCs w:val="20"/>
        </w:rPr>
        <w:t>Venn Plots at Phylum and Genus Level.</w:t>
      </w:r>
      <w:r>
        <w:rPr>
          <w:rFonts w:ascii="Times New Roman" w:hAnsi="Times New Roman" w:cs="Times New Roman"/>
          <w:sz w:val="20"/>
          <w:szCs w:val="20"/>
        </w:rPr>
        <w:t xml:space="preserve"> </w:t>
      </w:r>
      <w:r w:rsidRPr="00EF4459">
        <w:rPr>
          <w:rFonts w:ascii="Times New Roman" w:hAnsi="Times New Roman" w:cs="Times New Roman"/>
          <w:sz w:val="20"/>
          <w:szCs w:val="20"/>
        </w:rPr>
        <w:t xml:space="preserve">Venn plots were used to represented the common and unique phyla (A) and genera (B) among different groups. </w:t>
      </w:r>
    </w:p>
    <w:p w14:paraId="5473DD15" w14:textId="667FCC25" w:rsidR="00EF4459" w:rsidRPr="00EF4459" w:rsidRDefault="00EF4459" w:rsidP="00EF4459">
      <w:pPr>
        <w:jc w:val="left"/>
        <w:rPr>
          <w:rFonts w:ascii="Times New Roman" w:hAnsi="Times New Roman" w:cs="Times New Roman" w:hint="eastAsia"/>
          <w:sz w:val="20"/>
          <w:szCs w:val="20"/>
        </w:rPr>
      </w:pPr>
      <w:r w:rsidRPr="00EF4459">
        <w:rPr>
          <w:rFonts w:ascii="Times New Roman" w:hAnsi="Times New Roman" w:cs="Times New Roman"/>
          <w:sz w:val="20"/>
          <w:szCs w:val="20"/>
        </w:rPr>
        <w:t>Abbreviations: TSC, Transitional stools of caesarean delivered neonates; TSS, Transitional stools of caesarean delivered neonates with the treatment of swabbing maternal vaginal fluid; V, Vaginal fluids of the pregnant women who underwent caesarean delivery.</w:t>
      </w:r>
    </w:p>
    <w:p w14:paraId="694F86F0" w14:textId="77777777" w:rsidR="00EF4459" w:rsidRPr="00EF4459" w:rsidRDefault="00EF4459" w:rsidP="00EF4459">
      <w:pPr>
        <w:jc w:val="center"/>
        <w:rPr>
          <w:rFonts w:ascii="Times New Roman" w:hAnsi="Times New Roman" w:cs="Times New Roman" w:hint="eastAsia"/>
          <w:sz w:val="20"/>
          <w:szCs w:val="21"/>
        </w:rPr>
      </w:pPr>
    </w:p>
    <w:sectPr w:rsidR="00EF4459" w:rsidRPr="00EF4459" w:rsidSect="00EF4459">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58E"/>
    <w:rsid w:val="00511A73"/>
    <w:rsid w:val="00857CCB"/>
    <w:rsid w:val="00990740"/>
    <w:rsid w:val="009C1D31"/>
    <w:rsid w:val="00A41EE6"/>
    <w:rsid w:val="00C9558E"/>
    <w:rsid w:val="00EF4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2BEA12"/>
  <w15:chartTrackingRefBased/>
  <w15:docId w15:val="{B7B74135-8597-4577-879A-33F0BE96A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445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EF44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5" Type="http://schemas.openxmlformats.org/officeDocument/2006/relationships/image" Target="media/image2.tif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546</Words>
  <Characters>3114</Characters>
  <Application>Microsoft Office Word</Application>
  <DocSecurity>0</DocSecurity>
  <Lines>25</Lines>
  <Paragraphs>7</Paragraphs>
  <ScaleCrop>false</ScaleCrop>
  <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唐 晨</dc:creator>
  <cp:keywords/>
  <dc:description/>
  <cp:lastModifiedBy>唐 晨</cp:lastModifiedBy>
  <cp:revision>3</cp:revision>
  <dcterms:created xsi:type="dcterms:W3CDTF">2021-10-22T06:57:00Z</dcterms:created>
  <dcterms:modified xsi:type="dcterms:W3CDTF">2021-10-22T07:07:00Z</dcterms:modified>
</cp:coreProperties>
</file>