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spacing w:line="360" w:lineRule="auto"/>
        <w:jc w:val="both"/>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 xml:space="preserve">CONSORT 2025 checklist of information to include when reporting a randomised trial* </w:t>
      </w:r>
    </w:p>
    <w:tbl>
      <w:tblPr>
        <w:tblW w:w="139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82"/>
        <w:gridCol w:w="967"/>
        <w:gridCol w:w="6711"/>
        <w:gridCol w:w="3790"/>
      </w:tblGrid>
      <w:tr>
        <w:tblPrEx>
          <w:shd w:val="clear" w:color="auto" w:fill="ced7e7"/>
        </w:tblPrEx>
        <w:trPr>
          <w:trHeight w:val="48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Section / Topic</w:t>
            </w:r>
            <w:r>
              <w:rPr>
                <w:rFonts w:ascii="Calibri" w:cs="Calibri" w:hAnsi="Calibri" w:eastAsia="Calibri"/>
                <w:b w:val="1"/>
                <w:bCs w:val="1"/>
                <w:outline w:val="0"/>
                <w:color w:val="000000"/>
                <w:sz w:val="22"/>
                <w:szCs w:val="22"/>
                <w:u w:color="000000"/>
                <w:shd w:val="nil" w:color="auto" w:fill="auto"/>
                <w14:textFill>
                  <w14:solidFill>
                    <w14:srgbClr w14:val="000000"/>
                  </w14:solidFill>
                </w14:textFill>
              </w:rPr>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Text"/>
              <w:spacing w:line="240" w:lineRule="auto"/>
              <w:jc w:val="center"/>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No</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CONSORT 2025 checklist item description</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Reported on page no.</w:t>
            </w:r>
          </w:p>
        </w:tc>
      </w:tr>
      <w:tr>
        <w:tblPrEx>
          <w:shd w:val="clear" w:color="auto" w:fill="ced7e7"/>
        </w:tblPrEx>
        <w:trPr>
          <w:trHeight w:val="221" w:hRule="atLeast"/>
        </w:trPr>
        <w:tc>
          <w:tcPr>
            <w:tcW w:type="dxa" w:w="101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Title and abstract</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r>
      <w:tr>
        <w:tblPrEx>
          <w:shd w:val="clear" w:color="auto" w:fill="ced7e7"/>
        </w:tblPrEx>
        <w:trPr>
          <w:trHeight w:val="290"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Title and structured abstract</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Identification as a randomised trial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Title (p.1)</w:t>
            </w:r>
          </w:p>
        </w:tc>
      </w:tr>
      <w:tr>
        <w:tblPrEx>
          <w:shd w:val="clear" w:color="auto" w:fill="ced7e7"/>
        </w:tblPrEx>
        <w:trPr>
          <w:trHeight w:val="481"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Structured summary of the trial design, methods, results, and conclusions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Abstract (pp.2</w:t>
            </w:r>
            <w:r>
              <w:rPr>
                <w:rFonts w:ascii="Times Roman" w:hAnsi="Times Roman" w:hint="default"/>
                <w:rtl w:val="0"/>
              </w:rPr>
              <w:t>–</w:t>
            </w:r>
            <w:r>
              <w:rPr>
                <w:rFonts w:ascii="Times Roman" w:hAnsi="Times Roman"/>
                <w:rtl w:val="0"/>
              </w:rPr>
              <w:t>3)</w:t>
            </w:r>
          </w:p>
        </w:tc>
      </w:tr>
      <w:tr>
        <w:tblPrEx>
          <w:shd w:val="clear" w:color="auto" w:fill="ced7e7"/>
        </w:tblPrEx>
        <w:trPr>
          <w:trHeight w:val="221" w:hRule="atLeast"/>
        </w:trPr>
        <w:tc>
          <w:tcPr>
            <w:tcW w:type="dxa" w:w="101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d7ee"/>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Open science</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r>
      <w:tr>
        <w:tblPrEx>
          <w:shd w:val="clear" w:color="auto" w:fill="ced7e7"/>
        </w:tblPrEx>
        <w:trPr>
          <w:trHeight w:val="57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Trial registration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Name of trial registry, identifying number (with URL) and date of registration</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Title page and Declarations (pp.1, 13)</w:t>
            </w:r>
          </w:p>
        </w:tc>
      </w:tr>
      <w:tr>
        <w:tblPrEx>
          <w:shd w:val="clear" w:color="auto" w:fill="ced7e7"/>
        </w:tblPrEx>
        <w:trPr>
          <w:trHeight w:val="334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Protocol and statistical analysis plan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3</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Where the trial protocol and statistical analysis plan can be accessed</w:t>
            </w: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rPr>
                <w:rFonts w:ascii="Calibri" w:cs="Calibri" w:hAnsi="Calibri" w:eastAsia="Calibri"/>
                <w:outline w:val="0"/>
                <w:color w:val="000000"/>
                <w:sz w:val="22"/>
                <w:szCs w:val="22"/>
                <w:u w:color="000000"/>
                <w:shd w:val="nil" w:color="auto" w:fill="auto"/>
                <w:lang w:val="en-US"/>
                <w14:textFill>
                  <w14:solidFill>
                    <w14:srgbClr w14:val="000000"/>
                  </w14:solidFill>
                </w14:textFill>
              </w:rPr>
            </w:pPr>
          </w:p>
          <w:p>
            <w:pPr>
              <w:pStyle w:val="Text"/>
              <w:spacing w:line="240" w:lineRule="auto"/>
            </w:pPr>
            <w:r>
              <w:rPr>
                <w:rFonts w:ascii="Calibri" w:cs="Calibri" w:hAnsi="Calibri" w:eastAsia="Calibri"/>
                <w:outline w:val="0"/>
                <w:color w:val="000000"/>
                <w:sz w:val="22"/>
                <w:szCs w:val="22"/>
                <w:u w:color="000000"/>
                <w:shd w:val="nil" w:color="auto" w:fill="auto"/>
                <w:lang w:val="en-US"/>
                <w14:textFill>
                  <w14:solidFill>
                    <w14:srgbClr w14:val="000000"/>
                  </w14:solidFill>
                </w14:textFill>
              </w:rPr>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protocol previously published [7]; Methods (p.4). Statistical analyses described in Methods (pp.5</w:t>
            </w:r>
            <w:r>
              <w:rPr>
                <w:rFonts w:ascii="Times Roman" w:hAnsi="Times Roman" w:hint="default"/>
                <w:rtl w:val="0"/>
              </w:rPr>
              <w:t>–</w:t>
            </w:r>
            <w:r>
              <w:rPr>
                <w:rFonts w:ascii="Times Roman" w:hAnsi="Times Roman"/>
                <w:rtl w:val="0"/>
              </w:rPr>
              <w:t>6).</w:t>
            </w:r>
          </w:p>
        </w:tc>
      </w:tr>
      <w:tr>
        <w:tblPrEx>
          <w:shd w:val="clear" w:color="auto" w:fill="ced7e7"/>
        </w:tblPrEx>
        <w:trPr>
          <w:trHeight w:val="48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Data sharing</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4</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Where and how the individual de-identified participant data (including data dictionary), statistical code and any other materials can be accessed</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Data availability statement (p.14)</w:t>
            </w:r>
          </w:p>
        </w:tc>
      </w:tr>
      <w:tr>
        <w:tblPrEx>
          <w:shd w:val="clear" w:color="auto" w:fill="ced7e7"/>
        </w:tblPrEx>
        <w:trPr>
          <w:trHeight w:val="481"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Funding and conflicts of interest</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5a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Sources of funding and other support (e.g., supply of drugs), and role of funders in the design, conduct, analysis and reporting of the trial</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Funding (p.13)</w:t>
            </w:r>
          </w:p>
        </w:tc>
      </w:tr>
      <w:tr>
        <w:tblPrEx>
          <w:shd w:val="clear" w:color="auto" w:fill="ced7e7"/>
        </w:tblPrEx>
        <w:trPr>
          <w:trHeight w:val="29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5b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Financial and other conflicts of interest of the manuscript authors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Competing interests (p.14)</w:t>
            </w:r>
          </w:p>
        </w:tc>
      </w:tr>
      <w:tr>
        <w:tblPrEx>
          <w:shd w:val="clear" w:color="auto" w:fill="ced7e7"/>
        </w:tblPrEx>
        <w:trPr>
          <w:trHeight w:val="221" w:hRule="atLeast"/>
        </w:trPr>
        <w:tc>
          <w:tcPr>
            <w:tcW w:type="dxa" w:w="101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d7ee"/>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Introduction</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r>
      <w:tr>
        <w:tblPrEx>
          <w:shd w:val="clear" w:color="auto" w:fill="ced7e7"/>
        </w:tblPrEx>
        <w:trPr>
          <w:trHeight w:val="29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Background and rationale</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6</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Scientific background and rationale</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Background (pp.3</w:t>
            </w:r>
            <w:r>
              <w:rPr>
                <w:rFonts w:ascii="Times Roman" w:hAnsi="Times Roman" w:hint="default"/>
                <w:rtl w:val="0"/>
              </w:rPr>
              <w:t>–</w:t>
            </w:r>
            <w:r>
              <w:rPr>
                <w:rFonts w:ascii="Times Roman" w:hAnsi="Times Roman"/>
                <w:rtl w:val="0"/>
              </w:rPr>
              <w:t>4)</w:t>
            </w:r>
          </w:p>
        </w:tc>
      </w:tr>
      <w:tr>
        <w:tblPrEx>
          <w:shd w:val="clear" w:color="auto" w:fill="ced7e7"/>
        </w:tblPrEx>
        <w:trPr>
          <w:trHeight w:val="113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Objectives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7</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Specific objectives related to benefits and harms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Background, final paragraph (p.4). Harms were not assessed in this secondary analysis; see primary trial publication [8].</w:t>
            </w:r>
          </w:p>
        </w:tc>
      </w:tr>
      <w:tr>
        <w:tblPrEx>
          <w:shd w:val="clear" w:color="auto" w:fill="ced7e7"/>
        </w:tblPrEx>
        <w:trPr>
          <w:trHeight w:val="221" w:hRule="atLeast"/>
        </w:trPr>
        <w:tc>
          <w:tcPr>
            <w:tcW w:type="dxa" w:w="101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d7ee"/>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Methods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r>
      <w:tr>
        <w:tblPrEx>
          <w:shd w:val="clear" w:color="auto" w:fill="ced7e7"/>
        </w:tblPrEx>
        <w:trPr>
          <w:trHeight w:val="113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Patient and public involvement</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8</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Details of patient or public involvement in the design, conduct and reporting of the trial</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 xml:space="preserve">Not reported. Patients and the public were not involved in the design, conduct, reporting, or dissemination of this secondary analysis. </w:t>
            </w:r>
          </w:p>
        </w:tc>
      </w:tr>
      <w:tr>
        <w:tblPrEx>
          <w:shd w:val="clear" w:color="auto" w:fill="ced7e7"/>
        </w:tblPrEx>
        <w:trPr>
          <w:trHeight w:val="74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Trial design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9</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Description of trial design including type of trial (e.g., parallel group, crossover), allocation ratio, and framework (e.g., superiority, equivalence, non-inferiority, exploratory)</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design and participants (p.4)</w:t>
            </w:r>
          </w:p>
        </w:tc>
      </w:tr>
      <w:tr>
        <w:tblPrEx>
          <w:shd w:val="clear" w:color="auto" w:fill="ced7e7"/>
        </w:tblPrEx>
        <w:trPr>
          <w:trHeight w:val="57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Changes to trial protocol</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10</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Important changes to the trial after it commenced including any outcomes or analyses that were not prespecified, with reason</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48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Trial setting</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11</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Settings (e.g., community, hospital) and locations (e.g., countries, sites) where the trial was conducted</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design and participants (p.4)</w:t>
            </w:r>
          </w:p>
        </w:tc>
      </w:tr>
      <w:tr>
        <w:tblPrEx>
          <w:shd w:val="clear" w:color="auto" w:fill="ced7e7"/>
        </w:tblPrEx>
        <w:trPr>
          <w:trHeight w:val="290"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Eligibility criteria</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12a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Eligibility criteria for participants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design and participants (p.4)</w:t>
            </w:r>
          </w:p>
        </w:tc>
      </w:tr>
      <w:tr>
        <w:tblPrEx>
          <w:shd w:val="clear" w:color="auto" w:fill="ced7e7"/>
        </w:tblPrEx>
        <w:trPr>
          <w:trHeight w:val="481"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12b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If applicable, eligibility criteria for sites and for individuals delivering the interventions (e.g., surgeons, physiotherapists)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design and participants (p.4)</w:t>
            </w:r>
          </w:p>
        </w:tc>
      </w:tr>
      <w:tr>
        <w:tblPrEx>
          <w:shd w:val="clear" w:color="auto" w:fill="ced7e7"/>
        </w:tblPrEx>
        <w:trPr>
          <w:trHeight w:val="74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Intervention and comparator</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13</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Intervention and comparator with sufficient details to allow replication. If relevant, where additional materials describing the intervention and comparator (e.g., intervention manual) can be accessed</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procedures (pp.4</w:t>
            </w:r>
            <w:r>
              <w:rPr>
                <w:rFonts w:ascii="Times Roman" w:hAnsi="Times Roman" w:hint="default"/>
                <w:rtl w:val="0"/>
              </w:rPr>
              <w:t>–</w:t>
            </w:r>
            <w:r>
              <w:rPr>
                <w:rFonts w:ascii="Times Roman" w:hAnsi="Times Roman"/>
                <w:rtl w:val="0"/>
              </w:rPr>
              <w:t>5)</w:t>
            </w:r>
          </w:p>
        </w:tc>
      </w:tr>
      <w:tr>
        <w:tblPrEx>
          <w:shd w:val="clear" w:color="auto" w:fill="ced7e7"/>
        </w:tblPrEx>
        <w:trPr>
          <w:trHeight w:val="100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Outcomes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14</w:t>
            </w:r>
            <w:r>
              <w:rPr>
                <w:rFonts w:ascii="Calibri" w:cs="Calibri" w:hAnsi="Calibri" w:eastAsia="Calibri"/>
                <w:outline w:val="0"/>
                <w:color w:val="000000"/>
                <w:sz w:val="22"/>
                <w:szCs w:val="22"/>
                <w:u w:color="000000"/>
                <w:shd w:val="nil" w:color="auto" w:fill="auto"/>
                <w14:textFill>
                  <w14:solidFill>
                    <w14:srgbClr w14:val="000000"/>
                  </w14:solidFill>
                </w14:textFill>
              </w:rPr>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Outcomes and measures (p.5)</w:t>
            </w:r>
          </w:p>
        </w:tc>
      </w:tr>
      <w:tr>
        <w:tblPrEx>
          <w:shd w:val="clear" w:color="auto" w:fill="ced7e7"/>
        </w:tblPrEx>
        <w:trPr>
          <w:trHeight w:val="113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Harms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15</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How harms were defined and assessed (e.g., systematically, non-systematically)</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Safety outcomes were not assessed in this secondary analysis; harms reported in the primary trial publication [8].</w:t>
            </w:r>
          </w:p>
        </w:tc>
      </w:tr>
      <w:tr>
        <w:tblPrEx>
          <w:shd w:val="clear" w:color="auto" w:fill="ced7e7"/>
        </w:tblPrEx>
        <w:trPr>
          <w:trHeight w:val="570"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Sample size</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16a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How sample size was determined, including all assumptions supporting the sample size calculation</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85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16b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Explanation of any interim analyses and stopping guidelines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Not applicable; reported in the primary trial publication if applicable.</w:t>
            </w:r>
          </w:p>
        </w:tc>
      </w:tr>
      <w:tr>
        <w:tblPrEx>
          <w:shd w:val="clear" w:color="auto" w:fill="ced7e7"/>
        </w:tblPrEx>
        <w:trPr>
          <w:trHeight w:val="22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Randomisation: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hint="default"/>
                <w:outline w:val="0"/>
                <w:color w:val="000000"/>
                <w:sz w:val="22"/>
                <w:szCs w:val="22"/>
                <w:u w:color="000000"/>
                <w:shd w:val="nil" w:color="auto" w:fill="auto"/>
                <w:rtl w:val="0"/>
                <w:lang w:val="en-US"/>
                <w14:textFill>
                  <w14:solidFill>
                    <w14:srgbClr w14:val="000000"/>
                  </w14:solidFill>
                </w14:textFill>
              </w:rPr>
              <w:t> </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hint="default"/>
                <w:outline w:val="0"/>
                <w:color w:val="000000"/>
                <w:sz w:val="22"/>
                <w:szCs w:val="22"/>
                <w:u w:color="000000"/>
                <w:shd w:val="nil" w:color="auto" w:fill="auto"/>
                <w:rtl w:val="0"/>
                <w:lang w:val="en-US"/>
                <w14:textFill>
                  <w14:solidFill>
                    <w14:srgbClr w14:val="000000"/>
                  </w14:solidFill>
                </w14:textFill>
              </w:rPr>
              <w:t>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70"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80"/>
            </w:tcMar>
            <w:vAlign w:val="top"/>
          </w:tcPr>
          <w:p>
            <w:pPr>
              <w:pStyle w:val="Text"/>
              <w:spacing w:line="240" w:lineRule="auto"/>
              <w:ind w:left="113" w:firstLine="0"/>
            </w:pPr>
            <w:r>
              <w:rPr>
                <w:rFonts w:ascii="Calibri" w:hAnsi="Calibri"/>
                <w:outline w:val="0"/>
                <w:color w:val="000000"/>
                <w:sz w:val="22"/>
                <w:szCs w:val="22"/>
                <w:u w:color="000000"/>
                <w:shd w:val="nil" w:color="auto" w:fill="auto"/>
                <w:rtl w:val="0"/>
                <w:lang w:val="en-US"/>
                <w14:textFill>
                  <w14:solidFill>
                    <w14:srgbClr w14:val="000000"/>
                  </w14:solidFill>
                </w14:textFill>
              </w:rPr>
              <w:t>Sequence generation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17a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Who generated the random allocation sequence and the method used</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57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17b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Type of randomisation and details of any restriction (e.g., stratification, blocking and block size)</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100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80"/>
            </w:tcMar>
            <w:vAlign w:val="top"/>
          </w:tcPr>
          <w:p>
            <w:pPr>
              <w:pStyle w:val="Text"/>
              <w:spacing w:line="240" w:lineRule="auto"/>
              <w:ind w:left="113" w:firstLine="0"/>
            </w:pPr>
            <w:r>
              <w:rPr>
                <w:rFonts w:ascii="Calibri" w:hAnsi="Calibri"/>
                <w:outline w:val="0"/>
                <w:color w:val="000000"/>
                <w:sz w:val="22"/>
                <w:szCs w:val="22"/>
                <w:u w:color="000000"/>
                <w:shd w:val="nil" w:color="auto" w:fill="auto"/>
                <w:rtl w:val="0"/>
                <w:lang w:val="en-US"/>
                <w14:textFill>
                  <w14:solidFill>
                    <w14:srgbClr w14:val="000000"/>
                  </w14:solidFill>
                </w14:textFill>
              </w:rPr>
              <w:t>Allocation concealment mechanism</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18</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Mechanism used to implement the random allocation sequence (e.g., central computer/telephone; sequentially numbered, opaque, sealed containers), describing any steps to conceal the sequence until interventions were assigned</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74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80"/>
            </w:tcMar>
            <w:vAlign w:val="top"/>
          </w:tcPr>
          <w:p>
            <w:pPr>
              <w:pStyle w:val="Text"/>
              <w:spacing w:line="240" w:lineRule="auto"/>
              <w:ind w:left="113" w:firstLine="0"/>
            </w:pPr>
            <w:r>
              <w:rPr>
                <w:rFonts w:ascii="Calibri" w:hAnsi="Calibri"/>
                <w:outline w:val="0"/>
                <w:color w:val="000000"/>
                <w:sz w:val="22"/>
                <w:szCs w:val="22"/>
                <w:u w:color="000000"/>
                <w:shd w:val="nil" w:color="auto" w:fill="auto"/>
                <w:rtl w:val="0"/>
                <w:lang w:val="en-US"/>
                <w14:textFill>
                  <w14:solidFill>
                    <w14:srgbClr w14:val="000000"/>
                  </w14:solidFill>
                </w14:textFill>
              </w:rPr>
              <w:t>Implementation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19</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Whether the personnel who enrolled and those who assigned participants to the interventions had access to the random allocation sequence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570"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Blinding</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20a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Who was blinded after assignment to interventions (e.g., participants, care providers, outcome assessors, data analysts)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57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20b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If blinded, how blinding was achieved and description of the similarity of interventions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481"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Statistical methods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21a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Statistical methods used to compare groups for primary and secondary outcomes, including harms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Statistical analysis (pp.5</w:t>
            </w:r>
            <w:r>
              <w:rPr>
                <w:rFonts w:ascii="Times Roman" w:hAnsi="Times Roman" w:hint="default"/>
                <w:rtl w:val="0"/>
              </w:rPr>
              <w:t>–</w:t>
            </w:r>
            <w:r>
              <w:rPr>
                <w:rFonts w:ascii="Times Roman" w:hAnsi="Times Roman"/>
                <w:rtl w:val="0"/>
              </w:rPr>
              <w:t>6)</w:t>
            </w:r>
          </w:p>
        </w:tc>
      </w:tr>
      <w:tr>
        <w:tblPrEx>
          <w:shd w:val="clear" w:color="auto" w:fill="ced7e7"/>
        </w:tblPrEx>
        <w:trPr>
          <w:trHeight w:val="481"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21b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Definition of who is included in each analysis (e.g., all randomised participants), and in which group</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Statistical analysis (pp.5</w:t>
            </w:r>
            <w:r>
              <w:rPr>
                <w:rFonts w:ascii="Times Roman" w:hAnsi="Times Roman" w:hint="default"/>
                <w:rtl w:val="0"/>
              </w:rPr>
              <w:t>–</w:t>
            </w:r>
            <w:r>
              <w:rPr>
                <w:rFonts w:ascii="Times Roman" w:hAnsi="Times Roman"/>
                <w:rtl w:val="0"/>
              </w:rPr>
              <w:t>6)</w:t>
            </w:r>
          </w:p>
        </w:tc>
      </w:tr>
      <w:tr>
        <w:tblPrEx>
          <w:shd w:val="clear" w:color="auto" w:fill="ced7e7"/>
        </w:tblPrEx>
        <w:trPr>
          <w:trHeight w:val="29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21c</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How missing data were handled in the analysis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Statistical analysis (p.6)</w:t>
            </w:r>
          </w:p>
        </w:tc>
      </w:tr>
      <w:tr>
        <w:tblPrEx>
          <w:shd w:val="clear" w:color="auto" w:fill="ced7e7"/>
        </w:tblPrEx>
        <w:trPr>
          <w:trHeight w:val="481"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21d</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Methods for any additional analyses (e.g., subgroup and sensitivity analyses), distinguishing prespecified from post-hoc</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Statistical analysis (p.6)</w:t>
            </w:r>
          </w:p>
        </w:tc>
      </w:tr>
      <w:tr>
        <w:tblPrEx>
          <w:shd w:val="clear" w:color="auto" w:fill="ced7e7"/>
        </w:tblPrEx>
        <w:trPr>
          <w:trHeight w:val="221" w:hRule="atLeast"/>
        </w:trPr>
        <w:tc>
          <w:tcPr>
            <w:tcW w:type="dxa" w:w="101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d7ee"/>
            <w:tcMar>
              <w:top w:type="dxa" w:w="80"/>
              <w:left w:type="dxa" w:w="80"/>
              <w:bottom w:type="dxa" w:w="80"/>
              <w:right w:type="dxa" w:w="80"/>
            </w:tcMar>
            <w:vAlign w:val="bottom"/>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Results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r>
      <w:tr>
        <w:tblPrEx>
          <w:shd w:val="clear" w:color="auto" w:fill="ced7e7"/>
        </w:tblPrEx>
        <w:trPr>
          <w:trHeight w:val="1410"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Participant flow, including flow diagram</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22a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For each group, the numbers of participants who were randomly assigned, received intended intervention, and were analysed for the primary outcome</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Participant flow reported in the primary PICTURE trial publication [8]. Numbers included in the present secondary analysis reported in Results (pp.6</w:t>
            </w:r>
            <w:r>
              <w:rPr>
                <w:rFonts w:ascii="Times Roman" w:hAnsi="Times Roman" w:hint="default"/>
                <w:rtl w:val="0"/>
              </w:rPr>
              <w:t>–</w:t>
            </w:r>
            <w:r>
              <w:rPr>
                <w:rFonts w:ascii="Times Roman" w:hAnsi="Times Roman"/>
                <w:rtl w:val="0"/>
              </w:rPr>
              <w:t>8).</w:t>
            </w:r>
          </w:p>
        </w:tc>
      </w:tr>
      <w:tr>
        <w:tblPrEx>
          <w:shd w:val="clear" w:color="auto" w:fill="ced7e7"/>
        </w:tblPrEx>
        <w:trPr>
          <w:trHeight w:val="141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22b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For each group, losses and exclusions after randomisation, together with reasons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Participant flow reported in the primary trial publication [8]. Additional exclusions for this secondary analysis described in Statistical analysis (p.5).</w:t>
            </w:r>
          </w:p>
        </w:tc>
      </w:tr>
      <w:tr>
        <w:tblPrEx>
          <w:shd w:val="clear" w:color="auto" w:fill="ced7e7"/>
        </w:tblPrEx>
        <w:trPr>
          <w:trHeight w:val="481"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Recruitment</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23a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Dates defining the periods of recruitment and follow-up for outcomes of benefits and harms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design and participants (p.4)</w:t>
            </w:r>
          </w:p>
        </w:tc>
      </w:tr>
      <w:tr>
        <w:tblPrEx>
          <w:shd w:val="clear" w:color="auto" w:fill="ced7e7"/>
        </w:tblPrEx>
        <w:trPr>
          <w:trHeight w:val="57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23b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If relevant, why the trial ended or was stopped</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Reported in the primary PICTURE trial publication [8].</w:t>
            </w:r>
          </w:p>
        </w:tc>
      </w:tr>
      <w:tr>
        <w:tblPrEx>
          <w:shd w:val="clear" w:color="auto" w:fill="ced7e7"/>
        </w:tblPrEx>
        <w:trPr>
          <w:trHeight w:val="741" w:hRule="atLeast"/>
        </w:trPr>
        <w:tc>
          <w:tcPr>
            <w:tcW w:type="dxa" w:w="24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Intervention and comparator delivery</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24a</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Intervention and comparator as they were actually administered (e.g., where appropriate, who delivered the intervention/comparator, how participants adhered, whether they were delivered as intended [fidelity])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procedures (pp.4</w:t>
            </w:r>
            <w:r>
              <w:rPr>
                <w:rFonts w:ascii="Times Roman" w:hAnsi="Times Roman" w:hint="default"/>
                <w:rtl w:val="0"/>
              </w:rPr>
              <w:t>–</w:t>
            </w:r>
            <w:r>
              <w:rPr>
                <w:rFonts w:ascii="Times Roman" w:hAnsi="Times Roman"/>
                <w:rtl w:val="0"/>
              </w:rPr>
              <w:t>5); Results (Protocol adherence, pp.6</w:t>
            </w:r>
            <w:r>
              <w:rPr>
                <w:rFonts w:ascii="Times Roman" w:hAnsi="Times Roman" w:hint="default"/>
                <w:rtl w:val="0"/>
              </w:rPr>
              <w:t>–</w:t>
            </w:r>
            <w:r>
              <w:rPr>
                <w:rFonts w:ascii="Times Roman" w:hAnsi="Times Roman"/>
                <w:rtl w:val="0"/>
              </w:rPr>
              <w:t>7).</w:t>
            </w:r>
          </w:p>
        </w:tc>
      </w:tr>
      <w:tr>
        <w:tblPrEx>
          <w:shd w:val="clear" w:color="auto" w:fill="ced7e7"/>
        </w:tblPrEx>
        <w:trPr>
          <w:trHeight w:val="290" w:hRule="atLeast"/>
        </w:trPr>
        <w:tc>
          <w:tcPr>
            <w:tcW w:type="dxa" w:w="24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24b</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Concomitant care received during the trial for each group</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Study procedures (pp.4</w:t>
            </w:r>
            <w:r>
              <w:rPr>
                <w:rFonts w:ascii="Times Roman" w:hAnsi="Times Roman" w:hint="default"/>
                <w:rtl w:val="0"/>
              </w:rPr>
              <w:t>–</w:t>
            </w:r>
            <w:r>
              <w:rPr>
                <w:rFonts w:ascii="Times Roman" w:hAnsi="Times Roman"/>
                <w:rtl w:val="0"/>
              </w:rPr>
              <w:t>5).</w:t>
            </w:r>
          </w:p>
        </w:tc>
      </w:tr>
      <w:tr>
        <w:tblPrEx>
          <w:shd w:val="clear" w:color="auto" w:fill="ced7e7"/>
        </w:tblPrEx>
        <w:trPr>
          <w:trHeight w:val="57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Baseline data</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25</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A table showing baseline demographic and clinical characteristics for each group</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Results (p.6); Supplementary Table 1.</w:t>
            </w:r>
          </w:p>
        </w:tc>
      </w:tr>
      <w:tr>
        <w:tblPrEx>
          <w:shd w:val="clear" w:color="auto" w:fill="ced7e7"/>
        </w:tblPrEx>
        <w:trPr>
          <w:trHeight w:val="204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rPr>
                <w:rFonts w:ascii="Calibri" w:cs="Calibri" w:hAnsi="Calibri" w:eastAsia="Calibri"/>
                <w:outline w:val="0"/>
                <w:color w:val="000000"/>
                <w:sz w:val="22"/>
                <w:szCs w:val="22"/>
                <w:u w:color="000000"/>
                <w:shd w:val="nil" w:color="auto" w:fill="auto"/>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Numbers analysed, </w:t>
            </w:r>
          </w:p>
          <w:p>
            <w:pPr>
              <w:pStyle w:val="Text"/>
              <w:bidi w:val="0"/>
              <w:spacing w:line="240" w:lineRule="auto"/>
              <w:ind w:left="0" w:right="0" w:firstLine="0"/>
              <w:jc w:val="left"/>
              <w:rPr>
                <w:rtl w:val="0"/>
              </w:rPr>
            </w:pPr>
            <w:r>
              <w:rPr>
                <w:rFonts w:ascii="Calibri" w:hAnsi="Calibri"/>
                <w:outline w:val="0"/>
                <w:color w:val="000000"/>
                <w:sz w:val="22"/>
                <w:szCs w:val="22"/>
                <w:u w:color="000000"/>
                <w:shd w:val="nil" w:color="auto" w:fill="auto"/>
                <w:rtl w:val="0"/>
                <w:lang w:val="en-US"/>
                <w14:textFill>
                  <w14:solidFill>
                    <w14:srgbClr w14:val="000000"/>
                  </w14:solidFill>
                </w14:textFill>
              </w:rPr>
              <w:t>outcomes and estimation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26</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rPr>
                <w:rFonts w:ascii="Calibri" w:cs="Calibri" w:hAnsi="Calibri" w:eastAsia="Calibri"/>
                <w:outline w:val="0"/>
                <w:color w:val="000000"/>
                <w:sz w:val="22"/>
                <w:szCs w:val="22"/>
                <w:u w:color="000000"/>
                <w:shd w:val="nil" w:color="auto" w:fill="auto"/>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For each primary and secondary outcome, by group: </w:t>
            </w:r>
          </w:p>
          <w:p>
            <w:pPr>
              <w:pStyle w:val="Text"/>
              <w:numPr>
                <w:ilvl w:val="0"/>
                <w:numId w:val="1"/>
              </w:numPr>
              <w:bidi w:val="0"/>
              <w:spacing w:line="240" w:lineRule="auto"/>
              <w:ind w:right="0"/>
              <w:jc w:val="left"/>
              <w:rPr>
                <w:outline w:val="0"/>
                <w:color w:val="000000"/>
                <w:sz w:val="22"/>
                <w:szCs w:val="22"/>
                <w:u w:color="000000"/>
                <w:rtl w:val="0"/>
                <w:lang w:val="en-US"/>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the number of participants included in the analysis </w:t>
            </w:r>
          </w:p>
          <w:p>
            <w:pPr>
              <w:pStyle w:val="Text"/>
              <w:numPr>
                <w:ilvl w:val="0"/>
                <w:numId w:val="1"/>
              </w:numPr>
              <w:bidi w:val="0"/>
              <w:spacing w:line="240" w:lineRule="auto"/>
              <w:ind w:right="0"/>
              <w:jc w:val="left"/>
              <w:rPr>
                <w:outline w:val="0"/>
                <w:color w:val="000000"/>
                <w:sz w:val="22"/>
                <w:szCs w:val="22"/>
                <w:u w:color="000000"/>
                <w:rtl w:val="0"/>
                <w:lang w:val="en-US"/>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the number of participants with available data at the outcome time point</w:t>
            </w:r>
          </w:p>
          <w:p>
            <w:pPr>
              <w:pStyle w:val="Text"/>
              <w:numPr>
                <w:ilvl w:val="0"/>
                <w:numId w:val="1"/>
              </w:numPr>
              <w:bidi w:val="0"/>
              <w:spacing w:line="240" w:lineRule="auto"/>
              <w:ind w:right="0"/>
              <w:jc w:val="left"/>
              <w:rPr>
                <w:outline w:val="0"/>
                <w:color w:val="000000"/>
                <w:sz w:val="22"/>
                <w:szCs w:val="22"/>
                <w:u w:color="000000"/>
                <w:rtl w:val="0"/>
                <w:lang w:val="en-US"/>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result for each group, and the estimated effect size and its precision (such as 95% confidence interval) </w:t>
            </w:r>
          </w:p>
          <w:p>
            <w:pPr>
              <w:pStyle w:val="Text"/>
              <w:numPr>
                <w:ilvl w:val="0"/>
                <w:numId w:val="1"/>
              </w:numPr>
              <w:bidi w:val="0"/>
              <w:spacing w:after="160" w:line="240" w:lineRule="auto"/>
              <w:ind w:right="0"/>
              <w:jc w:val="left"/>
              <w:rPr>
                <w:outline w:val="0"/>
                <w:color w:val="000000"/>
                <w:sz w:val="22"/>
                <w:szCs w:val="22"/>
                <w:u w:color="000000"/>
                <w:rtl w:val="0"/>
                <w:lang w:val="en-US"/>
                <w14:textFill>
                  <w14:solidFill>
                    <w14:srgbClr w14:val="000000"/>
                  </w14:solidFill>
                </w14:textFill>
              </w:rPr>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for binary outcomes, presentation of both absolute and relative effect size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Results (pp.6</w:t>
            </w:r>
            <w:r>
              <w:rPr>
                <w:rFonts w:ascii="Times Roman" w:hAnsi="Times Roman" w:hint="default"/>
                <w:rtl w:val="0"/>
              </w:rPr>
              <w:t>–</w:t>
            </w:r>
            <w:r>
              <w:rPr>
                <w:rFonts w:ascii="Times Roman" w:hAnsi="Times Roman"/>
                <w:rtl w:val="0"/>
              </w:rPr>
              <w:t>8); Table 1; Supplementary Table 2.</w:t>
            </w:r>
          </w:p>
        </w:tc>
      </w:tr>
      <w:tr>
        <w:tblPrEx>
          <w:shd w:val="clear" w:color="auto" w:fill="ced7e7"/>
        </w:tblPrEx>
        <w:trPr>
          <w:trHeight w:val="1130"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Harms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27</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 xml:space="preserve">All harms or unintended events in each group </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Safety outcomes were not assessed in this secondary analysis; harms reported in the primary trial publication [8].</w:t>
            </w:r>
          </w:p>
        </w:tc>
      </w:tr>
      <w:tr>
        <w:tblPrEx>
          <w:shd w:val="clear" w:color="auto" w:fill="ced7e7"/>
        </w:tblPrEx>
        <w:trPr>
          <w:trHeight w:val="48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Ancillary analyses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28</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Any other analyses performed, including subgroup and sensitivity analyses, distinguishing pre-specified from post-hoc</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Sensitivity analyses (pp.7</w:t>
            </w:r>
            <w:r>
              <w:rPr>
                <w:rFonts w:ascii="Times Roman" w:hAnsi="Times Roman" w:hint="default"/>
                <w:rtl w:val="0"/>
              </w:rPr>
              <w:t>–</w:t>
            </w:r>
            <w:r>
              <w:rPr>
                <w:rFonts w:ascii="Times Roman" w:hAnsi="Times Roman"/>
                <w:rtl w:val="0"/>
              </w:rPr>
              <w:t>8).</w:t>
            </w:r>
          </w:p>
        </w:tc>
      </w:tr>
      <w:tr>
        <w:tblPrEx>
          <w:shd w:val="clear" w:color="auto" w:fill="ced7e7"/>
        </w:tblPrEx>
        <w:trPr>
          <w:trHeight w:val="221" w:hRule="atLeast"/>
        </w:trPr>
        <w:tc>
          <w:tcPr>
            <w:tcW w:type="dxa" w:w="1016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d7ee"/>
            <w:tcMar>
              <w:top w:type="dxa" w:w="80"/>
              <w:left w:type="dxa" w:w="80"/>
              <w:bottom w:type="dxa" w:w="80"/>
              <w:right w:type="dxa" w:w="80"/>
            </w:tcMar>
            <w:vAlign w:val="top"/>
          </w:tcPr>
          <w:p>
            <w:pPr>
              <w:pStyle w:val="Text"/>
              <w:spacing w:line="240" w:lineRule="auto"/>
            </w:pPr>
            <w:r>
              <w:rPr>
                <w:rFonts w:ascii="Calibri" w:hAnsi="Calibri"/>
                <w:b w:val="1"/>
                <w:bCs w:val="1"/>
                <w:outline w:val="0"/>
                <w:color w:val="000000"/>
                <w:sz w:val="22"/>
                <w:szCs w:val="22"/>
                <w:u w:color="000000"/>
                <w:shd w:val="nil" w:color="auto" w:fill="auto"/>
                <w:rtl w:val="0"/>
                <w:lang w:val="en-US"/>
                <w14:textFill>
                  <w14:solidFill>
                    <w14:srgbClr w14:val="000000"/>
                  </w14:solidFill>
                </w14:textFill>
              </w:rPr>
              <w:t>Discussion</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r>
      <w:tr>
        <w:tblPrEx>
          <w:shd w:val="clear" w:color="auto" w:fill="ced7e7"/>
        </w:tblPrEx>
        <w:trPr>
          <w:trHeight w:val="48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Interpretation</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29</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Interpretation consistent with results, balancing benefits and harms, and considering other relevant evidence</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Discussion (pp.8</w:t>
            </w:r>
            <w:r>
              <w:rPr>
                <w:rFonts w:ascii="Times Roman" w:hAnsi="Times Roman" w:hint="default"/>
                <w:rtl w:val="0"/>
              </w:rPr>
              <w:t>–</w:t>
            </w:r>
            <w:r>
              <w:rPr>
                <w:rFonts w:ascii="Times Roman" w:hAnsi="Times Roman"/>
                <w:rtl w:val="0"/>
              </w:rPr>
              <w:t>11)</w:t>
            </w:r>
          </w:p>
        </w:tc>
      </w:tr>
      <w:tr>
        <w:tblPrEx>
          <w:shd w:val="clear" w:color="auto" w:fill="ced7e7"/>
        </w:tblPrEx>
        <w:trPr>
          <w:trHeight w:val="481" w:hRule="atLeast"/>
        </w:trPr>
        <w:tc>
          <w:tcPr>
            <w:tcW w:type="dxa" w:w="24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Limitations</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jc w:val="center"/>
            </w:pPr>
            <w:r>
              <w:rPr>
                <w:rFonts w:ascii="Calibri" w:hAnsi="Calibri"/>
                <w:outline w:val="0"/>
                <w:color w:val="000000"/>
                <w:sz w:val="22"/>
                <w:szCs w:val="22"/>
                <w:u w:color="000000"/>
                <w:shd w:val="nil" w:color="auto" w:fill="auto"/>
                <w:rtl w:val="0"/>
                <w:lang w:val="en-US"/>
                <w14:textFill>
                  <w14:solidFill>
                    <w14:srgbClr w14:val="000000"/>
                  </w14:solidFill>
                </w14:textFill>
              </w:rPr>
              <w:t>30</w:t>
            </w:r>
          </w:p>
        </w:tc>
        <w:tc>
          <w:tcPr>
            <w:tcW w:type="dxa" w:w="6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
              <w:spacing w:line="240" w:lineRule="auto"/>
            </w:pPr>
            <w:r>
              <w:rPr>
                <w:rFonts w:ascii="Calibri" w:hAnsi="Calibri"/>
                <w:outline w:val="0"/>
                <w:color w:val="000000"/>
                <w:sz w:val="22"/>
                <w:szCs w:val="22"/>
                <w:u w:color="000000"/>
                <w:shd w:val="nil" w:color="auto" w:fill="auto"/>
                <w:rtl w:val="0"/>
                <w:lang w:val="en-US"/>
                <w14:textFill>
                  <w14:solidFill>
                    <w14:srgbClr w14:val="000000"/>
                  </w14:solidFill>
                </w14:textFill>
              </w:rPr>
              <w:t>Trial limitations, addressing sources of potential bias, imprecision, generalisability, and, if relevant, multiplicity of analyses</w:t>
            </w:r>
          </w:p>
        </w:tc>
        <w:tc>
          <w:tcPr>
            <w:tcW w:type="dxa" w:w="3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suppressAutoHyphens w:val="1"/>
              <w:spacing w:before="0" w:line="240" w:lineRule="auto"/>
            </w:pPr>
            <w:r>
              <w:rPr>
                <w:rFonts w:ascii="Times Roman" w:hAnsi="Times Roman"/>
                <w:rtl w:val="0"/>
              </w:rPr>
              <w:t>Strengths and limitations (pp.10</w:t>
            </w:r>
            <w:r>
              <w:rPr>
                <w:rFonts w:ascii="Times Roman" w:hAnsi="Times Roman" w:hint="default"/>
                <w:rtl w:val="0"/>
              </w:rPr>
              <w:t>–</w:t>
            </w:r>
            <w:r>
              <w:rPr>
                <w:rFonts w:ascii="Times Roman" w:hAnsi="Times Roman"/>
                <w:rtl w:val="0"/>
              </w:rPr>
              <w:t>11)</w:t>
            </w:r>
          </w:p>
        </w:tc>
      </w:tr>
    </w:tbl>
    <w:p>
      <w:pPr>
        <w:pStyle w:val="Text"/>
        <w:widowControl w:val="0"/>
        <w:spacing w:line="240" w:lineRule="auto"/>
        <w:jc w:val="both"/>
        <w:rPr>
          <w:rFonts w:ascii="Calibri" w:cs="Calibri" w:hAnsi="Calibri" w:eastAsia="Calibri"/>
          <w:b w:val="1"/>
          <w:bCs w:val="1"/>
          <w:outline w:val="0"/>
          <w:color w:val="000000"/>
          <w:sz w:val="22"/>
          <w:szCs w:val="22"/>
          <w:u w:color="000000"/>
          <w14:textFill>
            <w14:solidFill>
              <w14:srgbClr w14:val="000000"/>
            </w14:solidFill>
          </w14:textFill>
        </w:rPr>
      </w:pPr>
    </w:p>
    <w:p>
      <w:pPr>
        <w:pStyle w:val="Text"/>
        <w:spacing w:line="240" w:lineRule="auto"/>
        <w:rPr>
          <w:rFonts w:ascii="Calibri" w:cs="Calibri" w:hAnsi="Calibri" w:eastAsia="Calibri"/>
          <w:b w:val="1"/>
          <w:bCs w:val="1"/>
          <w:sz w:val="22"/>
          <w:szCs w:val="22"/>
          <w:lang w:val="en-US"/>
        </w:rPr>
      </w:pPr>
    </w:p>
    <w:p>
      <w:pPr>
        <w:pStyle w:val="TableNote"/>
        <w:tabs>
          <w:tab w:val="left" w:pos="4830"/>
        </w:tabs>
        <w:spacing w:line="240" w:lineRule="auto"/>
        <w:rPr>
          <w:rFonts w:ascii="Calibri" w:cs="Calibri" w:hAnsi="Calibri" w:eastAsia="Calibri"/>
          <w:sz w:val="20"/>
          <w:szCs w:val="20"/>
        </w:rPr>
      </w:pPr>
      <w:r>
        <w:rPr>
          <w:rFonts w:ascii="Calibri" w:hAnsi="Calibri"/>
          <w:sz w:val="20"/>
          <w:szCs w:val="20"/>
          <w:rtl w:val="0"/>
          <w:lang w:val="en-US"/>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rPr>
          <w:rStyle w:val="Hyperlink.0"/>
        </w:rPr>
        <w:fldChar w:fldCharType="begin" w:fldLock="0"/>
      </w:r>
      <w:r>
        <w:rPr>
          <w:rStyle w:val="Hyperlink.0"/>
        </w:rPr>
        <w:instrText xml:space="preserve"> HYPERLINK "http://www.consort-spirit.org"</w:instrText>
      </w:r>
      <w:r>
        <w:rPr>
          <w:rStyle w:val="Hyperlink.0"/>
        </w:rPr>
        <w:fldChar w:fldCharType="separate" w:fldLock="0"/>
      </w:r>
      <w:r>
        <w:rPr>
          <w:rStyle w:val="Hyperlink.0"/>
          <w:rtl w:val="0"/>
          <w:lang w:val="en-US"/>
        </w:rPr>
        <w:t>www.consort-spirit.org</w:t>
      </w:r>
      <w:r>
        <w:rPr/>
        <w:fldChar w:fldCharType="end" w:fldLock="0"/>
      </w:r>
      <w:r>
        <w:rPr>
          <w:rFonts w:ascii="Calibri" w:hAnsi="Calibri"/>
          <w:outline w:val="0"/>
          <w:color w:val="0070c0"/>
          <w:sz w:val="20"/>
          <w:szCs w:val="20"/>
          <w:u w:color="0070c0"/>
          <w:rtl w:val="0"/>
          <w:lang w:val="en-US"/>
          <w14:textFill>
            <w14:solidFill>
              <w14:srgbClr w14:val="0070C0"/>
            </w14:solidFill>
          </w14:textFill>
        </w:rPr>
        <w:t>.</w:t>
      </w:r>
    </w:p>
    <w:p>
      <w:pPr>
        <w:pStyle w:val="Text"/>
        <w:spacing w:line="240" w:lineRule="auto"/>
        <w:rPr>
          <w:rFonts w:ascii="Calibri" w:cs="Calibri" w:hAnsi="Calibri" w:eastAsia="Calibri"/>
          <w:b w:val="1"/>
          <w:bCs w:val="1"/>
          <w:sz w:val="20"/>
          <w:szCs w:val="20"/>
          <w:lang w:val="en-US"/>
        </w:rPr>
      </w:pPr>
    </w:p>
    <w:p>
      <w:pPr>
        <w:pStyle w:val="TableNote"/>
        <w:tabs>
          <w:tab w:val="left" w:pos="4830"/>
        </w:tabs>
        <w:spacing w:line="240" w:lineRule="auto"/>
        <w:rPr>
          <w:rFonts w:ascii="Calibri" w:cs="Calibri" w:hAnsi="Calibri" w:eastAsia="Calibri"/>
          <w:sz w:val="20"/>
          <w:szCs w:val="20"/>
        </w:rPr>
      </w:pPr>
      <w:r>
        <w:rPr>
          <w:rFonts w:ascii="Calibri" w:hAnsi="Calibri"/>
          <w:sz w:val="20"/>
          <w:szCs w:val="20"/>
          <w:rtl w:val="0"/>
          <w:lang w:val="en-US"/>
        </w:rPr>
        <w:t>Citation: Hopewell S, Chan AW, Collins GS, Hr</w:t>
      </w:r>
      <w:r>
        <w:rPr>
          <w:rFonts w:ascii="Calibri" w:hAnsi="Calibri" w:hint="default"/>
          <w:sz w:val="20"/>
          <w:szCs w:val="20"/>
          <w:rtl w:val="0"/>
          <w:lang w:val="en-US"/>
        </w:rPr>
        <w:t>ó</w:t>
      </w:r>
      <w:r>
        <w:rPr>
          <w:rFonts w:ascii="Calibri" w:hAnsi="Calibri"/>
          <w:sz w:val="20"/>
          <w:szCs w:val="20"/>
          <w:rtl w:val="0"/>
          <w:lang w:val="en-US"/>
        </w:rPr>
        <w:t xml:space="preserve">bjartsson A, Moher D, Schulz KF, et al. CONSORT 2025 Statement: updated guideline for reporting randomised trials. BMJ. 2025; 388:e081123. </w:t>
      </w:r>
      <w:r>
        <w:rPr>
          <w:rStyle w:val="Hyperlink.0"/>
        </w:rPr>
        <w:fldChar w:fldCharType="begin" w:fldLock="0"/>
      </w:r>
      <w:r>
        <w:rPr>
          <w:rStyle w:val="Hyperlink.0"/>
        </w:rPr>
        <w:instrText xml:space="preserve"> HYPERLINK "https://dx.doi.org/10.1136/bmj-2024-081123"</w:instrText>
      </w:r>
      <w:r>
        <w:rPr>
          <w:rStyle w:val="Hyperlink.0"/>
        </w:rPr>
        <w:fldChar w:fldCharType="separate" w:fldLock="0"/>
      </w:r>
      <w:r>
        <w:rPr>
          <w:rStyle w:val="Hyperlink.0"/>
          <w:rtl w:val="0"/>
          <w:lang w:val="en-US"/>
        </w:rPr>
        <w:t>https://dx.doi.org/10.1136/bmj-2024-081123</w:t>
      </w:r>
      <w:r>
        <w:rPr/>
        <w:fldChar w:fldCharType="end" w:fldLock="0"/>
      </w:r>
      <w:r>
        <w:rPr>
          <w:rFonts w:ascii="Calibri" w:hAnsi="Calibri"/>
          <w:outline w:val="0"/>
          <w:color w:val="0070c0"/>
          <w:sz w:val="20"/>
          <w:szCs w:val="20"/>
          <w:u w:color="0070c0"/>
          <w:rtl w:val="0"/>
          <w:lang w:val="en-US"/>
          <w14:textFill>
            <w14:solidFill>
              <w14:srgbClr w14:val="0070C0"/>
            </w14:solidFill>
          </w14:textFill>
        </w:rPr>
        <w:t xml:space="preserve">. </w:t>
      </w:r>
    </w:p>
    <w:p>
      <w:pPr>
        <w:pStyle w:val="TableNote"/>
        <w:tabs>
          <w:tab w:val="left" w:pos="4830"/>
        </w:tabs>
        <w:spacing w:line="240" w:lineRule="auto"/>
      </w:pPr>
      <w:r>
        <w:rPr>
          <w:rFonts w:ascii="Calibri" w:cs="Calibri" w:hAnsi="Calibri" w:eastAsia="Calibri"/>
          <w:sz w:val="20"/>
          <w:szCs w:val="20"/>
          <w:rtl w:val="0"/>
        </w:rPr>
        <w:br w:type="textWrapping"/>
        <w:t xml:space="preserve">© </w:t>
      </w:r>
      <w:r>
        <w:rPr>
          <w:rFonts w:ascii="Calibri" w:hAnsi="Calibri"/>
          <w:sz w:val="20"/>
          <w:szCs w:val="20"/>
          <w:rtl w:val="0"/>
          <w:lang w:val="en-US"/>
        </w:rPr>
        <w:t>2025 Hopewell et al. This is an Open Access article distributed under the terms of the Creative Commons Attribution License (</w:t>
      </w:r>
      <w:r>
        <w:rPr>
          <w:rStyle w:val="Hyperlink.0"/>
        </w:rPr>
        <w:fldChar w:fldCharType="begin" w:fldLock="0"/>
      </w:r>
      <w:r>
        <w:rPr>
          <w:rStyle w:val="Hyperlink.0"/>
        </w:rPr>
        <w:instrText xml:space="preserve"> HYPERLINK "https://creativecommons.org/licenses/by/4.0/"</w:instrText>
      </w:r>
      <w:r>
        <w:rPr>
          <w:rStyle w:val="Hyperlink.0"/>
        </w:rPr>
        <w:fldChar w:fldCharType="separate" w:fldLock="0"/>
      </w:r>
      <w:r>
        <w:rPr>
          <w:rStyle w:val="Hyperlink.0"/>
          <w:rtl w:val="0"/>
          <w:lang w:val="en-US"/>
        </w:rPr>
        <w:t>https://creativecommons.org/licenses/by/4.0/</w:t>
      </w:r>
      <w:r>
        <w:rPr/>
        <w:fldChar w:fldCharType="end" w:fldLock="0"/>
      </w:r>
      <w:r>
        <w:rPr>
          <w:rFonts w:ascii="Calibri" w:hAnsi="Calibri"/>
          <w:sz w:val="20"/>
          <w:szCs w:val="20"/>
          <w:rtl w:val="0"/>
          <w:lang w:val="en-US"/>
        </w:rPr>
        <w:t>), which permits unrestricted use, distribution, and reproduction in any medium, provided the original work is properly cited.</w:t>
      </w:r>
    </w:p>
    <w:sectPr>
      <w:headerReference w:type="default" r:id="rId4"/>
      <w:footerReference w:type="default" r:id="rId5"/>
      <w:pgSz w:w="16840" w:h="11900" w:orient="landscape"/>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 w:name="Times Roman">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333333"/>
      <w:spacing w:val="0"/>
      <w:kern w:val="0"/>
      <w:position w:val="0"/>
      <w:sz w:val="24"/>
      <w:szCs w:val="24"/>
      <w:u w:val="none" w:color="333333"/>
      <w:shd w:val="nil" w:color="auto" w:fill="auto"/>
      <w:vertAlign w:val="baseline"/>
      <w:lang w:val="en-US"/>
      <w14:textFill>
        <w14:solidFill>
          <w14:srgbClr w14:val="333333"/>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48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333333"/>
      <w:spacing w:val="0"/>
      <w:kern w:val="0"/>
      <w:position w:val="0"/>
      <w:sz w:val="24"/>
      <w:szCs w:val="24"/>
      <w:u w:val="none" w:color="333333"/>
      <w:shd w:val="nil" w:color="auto" w:fill="auto"/>
      <w:vertAlign w:val="baseline"/>
      <w:lang w:val="en-US"/>
      <w14:textOutline>
        <w14:noFill/>
      </w14:textOutline>
      <w14:textFill>
        <w14:solidFill>
          <w14:srgbClr w14:val="333333"/>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ableNote">
    <w:name w:val="TableNote"/>
    <w:next w:val="TableNote"/>
    <w:pPr>
      <w:keepNext w:val="0"/>
      <w:keepLines w:val="0"/>
      <w:pageBreakBefore w:val="0"/>
      <w:widowControl w:val="1"/>
      <w:shd w:val="clear" w:color="auto" w:fill="auto"/>
      <w:suppressAutoHyphens w:val="0"/>
      <w:bidi w:val="0"/>
      <w:spacing w:before="0" w:after="0" w:line="300" w:lineRule="exact"/>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Link">
    <w:name w:val="Link"/>
    <w:rPr>
      <w:outline w:val="0"/>
      <w:color w:val="cc0000"/>
      <w:u w:val="single" w:color="cc0000"/>
      <w14:textFill>
        <w14:solidFill>
          <w14:srgbClr w14:val="CC0000"/>
        </w14:solidFill>
      </w14:textFill>
    </w:rPr>
  </w:style>
  <w:style w:type="character" w:styleId="Hyperlink.0">
    <w:name w:val="Hyperlink.0"/>
    <w:basedOn w:val="Link"/>
    <w:next w:val="Hyperlink.0"/>
    <w:rPr>
      <w:rFonts w:ascii="Calibri" w:cs="Calibri" w:hAnsi="Calibri" w:eastAsia="Calibri"/>
      <w:outline w:val="0"/>
      <w:color w:val="0070c0"/>
      <w:sz w:val="20"/>
      <w:szCs w:val="20"/>
      <w:u w:color="0070c0"/>
      <w14:textFill>
        <w14:solidFill>
          <w14:srgbClr w14:val="0070C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