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1C804" w14:textId="77777777" w:rsidR="00A1531E" w:rsidRDefault="00000000">
      <w:pPr>
        <w:spacing w:after="200"/>
        <w:jc w:val="center"/>
      </w:pPr>
      <w:r>
        <w:rPr>
          <w:b/>
          <w:bCs/>
          <w:sz w:val="36"/>
          <w:szCs w:val="36"/>
        </w:rPr>
        <w:t>The Rasa-Śarīra Scale (RSS-25):</w:t>
      </w:r>
    </w:p>
    <w:p w14:paraId="20C333A6" w14:textId="77777777" w:rsidR="00A1531E" w:rsidRDefault="00000000">
      <w:pPr>
        <w:spacing w:after="240"/>
        <w:jc w:val="center"/>
      </w:pPr>
      <w:r>
        <w:rPr>
          <w:b/>
          <w:bCs/>
          <w:color w:val="1F2A4A"/>
          <w:sz w:val="30"/>
          <w:szCs w:val="30"/>
        </w:rPr>
        <w:t>A Construction Manual</w:t>
      </w:r>
    </w:p>
    <w:p w14:paraId="7BA12185" w14:textId="77777777" w:rsidR="00A1531E" w:rsidRDefault="00000000">
      <w:pPr>
        <w:spacing w:after="120" w:line="320" w:lineRule="auto"/>
        <w:jc w:val="center"/>
      </w:pPr>
      <w:r>
        <w:rPr>
          <w:i/>
          <w:iCs/>
        </w:rPr>
        <w:t>Theoretical Foundations, Item-by-Item Provenance, and Resource Bibliography</w:t>
      </w:r>
    </w:p>
    <w:p w14:paraId="6F8FF0B0" w14:textId="77777777" w:rsidR="00A1531E" w:rsidRDefault="00000000">
      <w:pPr>
        <w:spacing w:after="120" w:line="320" w:lineRule="auto"/>
        <w:jc w:val="center"/>
      </w:pPr>
      <w:r>
        <w:rPr>
          <w:i/>
          <w:iCs/>
        </w:rPr>
        <w:t>Companion document to the preliminary validation study (N = 31)</w:t>
      </w:r>
    </w:p>
    <w:p w14:paraId="00117612" w14:textId="77777777" w:rsidR="00A1531E" w:rsidRDefault="00000000">
      <w:pPr>
        <w:pStyle w:val="Heading1"/>
        <w:spacing w:before="280" w:after="140"/>
      </w:pPr>
      <w:r>
        <w:t>Overview</w:t>
      </w:r>
    </w:p>
    <w:p w14:paraId="38EB33D5" w14:textId="77777777" w:rsidR="00A1531E" w:rsidRDefault="00000000">
      <w:pPr>
        <w:spacing w:after="120" w:line="320" w:lineRule="auto"/>
        <w:jc w:val="both"/>
      </w:pPr>
      <w:r>
        <w:t>The Rasa-Śarīra Scale (RSS-25) is a 25-item self-report instrument designed to measure the embodied dimensions of aesthetic experience in encounters with architectural heritage. The instrument is grounded in classical Indian aesthetic theory (rasa-śāstra), specifically Bharata's Nāṭyaśāstra (c. 200 BCE – 200 CE) and Abhinavagupta's tenth-eleventh-century commentary, the Abhinavabhāratī. Items are organised in five hypothesised stages of embodied engagement—Kāma, Līlā, Anubhava, Mahā-bhāva, Yoga-Sthiti—each indexed by five items anchored to a specific body region. Each item is rated on a 7-point Likert scale (1 = strongly disagree to 7 = strongly agree). The instrument was administered to N = 31 raters following an encounter with the Vijaya Vittala Temple (Hampi, Karnataka), in either physical or immersive-VR form.</w:t>
      </w:r>
    </w:p>
    <w:p w14:paraId="32303B10" w14:textId="77777777" w:rsidR="00A1531E" w:rsidRDefault="00000000">
      <w:pPr>
        <w:spacing w:after="120" w:line="320" w:lineRule="auto"/>
        <w:jc w:val="both"/>
      </w:pPr>
      <w:r>
        <w:t>This manual documents the conceptual provenance of every item: the classical Sanskrit category from which it derives, the contemporary embodied-cognition or phenomenological parallel it engages, the body anchor it specifies, and the design rationale for its wording. It is intended as a companion to (a) the preliminary validation study and (b) the revised RSS-18 form, and as a self-contained reference for adapters of the instrument to other heritage contexts.</w:t>
      </w:r>
    </w:p>
    <w:p w14:paraId="7F569D44" w14:textId="77777777" w:rsidR="00A1531E" w:rsidRDefault="00000000">
      <w:pPr>
        <w:pStyle w:val="Heading1"/>
        <w:spacing w:before="280" w:after="140"/>
      </w:pPr>
      <w:r>
        <w:t>1. Origin and Purpose</w:t>
      </w:r>
    </w:p>
    <w:p w14:paraId="38DC2C58" w14:textId="77777777" w:rsidR="00A1531E" w:rsidRDefault="00000000">
      <w:pPr>
        <w:spacing w:after="120" w:line="320" w:lineRule="auto"/>
        <w:jc w:val="both"/>
      </w:pPr>
      <w:r>
        <w:t>Existing self-report instruments for aesthetic emotion—including the Aesthetic Emotions Scale (AESTHEMOS; Schindler et al., 2017), the Awe Experience Scale (AWE-S; Yaden et al., 2019), the Geneva Emotion Wheel (Scherer, 2005), and the PANAS-X (Watson &amp; Clark, 1994)—were developed primarily for response to visual art, music, or naturalistic awe-eliciting stimuli, and frame the respondent's task as one of reporting a global emotional or evaluative state. None was designed for response to inhabited architectural form; none anchors its items in specific body regions; and none operationalises the categories of classical Indian aesthetic theory in which embodied response is constitutive of, rather than incidental to, aesthetic experience.</w:t>
      </w:r>
    </w:p>
    <w:p w14:paraId="719E025C" w14:textId="77777777" w:rsidR="00A1531E" w:rsidRDefault="00000000">
      <w:pPr>
        <w:spacing w:after="120" w:line="320" w:lineRule="auto"/>
        <w:jc w:val="both"/>
      </w:pPr>
      <w:r>
        <w:t xml:space="preserve">The RSS-25 was constructed to fill these three gaps simultaneously. Its proximate occasion was the assessment of an immersive virtual-reality reconstruction of the Vijaya Vittala Temple complex at Hampi, developed within a programme of research on game-based learning for Indian architectural heritage. Its </w:t>
      </w:r>
      <w:r>
        <w:lastRenderedPageBreak/>
        <w:t>broader purpose is to support empirical research on embodied aesthetic engagement with built heritage in physical, mediated, and pedagogical contexts.</w:t>
      </w:r>
    </w:p>
    <w:p w14:paraId="55CD6DD2" w14:textId="77777777" w:rsidR="00A1531E" w:rsidRDefault="00000000">
      <w:pPr>
        <w:pStyle w:val="Heading1"/>
        <w:spacing w:before="280" w:after="140"/>
      </w:pPr>
      <w:r>
        <w:t>2. Rasa-Śāstra: The Classical Substrate</w:t>
      </w:r>
    </w:p>
    <w:p w14:paraId="44FAE86E" w14:textId="77777777" w:rsidR="00A1531E" w:rsidRDefault="00000000">
      <w:pPr>
        <w:pStyle w:val="Heading2"/>
        <w:spacing w:after="140"/>
      </w:pPr>
      <w:r>
        <w:t>2.1 Bharata's Nāṭyaśāstra and the Rasa-Sūtra</w:t>
      </w:r>
    </w:p>
    <w:p w14:paraId="68B3A750" w14:textId="77777777" w:rsidR="00A1531E" w:rsidRDefault="00000000">
      <w:pPr>
        <w:spacing w:after="120" w:line="320" w:lineRule="auto"/>
        <w:jc w:val="both"/>
      </w:pPr>
      <w:r>
        <w:t xml:space="preserve">The Sanskrit dramaturgical treatise </w:t>
      </w:r>
      <w:r>
        <w:rPr>
          <w:i/>
          <w:iCs/>
        </w:rPr>
        <w:t>Nāṭyaśāstra</w:t>
      </w:r>
      <w:r>
        <w:t xml:space="preserve">, attributed to Bharata Muni and dated by modern scholarship to between the second century BCE and the second century CE, articulates the foundational doctrine of </w:t>
      </w:r>
      <w:r>
        <w:rPr>
          <w:i/>
          <w:iCs/>
        </w:rPr>
        <w:t>rasa</w:t>
      </w:r>
      <w:r>
        <w:t xml:space="preserve"> (literally, "juice," "taste," "essence") in chapter VI. The rasa-sūtra states: </w:t>
      </w:r>
      <w:r>
        <w:rPr>
          <w:i/>
          <w:iCs/>
        </w:rPr>
        <w:t>vibhāvānubhāva-vyabhicāri-saṃyogāt rasa-niṣpattiḥ</w:t>
      </w:r>
      <w:r>
        <w:t xml:space="preserve"> — "rasa is brought to fruition through the conjunction of determinants, consequents, and transient states." Three categories of psycho-physical material are thereby identified as the constituents of aesthetic emotion (Bharata, 1951; Ghosh, 1967):</w:t>
      </w:r>
    </w:p>
    <w:p w14:paraId="4F26A2B8" w14:textId="77777777" w:rsidR="00A1531E" w:rsidRDefault="00000000">
      <w:pPr>
        <w:pStyle w:val="ListParagraph"/>
        <w:numPr>
          <w:ilvl w:val="0"/>
          <w:numId w:val="2"/>
        </w:numPr>
        <w:spacing w:after="80" w:line="300" w:lineRule="auto"/>
      </w:pPr>
      <w:r>
        <w:rPr>
          <w:i/>
          <w:iCs/>
          <w:color w:val="1F2A4A"/>
        </w:rPr>
        <w:t xml:space="preserve">Vibhāva </w:t>
      </w:r>
      <w:r>
        <w:t>— the determinant or cause: the object, person, or situation that occasions the emotion (e.g., the temple gopuram, the beloved, the threatening warrior).</w:t>
      </w:r>
    </w:p>
    <w:p w14:paraId="183D53F3" w14:textId="77777777" w:rsidR="00A1531E" w:rsidRDefault="00000000">
      <w:pPr>
        <w:pStyle w:val="ListParagraph"/>
        <w:numPr>
          <w:ilvl w:val="0"/>
          <w:numId w:val="2"/>
        </w:numPr>
        <w:spacing w:after="80" w:line="300" w:lineRule="auto"/>
      </w:pPr>
      <w:r>
        <w:rPr>
          <w:i/>
          <w:iCs/>
          <w:color w:val="1F2A4A"/>
        </w:rPr>
        <w:t xml:space="preserve">Anubhāva </w:t>
      </w:r>
      <w:r>
        <w:t>— the consequent: the outward bodily expression by which the emotion becomes visible (gestures, glances, posture).</w:t>
      </w:r>
    </w:p>
    <w:p w14:paraId="03CA425C" w14:textId="77777777" w:rsidR="00A1531E" w:rsidRDefault="00000000">
      <w:pPr>
        <w:pStyle w:val="ListParagraph"/>
        <w:numPr>
          <w:ilvl w:val="0"/>
          <w:numId w:val="2"/>
        </w:numPr>
        <w:spacing w:after="80" w:line="300" w:lineRule="auto"/>
      </w:pPr>
      <w:r>
        <w:rPr>
          <w:i/>
          <w:iCs/>
          <w:color w:val="1F2A4A"/>
        </w:rPr>
        <w:t xml:space="preserve">Vyabhicāri-bhāva </w:t>
      </w:r>
      <w:r>
        <w:t>— the transient state: the thirty-three subsidiary emotions (e.g., longing, anxiety, recollection) that pass through the experience and modulate it.</w:t>
      </w:r>
    </w:p>
    <w:p w14:paraId="016075ED" w14:textId="77777777" w:rsidR="00A1531E" w:rsidRDefault="00000000">
      <w:pPr>
        <w:spacing w:after="120" w:line="320" w:lineRule="auto"/>
        <w:jc w:val="both"/>
      </w:pPr>
      <w:r>
        <w:t xml:space="preserve">To these three Bharata adds an eighth category critical for the present instrument: the </w:t>
      </w:r>
      <w:r>
        <w:rPr>
          <w:i/>
          <w:iCs/>
        </w:rPr>
        <w:t>sthāyi-bhāva</w:t>
      </w:r>
      <w:r>
        <w:t xml:space="preserve"> or stable foundational emotion (eight in number: love, mirth, sorrow, anger, energy, fear, disgust, wonder), and the </w:t>
      </w:r>
      <w:r>
        <w:rPr>
          <w:i/>
          <w:iCs/>
        </w:rPr>
        <w:t>sāttvika-bhāvas</w:t>
      </w:r>
      <w:r>
        <w:t xml:space="preserve"> or involuntary bodily expressions.</w:t>
      </w:r>
    </w:p>
    <w:p w14:paraId="6C98C8E8" w14:textId="77777777" w:rsidR="00A1531E" w:rsidRDefault="00000000">
      <w:pPr>
        <w:pStyle w:val="Heading2"/>
        <w:spacing w:after="140"/>
      </w:pPr>
      <w:r>
        <w:t>2.2 The Aṣṭa Sāttvika-Bhāvas (Eight Involuntary Bodily Expressions)</w:t>
      </w:r>
    </w:p>
    <w:p w14:paraId="3C6054E2" w14:textId="77777777" w:rsidR="00A1531E" w:rsidRDefault="00000000">
      <w:pPr>
        <w:spacing w:after="120" w:line="320" w:lineRule="auto"/>
        <w:jc w:val="both"/>
      </w:pPr>
      <w:r>
        <w:t>Of all the categories in Bharata's framework, the eight sāttvika-bhāvas are the most distinctive claim for the present project: they are the bodily-physiological signatures by which the authenticity of aesthetic emotion is recognised. The sāttvika-bhāvas cannot be feigned, since they are autonomic; they emerge from sattva (the inner being or psycho-physical truth of the experiencer). The eight are listed in Table 1.</w:t>
      </w:r>
    </w:p>
    <w:p w14:paraId="56A536FF" w14:textId="77777777" w:rsidR="00A1531E" w:rsidRDefault="00000000">
      <w:pPr>
        <w:spacing w:after="120" w:line="320" w:lineRule="auto"/>
        <w:jc w:val="both"/>
      </w:pPr>
      <w:r>
        <w:rPr>
          <w:b/>
          <w:bCs/>
        </w:rPr>
        <w:t xml:space="preserve">Table 1. </w:t>
      </w:r>
      <w:r>
        <w:rPr>
          <w:i/>
          <w:iCs/>
        </w:rPr>
        <w:t>The eight sāttvika-bhāvas of Bharata's Nāṭyaśāstra (VI.22).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2200"/>
        <w:gridCol w:w="2500"/>
        <w:gridCol w:w="3360"/>
      </w:tblGrid>
      <w:tr w:rsidR="00A1531E" w14:paraId="30CA2F5E" w14:textId="77777777">
        <w:tblPrEx>
          <w:tblCellMar>
            <w:top w:w="0" w:type="dxa"/>
            <w:bottom w:w="0" w:type="dxa"/>
          </w:tblCellMar>
        </w:tblPrEx>
        <w:trPr>
          <w:tblHeader/>
        </w:trPr>
        <w:tc>
          <w:tcPr>
            <w:tcW w:w="13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1B3BA6C3" w14:textId="77777777" w:rsidR="00A1531E" w:rsidRDefault="00000000">
            <w:r>
              <w:rPr>
                <w:b/>
                <w:bCs/>
                <w:color w:val="FFFFFF"/>
                <w:sz w:val="20"/>
                <w:szCs w:val="20"/>
              </w:rPr>
              <w:t>Sanskrit</w:t>
            </w:r>
          </w:p>
        </w:tc>
        <w:tc>
          <w:tcPr>
            <w:tcW w:w="22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5A793D50" w14:textId="77777777" w:rsidR="00A1531E" w:rsidRDefault="00000000">
            <w:r>
              <w:rPr>
                <w:b/>
                <w:bCs/>
                <w:color w:val="FFFFFF"/>
                <w:sz w:val="20"/>
                <w:szCs w:val="20"/>
              </w:rPr>
              <w:t>Conventional gloss</w:t>
            </w:r>
          </w:p>
        </w:tc>
        <w:tc>
          <w:tcPr>
            <w:tcW w:w="25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783201EC" w14:textId="77777777" w:rsidR="00A1531E" w:rsidRDefault="00000000">
            <w:r>
              <w:rPr>
                <w:b/>
                <w:bCs/>
                <w:color w:val="FFFFFF"/>
                <w:sz w:val="20"/>
                <w:szCs w:val="20"/>
              </w:rPr>
              <w:t>Physiological reference</w:t>
            </w:r>
          </w:p>
        </w:tc>
        <w:tc>
          <w:tcPr>
            <w:tcW w:w="336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3180AF19" w14:textId="77777777" w:rsidR="00A1531E" w:rsidRDefault="00000000">
            <w:r>
              <w:rPr>
                <w:b/>
                <w:bCs/>
                <w:color w:val="FFFFFF"/>
                <w:sz w:val="20"/>
                <w:szCs w:val="20"/>
              </w:rPr>
              <w:t>RSS items in which the signature appears</w:t>
            </w:r>
          </w:p>
        </w:tc>
      </w:tr>
      <w:tr w:rsidR="00A1531E" w14:paraId="498FF42F" w14:textId="77777777">
        <w:tblPrEx>
          <w:tblCellMar>
            <w:top w:w="0" w:type="dxa"/>
            <w:bottom w:w="0" w:type="dxa"/>
          </w:tblCellMar>
        </w:tblPrEx>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7880875" w14:textId="77777777" w:rsidR="00A1531E" w:rsidRDefault="00000000">
            <w:r>
              <w:rPr>
                <w:sz w:val="20"/>
                <w:szCs w:val="20"/>
              </w:rPr>
              <w:t>Stambha</w:t>
            </w:r>
          </w:p>
        </w:tc>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8B94C25" w14:textId="77777777" w:rsidR="00A1531E" w:rsidRDefault="00000000">
            <w:r>
              <w:rPr>
                <w:sz w:val="20"/>
                <w:szCs w:val="20"/>
              </w:rPr>
              <w:t>Stupefaction</w:t>
            </w:r>
          </w:p>
        </w:tc>
        <w:tc>
          <w:tcPr>
            <w:tcW w:w="2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7AAE08A" w14:textId="77777777" w:rsidR="00A1531E" w:rsidRDefault="00000000">
            <w:r>
              <w:rPr>
                <w:sz w:val="20"/>
                <w:szCs w:val="20"/>
              </w:rPr>
              <w:t>Involuntary stillness; freezing</w:t>
            </w:r>
          </w:p>
        </w:tc>
        <w:tc>
          <w:tcPr>
            <w:tcW w:w="3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174D159" w14:textId="77777777" w:rsidR="00A1531E" w:rsidRDefault="00000000">
            <w:r>
              <w:rPr>
                <w:sz w:val="20"/>
                <w:szCs w:val="20"/>
              </w:rPr>
              <w:t>M4 (involuntary stillness)</w:t>
            </w:r>
          </w:p>
        </w:tc>
      </w:tr>
      <w:tr w:rsidR="00A1531E" w14:paraId="1A9D30DD" w14:textId="77777777">
        <w:tblPrEx>
          <w:tblCellMar>
            <w:top w:w="0" w:type="dxa"/>
            <w:bottom w:w="0" w:type="dxa"/>
          </w:tblCellMar>
        </w:tblPrEx>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2979966" w14:textId="77777777" w:rsidR="00A1531E" w:rsidRDefault="00000000">
            <w:r>
              <w:rPr>
                <w:sz w:val="20"/>
                <w:szCs w:val="20"/>
              </w:rPr>
              <w:t>Sveda</w:t>
            </w:r>
          </w:p>
        </w:tc>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CE4AE39" w14:textId="77777777" w:rsidR="00A1531E" w:rsidRDefault="00000000">
            <w:r>
              <w:rPr>
                <w:sz w:val="20"/>
                <w:szCs w:val="20"/>
              </w:rPr>
              <w:t>Perspiration</w:t>
            </w:r>
          </w:p>
        </w:tc>
        <w:tc>
          <w:tcPr>
            <w:tcW w:w="2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BFCCE8B" w14:textId="77777777" w:rsidR="00A1531E" w:rsidRDefault="00000000">
            <w:r>
              <w:rPr>
                <w:sz w:val="20"/>
                <w:szCs w:val="20"/>
              </w:rPr>
              <w:t>Sweating</w:t>
            </w:r>
          </w:p>
        </w:tc>
        <w:tc>
          <w:tcPr>
            <w:tcW w:w="3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C8CA4DA" w14:textId="77777777" w:rsidR="00A1531E" w:rsidRDefault="00000000">
            <w:r>
              <w:rPr>
                <w:sz w:val="20"/>
                <w:szCs w:val="20"/>
              </w:rPr>
              <w:t>— (not represented in RSS-25)</w:t>
            </w:r>
          </w:p>
        </w:tc>
      </w:tr>
      <w:tr w:rsidR="00A1531E" w14:paraId="1B53DA96" w14:textId="77777777">
        <w:tblPrEx>
          <w:tblCellMar>
            <w:top w:w="0" w:type="dxa"/>
            <w:bottom w:w="0" w:type="dxa"/>
          </w:tblCellMar>
        </w:tblPrEx>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B6856D1" w14:textId="77777777" w:rsidR="00A1531E" w:rsidRDefault="00000000">
            <w:r>
              <w:rPr>
                <w:sz w:val="20"/>
                <w:szCs w:val="20"/>
              </w:rPr>
              <w:t>Romāñca</w:t>
            </w:r>
          </w:p>
        </w:tc>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CD7632D" w14:textId="77777777" w:rsidR="00A1531E" w:rsidRDefault="00000000">
            <w:r>
              <w:rPr>
                <w:sz w:val="20"/>
                <w:szCs w:val="20"/>
              </w:rPr>
              <w:t>Horripilation</w:t>
            </w:r>
          </w:p>
        </w:tc>
        <w:tc>
          <w:tcPr>
            <w:tcW w:w="2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E046142" w14:textId="77777777" w:rsidR="00A1531E" w:rsidRDefault="00000000">
            <w:r>
              <w:rPr>
                <w:sz w:val="20"/>
                <w:szCs w:val="20"/>
              </w:rPr>
              <w:t>Goosebumps; piloerection</w:t>
            </w:r>
          </w:p>
        </w:tc>
        <w:tc>
          <w:tcPr>
            <w:tcW w:w="3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913E563" w14:textId="77777777" w:rsidR="00A1531E" w:rsidRDefault="00000000">
            <w:r>
              <w:rPr>
                <w:sz w:val="20"/>
                <w:szCs w:val="20"/>
              </w:rPr>
              <w:t>M2 (goosebumps, chill, tingling)</w:t>
            </w:r>
          </w:p>
        </w:tc>
      </w:tr>
      <w:tr w:rsidR="00A1531E" w14:paraId="63F6AA7B" w14:textId="77777777">
        <w:tblPrEx>
          <w:tblCellMar>
            <w:top w:w="0" w:type="dxa"/>
            <w:bottom w:w="0" w:type="dxa"/>
          </w:tblCellMar>
        </w:tblPrEx>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AF57B3D" w14:textId="77777777" w:rsidR="00A1531E" w:rsidRDefault="00000000">
            <w:r>
              <w:rPr>
                <w:sz w:val="20"/>
                <w:szCs w:val="20"/>
              </w:rPr>
              <w:lastRenderedPageBreak/>
              <w:t>Svarabheda</w:t>
            </w:r>
          </w:p>
        </w:tc>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685CFB1" w14:textId="77777777" w:rsidR="00A1531E" w:rsidRDefault="00000000">
            <w:r>
              <w:rPr>
                <w:sz w:val="20"/>
                <w:szCs w:val="20"/>
              </w:rPr>
              <w:t>Change of voice</w:t>
            </w:r>
          </w:p>
        </w:tc>
        <w:tc>
          <w:tcPr>
            <w:tcW w:w="2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67D8ECB" w14:textId="77777777" w:rsidR="00A1531E" w:rsidRDefault="00000000">
            <w:r>
              <w:rPr>
                <w:sz w:val="20"/>
                <w:szCs w:val="20"/>
              </w:rPr>
              <w:t>Vocal tremor, breath catch</w:t>
            </w:r>
          </w:p>
        </w:tc>
        <w:tc>
          <w:tcPr>
            <w:tcW w:w="3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9DBE540" w14:textId="77777777" w:rsidR="00A1531E" w:rsidRDefault="00000000">
            <w:r>
              <w:rPr>
                <w:sz w:val="20"/>
                <w:szCs w:val="20"/>
              </w:rPr>
              <w:t>M1 (catch / hold breath)</w:t>
            </w:r>
          </w:p>
        </w:tc>
      </w:tr>
      <w:tr w:rsidR="00A1531E" w14:paraId="37182DD2" w14:textId="77777777">
        <w:tblPrEx>
          <w:tblCellMar>
            <w:top w:w="0" w:type="dxa"/>
            <w:bottom w:w="0" w:type="dxa"/>
          </w:tblCellMar>
        </w:tblPrEx>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8F70F8C" w14:textId="77777777" w:rsidR="00A1531E" w:rsidRDefault="00000000">
            <w:r>
              <w:rPr>
                <w:sz w:val="20"/>
                <w:szCs w:val="20"/>
              </w:rPr>
              <w:t>Vepathu</w:t>
            </w:r>
          </w:p>
        </w:tc>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91C1FB1" w14:textId="77777777" w:rsidR="00A1531E" w:rsidRDefault="00000000">
            <w:r>
              <w:rPr>
                <w:sz w:val="20"/>
                <w:szCs w:val="20"/>
              </w:rPr>
              <w:t>Tremor</w:t>
            </w:r>
          </w:p>
        </w:tc>
        <w:tc>
          <w:tcPr>
            <w:tcW w:w="2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6F874C3" w14:textId="77777777" w:rsidR="00A1531E" w:rsidRDefault="00000000">
            <w:r>
              <w:rPr>
                <w:sz w:val="20"/>
                <w:szCs w:val="20"/>
              </w:rPr>
              <w:t>Trembling, shaking</w:t>
            </w:r>
          </w:p>
        </w:tc>
        <w:tc>
          <w:tcPr>
            <w:tcW w:w="3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4A41DCD" w14:textId="77777777" w:rsidR="00A1531E" w:rsidRDefault="00000000">
            <w:r>
              <w:rPr>
                <w:sz w:val="20"/>
                <w:szCs w:val="20"/>
              </w:rPr>
              <w:t>— (not represented in RSS-25)</w:t>
            </w:r>
          </w:p>
        </w:tc>
      </w:tr>
      <w:tr w:rsidR="00A1531E" w14:paraId="4DC68BF5" w14:textId="77777777">
        <w:tblPrEx>
          <w:tblCellMar>
            <w:top w:w="0" w:type="dxa"/>
            <w:bottom w:w="0" w:type="dxa"/>
          </w:tblCellMar>
        </w:tblPrEx>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5A29DCB" w14:textId="77777777" w:rsidR="00A1531E" w:rsidRDefault="00000000">
            <w:r>
              <w:rPr>
                <w:sz w:val="20"/>
                <w:szCs w:val="20"/>
              </w:rPr>
              <w:t>Vaivarṇya</w:t>
            </w:r>
          </w:p>
        </w:tc>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A8C39AE" w14:textId="77777777" w:rsidR="00A1531E" w:rsidRDefault="00000000">
            <w:r>
              <w:rPr>
                <w:sz w:val="20"/>
                <w:szCs w:val="20"/>
              </w:rPr>
              <w:t>Change of colour</w:t>
            </w:r>
          </w:p>
        </w:tc>
        <w:tc>
          <w:tcPr>
            <w:tcW w:w="2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08DA63F" w14:textId="77777777" w:rsidR="00A1531E" w:rsidRDefault="00000000">
            <w:r>
              <w:rPr>
                <w:sz w:val="20"/>
                <w:szCs w:val="20"/>
              </w:rPr>
              <w:t>Pallor, flush</w:t>
            </w:r>
          </w:p>
        </w:tc>
        <w:tc>
          <w:tcPr>
            <w:tcW w:w="3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52F9727" w14:textId="77777777" w:rsidR="00A1531E" w:rsidRDefault="00000000">
            <w:r>
              <w:rPr>
                <w:sz w:val="20"/>
                <w:szCs w:val="20"/>
              </w:rPr>
              <w:t>— (not represented in RSS-25)</w:t>
            </w:r>
          </w:p>
        </w:tc>
      </w:tr>
      <w:tr w:rsidR="00A1531E" w14:paraId="117E4F2B" w14:textId="77777777">
        <w:tblPrEx>
          <w:tblCellMar>
            <w:top w:w="0" w:type="dxa"/>
            <w:bottom w:w="0" w:type="dxa"/>
          </w:tblCellMar>
        </w:tblPrEx>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4F41935" w14:textId="77777777" w:rsidR="00A1531E" w:rsidRDefault="00000000">
            <w:r>
              <w:rPr>
                <w:sz w:val="20"/>
                <w:szCs w:val="20"/>
              </w:rPr>
              <w:t>Aśru</w:t>
            </w:r>
          </w:p>
        </w:tc>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377F2FA" w14:textId="77777777" w:rsidR="00A1531E" w:rsidRDefault="00000000">
            <w:r>
              <w:rPr>
                <w:sz w:val="20"/>
                <w:szCs w:val="20"/>
              </w:rPr>
              <w:t>Tears</w:t>
            </w:r>
          </w:p>
        </w:tc>
        <w:tc>
          <w:tcPr>
            <w:tcW w:w="2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BB129CE" w14:textId="77777777" w:rsidR="00A1531E" w:rsidRDefault="00000000">
            <w:r>
              <w:rPr>
                <w:sz w:val="20"/>
                <w:szCs w:val="20"/>
              </w:rPr>
              <w:t>Tearfulness</w:t>
            </w:r>
          </w:p>
        </w:tc>
        <w:tc>
          <w:tcPr>
            <w:tcW w:w="3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69D7429" w14:textId="77777777" w:rsidR="00A1531E" w:rsidRDefault="00000000">
            <w:r>
              <w:rPr>
                <w:sz w:val="20"/>
                <w:szCs w:val="20"/>
              </w:rPr>
              <w:t>— (not represented in RSS-25)</w:t>
            </w:r>
          </w:p>
        </w:tc>
      </w:tr>
      <w:tr w:rsidR="00A1531E" w14:paraId="3D4D2892" w14:textId="77777777">
        <w:tblPrEx>
          <w:tblCellMar>
            <w:top w:w="0" w:type="dxa"/>
            <w:bottom w:w="0" w:type="dxa"/>
          </w:tblCellMar>
        </w:tblPrEx>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5AFEB48" w14:textId="77777777" w:rsidR="00A1531E" w:rsidRDefault="00000000">
            <w:r>
              <w:rPr>
                <w:sz w:val="20"/>
                <w:szCs w:val="20"/>
              </w:rPr>
              <w:t>Pralaya</w:t>
            </w:r>
          </w:p>
        </w:tc>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8E1E7A6" w14:textId="77777777" w:rsidR="00A1531E" w:rsidRDefault="00000000">
            <w:r>
              <w:rPr>
                <w:sz w:val="20"/>
                <w:szCs w:val="20"/>
              </w:rPr>
              <w:t>Fainting / loss of consciousness</w:t>
            </w:r>
          </w:p>
        </w:tc>
        <w:tc>
          <w:tcPr>
            <w:tcW w:w="2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D809183" w14:textId="77777777" w:rsidR="00A1531E" w:rsidRDefault="00000000">
            <w:r>
              <w:rPr>
                <w:sz w:val="20"/>
                <w:szCs w:val="20"/>
              </w:rPr>
              <w:t>Stupor, vertigo, swooning</w:t>
            </w:r>
          </w:p>
        </w:tc>
        <w:tc>
          <w:tcPr>
            <w:tcW w:w="3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85B2FFF" w14:textId="77777777" w:rsidR="00A1531E" w:rsidRDefault="00000000">
            <w:r>
              <w:rPr>
                <w:sz w:val="20"/>
                <w:szCs w:val="20"/>
              </w:rPr>
              <w:t>M3 (physical vertigo or weightlessness)</w:t>
            </w:r>
          </w:p>
        </w:tc>
      </w:tr>
    </w:tbl>
    <w:p w14:paraId="541A4832" w14:textId="77777777" w:rsidR="00A1531E" w:rsidRDefault="00000000">
      <w:pPr>
        <w:spacing w:after="120" w:line="320" w:lineRule="auto"/>
        <w:jc w:val="both"/>
      </w:pPr>
      <w:r>
        <w:t>The Mahā-bhāva subscale of the RSS-25 thus operationalises four of the eight classical sāttvika-bhāvas (stambha, romāñca, svarabheda, and pralaya), with M5 functioning as a non-classical extension addressing the autonomic response to bright-dark threshold transitions specific to garbhagṛha-style temple architecture. The four omitted sāttvika-bhāvas (sveda, vepathu, vaivarṇya, aśru) were excluded because: (a) sveda and vaivarṇya are difficult to introspect under typical non-clinical conditions; (b) vepathu and aśru are more associated with grief and devotional rasa than with the aesthetic encounter with built form. Future versions of the instrument may include additional sāttvika items for cross-domain research.</w:t>
      </w:r>
    </w:p>
    <w:p w14:paraId="0F509A3B" w14:textId="77777777" w:rsidR="00A1531E" w:rsidRDefault="00000000">
      <w:pPr>
        <w:pStyle w:val="Heading2"/>
        <w:spacing w:after="140"/>
      </w:pPr>
      <w:r>
        <w:t>2.3 Abhinavagupta and Sādhāraṇīkaraṇa</w:t>
      </w:r>
    </w:p>
    <w:p w14:paraId="22398AC6" w14:textId="77777777" w:rsidR="00A1531E" w:rsidRDefault="00000000">
      <w:pPr>
        <w:spacing w:after="120" w:line="320" w:lineRule="auto"/>
        <w:jc w:val="both"/>
      </w:pPr>
      <w:r>
        <w:t xml:space="preserve">The Kashmiri polymath Abhinavagupta (c. 950–1016 CE), in his commentary </w:t>
      </w:r>
      <w:r>
        <w:rPr>
          <w:i/>
          <w:iCs/>
        </w:rPr>
        <w:t>Abhinavabhāratī</w:t>
      </w:r>
      <w:r>
        <w:t xml:space="preserve"> on the </w:t>
      </w:r>
      <w:r>
        <w:rPr>
          <w:i/>
          <w:iCs/>
        </w:rPr>
        <w:t>Nāṭyaśāstra</w:t>
      </w:r>
      <w:r>
        <w:t xml:space="preserve"> and in his </w:t>
      </w:r>
      <w:r>
        <w:rPr>
          <w:i/>
          <w:iCs/>
        </w:rPr>
        <w:t>Locana</w:t>
      </w:r>
      <w:r>
        <w:t xml:space="preserve"> on Ānandavardhana's </w:t>
      </w:r>
      <w:r>
        <w:rPr>
          <w:i/>
          <w:iCs/>
        </w:rPr>
        <w:t>Dhvanyāloka</w:t>
      </w:r>
      <w:r>
        <w:t xml:space="preserve">, introduced the decisive theoretical innovation that makes rasa-theory available as a framework for embodied response to architecture. The key concept is </w:t>
      </w:r>
      <w:r>
        <w:rPr>
          <w:i/>
          <w:iCs/>
          <w:color w:val="1F2A4A"/>
        </w:rPr>
        <w:t>sādhāraṇīkaraṇa</w:t>
      </w:r>
      <w:r>
        <w:t xml:space="preserve"> — "universalisation," or more literally, "the process of being-rendered-common." In the moment of true aesthetic experience, Abhinavagupta argues, the spectator's particular subjectivity (the "I-as-this-individual") is temporarily suspended; what is tasted is not Rāma's grief or one's own grief but grief-itself, rendered universal and savoured (āsvāda) by a sahṛdaya (a heart-attuned one). The boundary between subject and object becomes porous.</w:t>
      </w:r>
    </w:p>
    <w:p w14:paraId="148D9065" w14:textId="77777777" w:rsidR="00A1531E" w:rsidRDefault="00000000">
      <w:pPr>
        <w:spacing w:after="120" w:line="320" w:lineRule="auto"/>
        <w:jc w:val="both"/>
      </w:pPr>
      <w:r>
        <w:t>Sādhāraṇīkaraṇa is the theoretical pivot for the Yoga-Sthiti subscale of the RSS-25, particularly item Y2 ("the boundary between my body and the architecture felt blurred"). Where Western phenomenologies of architectural experience (Merleau-Ponty, Pallasmaa) describe the blurring of bodily boundaries in passive terms—as a permeability of the lived body to the world—Abhinavagupta's account locates this blurring as a positive achievement of aesthetic consciousness, a state of attainment (sthiti) rather than dissolution. The Y in K-L-A-M-Y is therefore yoga in its broader Sanskrit sense of yoking or union, not narrowly as a system of postural practice.</w:t>
      </w:r>
    </w:p>
    <w:p w14:paraId="15E92A97" w14:textId="77777777" w:rsidR="00A1531E" w:rsidRDefault="00000000">
      <w:pPr>
        <w:pStyle w:val="Heading1"/>
        <w:spacing w:before="280" w:after="140"/>
      </w:pPr>
      <w:r>
        <w:lastRenderedPageBreak/>
        <w:t>3. Contemporary Parallels: Embodied Cognition and Architectural Phenomenology</w:t>
      </w:r>
    </w:p>
    <w:p w14:paraId="2D13A9AA" w14:textId="77777777" w:rsidR="00A1531E" w:rsidRDefault="00000000">
      <w:pPr>
        <w:spacing w:after="120" w:line="320" w:lineRule="auto"/>
        <w:jc w:val="both"/>
      </w:pPr>
      <w:r>
        <w:t>The RSS-25 sits at the intersection of three contemporary research literatures, each of which supplies a parallel vocabulary to the classical Sanskrit categories.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98"/>
        <w:gridCol w:w="3926"/>
        <w:gridCol w:w="3969"/>
      </w:tblGrid>
      <w:tr w:rsidR="00A1531E" w14:paraId="6A074A4A" w14:textId="77777777" w:rsidTr="00FE37D7">
        <w:tblPrEx>
          <w:tblCellMar>
            <w:top w:w="0" w:type="dxa"/>
            <w:bottom w:w="0" w:type="dxa"/>
          </w:tblCellMar>
        </w:tblPrEx>
        <w:trPr>
          <w:trHeight w:val="233"/>
          <w:tblHeader/>
        </w:trPr>
        <w:tc>
          <w:tcPr>
            <w:tcW w:w="1598"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6660AB2F" w14:textId="77777777" w:rsidR="00A1531E" w:rsidRDefault="00000000">
            <w:r>
              <w:rPr>
                <w:b/>
                <w:bCs/>
                <w:color w:val="FFFFFF"/>
                <w:sz w:val="20"/>
                <w:szCs w:val="20"/>
              </w:rPr>
              <w:t>Tradition</w:t>
            </w:r>
          </w:p>
        </w:tc>
        <w:tc>
          <w:tcPr>
            <w:tcW w:w="3926"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25940E68" w14:textId="77777777" w:rsidR="00A1531E" w:rsidRDefault="00000000">
            <w:r>
              <w:rPr>
                <w:b/>
                <w:bCs/>
                <w:color w:val="FFFFFF"/>
                <w:sz w:val="20"/>
                <w:szCs w:val="20"/>
              </w:rPr>
              <w:t>Key concepts</w:t>
            </w:r>
          </w:p>
        </w:tc>
        <w:tc>
          <w:tcPr>
            <w:tcW w:w="3969"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3BF96793" w14:textId="77777777" w:rsidR="00A1531E" w:rsidRDefault="00000000">
            <w:r>
              <w:rPr>
                <w:b/>
                <w:bCs/>
                <w:color w:val="FFFFFF"/>
                <w:sz w:val="20"/>
                <w:szCs w:val="20"/>
              </w:rPr>
              <w:t>Parallel to RSS category</w:t>
            </w:r>
          </w:p>
        </w:tc>
      </w:tr>
      <w:tr w:rsidR="00A1531E" w14:paraId="6A609FB8" w14:textId="77777777" w:rsidTr="00FE37D7">
        <w:tblPrEx>
          <w:tblCellMar>
            <w:top w:w="0" w:type="dxa"/>
            <w:bottom w:w="0" w:type="dxa"/>
          </w:tblCellMar>
        </w:tblPrEx>
        <w:trPr>
          <w:trHeight w:val="760"/>
        </w:trPr>
        <w:tc>
          <w:tcPr>
            <w:tcW w:w="1598"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4B9FB8F" w14:textId="77777777" w:rsidR="00A1531E" w:rsidRDefault="00000000">
            <w:r>
              <w:rPr>
                <w:sz w:val="20"/>
                <w:szCs w:val="20"/>
              </w:rPr>
              <w:t>Embodied / 4E cognition</w:t>
            </w:r>
          </w:p>
        </w:tc>
        <w:tc>
          <w:tcPr>
            <w:tcW w:w="3926"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DF46E65" w14:textId="77777777" w:rsidR="00A1531E" w:rsidRDefault="00000000">
            <w:r>
              <w:rPr>
                <w:sz w:val="20"/>
                <w:szCs w:val="20"/>
              </w:rPr>
              <w:t>Mirror neurons (Rizzolatti &amp; Sinigaglia, 2008); embodied simulation (Gallese, 2007); sensorimotor contingencies</w:t>
            </w:r>
          </w:p>
        </w:tc>
        <w:tc>
          <w:tcPr>
            <w:tcW w:w="396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53C038B" w14:textId="77777777" w:rsidR="00A1531E" w:rsidRDefault="00000000">
            <w:r>
              <w:rPr>
                <w:sz w:val="20"/>
                <w:szCs w:val="20"/>
              </w:rPr>
              <w:t>Anubhava — perceptual knowledge is constituted in motor and tactile simulation.</w:t>
            </w:r>
          </w:p>
        </w:tc>
      </w:tr>
      <w:tr w:rsidR="00A1531E" w14:paraId="4F14B0AC" w14:textId="77777777" w:rsidTr="00FE37D7">
        <w:tblPrEx>
          <w:tblCellMar>
            <w:top w:w="0" w:type="dxa"/>
            <w:bottom w:w="0" w:type="dxa"/>
          </w:tblCellMar>
        </w:tblPrEx>
        <w:trPr>
          <w:trHeight w:val="730"/>
        </w:trPr>
        <w:tc>
          <w:tcPr>
            <w:tcW w:w="1598"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7DC46D7" w14:textId="77777777" w:rsidR="00A1531E" w:rsidRDefault="00000000">
            <w:r>
              <w:rPr>
                <w:sz w:val="20"/>
                <w:szCs w:val="20"/>
              </w:rPr>
              <w:t>Architectural phenomenology</w:t>
            </w:r>
          </w:p>
        </w:tc>
        <w:tc>
          <w:tcPr>
            <w:tcW w:w="3926"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8965648" w14:textId="77777777" w:rsidR="00A1531E" w:rsidRDefault="00000000">
            <w:r>
              <w:rPr>
                <w:sz w:val="20"/>
                <w:szCs w:val="20"/>
              </w:rPr>
              <w:t>Lived body (Merleau-Ponty, 1962); flesh of the world; tactile/kinaesthetic priority (Pallasmaa, 2012)</w:t>
            </w:r>
          </w:p>
        </w:tc>
        <w:tc>
          <w:tcPr>
            <w:tcW w:w="396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A79007E" w14:textId="77777777" w:rsidR="00A1531E" w:rsidRDefault="00000000">
            <w:r>
              <w:rPr>
                <w:sz w:val="20"/>
                <w:szCs w:val="20"/>
              </w:rPr>
              <w:t>Yoga-Sthiti — boundary blurring, body-as-architecture.</w:t>
            </w:r>
          </w:p>
        </w:tc>
      </w:tr>
      <w:tr w:rsidR="00A1531E" w14:paraId="3A22D100" w14:textId="77777777" w:rsidTr="00FE37D7">
        <w:tblPrEx>
          <w:tblCellMar>
            <w:top w:w="0" w:type="dxa"/>
            <w:bottom w:w="0" w:type="dxa"/>
          </w:tblCellMar>
        </w:tblPrEx>
        <w:trPr>
          <w:trHeight w:val="1228"/>
        </w:trPr>
        <w:tc>
          <w:tcPr>
            <w:tcW w:w="1598"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7CA9A96" w14:textId="77777777" w:rsidR="00A1531E" w:rsidRDefault="00000000">
            <w:r>
              <w:rPr>
                <w:sz w:val="20"/>
                <w:szCs w:val="20"/>
              </w:rPr>
              <w:t>Neuroaesthetics &amp; neuro-urbanism</w:t>
            </w:r>
          </w:p>
        </w:tc>
        <w:tc>
          <w:tcPr>
            <w:tcW w:w="3926"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299601B" w14:textId="77777777" w:rsidR="00A1531E" w:rsidRDefault="00000000">
            <w:r>
              <w:rPr>
                <w:sz w:val="20"/>
                <w:szCs w:val="20"/>
              </w:rPr>
              <w:t>Awe and self-diminishment (Keltner &amp; Haidt, 2003); sublime as physiological event (Ishizu &amp; Zeki, 2014); embodied architectural cognition (Mallgrave, 2013; Robinson &amp; Pallasmaa, 2015)</w:t>
            </w:r>
          </w:p>
        </w:tc>
        <w:tc>
          <w:tcPr>
            <w:tcW w:w="396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108D010" w14:textId="77777777" w:rsidR="00A1531E" w:rsidRDefault="00000000">
            <w:r>
              <w:rPr>
                <w:sz w:val="20"/>
                <w:szCs w:val="20"/>
              </w:rPr>
              <w:t>Mahā-bhāva — autonomic signatures of the sublime.</w:t>
            </w:r>
          </w:p>
        </w:tc>
      </w:tr>
      <w:tr w:rsidR="00A1531E" w14:paraId="7FFB2BAD" w14:textId="77777777" w:rsidTr="00FE37D7">
        <w:tblPrEx>
          <w:tblCellMar>
            <w:top w:w="0" w:type="dxa"/>
            <w:bottom w:w="0" w:type="dxa"/>
          </w:tblCellMar>
        </w:tblPrEx>
        <w:trPr>
          <w:trHeight w:val="993"/>
        </w:trPr>
        <w:tc>
          <w:tcPr>
            <w:tcW w:w="1598"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4B8C903" w14:textId="77777777" w:rsidR="00A1531E" w:rsidRDefault="00000000">
            <w:r>
              <w:rPr>
                <w:sz w:val="20"/>
                <w:szCs w:val="20"/>
              </w:rPr>
              <w:t>Einfühlung / empathy theory</w:t>
            </w:r>
          </w:p>
        </w:tc>
        <w:tc>
          <w:tcPr>
            <w:tcW w:w="3926"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0045407" w14:textId="77777777" w:rsidR="00A1531E" w:rsidRDefault="00000000">
            <w:r>
              <w:rPr>
                <w:sz w:val="20"/>
                <w:szCs w:val="20"/>
              </w:rPr>
              <w:t>Einfühlung (Vischer, 1873); kinaesthetic projection into form (Lipps, 1903); architectural empathy (Wölfflin, 1886)</w:t>
            </w:r>
          </w:p>
        </w:tc>
        <w:tc>
          <w:tcPr>
            <w:tcW w:w="396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1186583" w14:textId="77777777" w:rsidR="00A1531E" w:rsidRDefault="00000000">
            <w:r>
              <w:rPr>
                <w:sz w:val="20"/>
                <w:szCs w:val="20"/>
              </w:rPr>
              <w:t>Kāma + Līlā — bodily projection toward and into the building.</w:t>
            </w:r>
          </w:p>
        </w:tc>
      </w:tr>
      <w:tr w:rsidR="00A1531E" w14:paraId="7DBB6CCF" w14:textId="77777777" w:rsidTr="00FE37D7">
        <w:tblPrEx>
          <w:tblCellMar>
            <w:top w:w="0" w:type="dxa"/>
            <w:bottom w:w="0" w:type="dxa"/>
          </w:tblCellMar>
        </w:tblPrEx>
        <w:trPr>
          <w:trHeight w:val="760"/>
        </w:trPr>
        <w:tc>
          <w:tcPr>
            <w:tcW w:w="1598"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1C78AED" w14:textId="77777777" w:rsidR="00A1531E" w:rsidRDefault="00000000">
            <w:r>
              <w:rPr>
                <w:sz w:val="20"/>
                <w:szCs w:val="20"/>
              </w:rPr>
              <w:t>Affordance theory</w:t>
            </w:r>
          </w:p>
        </w:tc>
        <w:tc>
          <w:tcPr>
            <w:tcW w:w="3926"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F298256" w14:textId="77777777" w:rsidR="00A1531E" w:rsidRDefault="00000000">
            <w:r>
              <w:rPr>
                <w:sz w:val="20"/>
                <w:szCs w:val="20"/>
              </w:rPr>
              <w:t>Affordances (Gibson, 1979); architectural affordances (Djebbara et al., 2019)</w:t>
            </w:r>
          </w:p>
        </w:tc>
        <w:tc>
          <w:tcPr>
            <w:tcW w:w="396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679E7B9" w14:textId="77777777" w:rsidR="00A1531E" w:rsidRDefault="00000000">
            <w:r>
              <w:rPr>
                <w:sz w:val="20"/>
                <w:szCs w:val="20"/>
              </w:rPr>
              <w:t>Kāma — appetitive pull, K4 (threshold magnetism).</w:t>
            </w:r>
          </w:p>
        </w:tc>
      </w:tr>
    </w:tbl>
    <w:p w14:paraId="1A4A41C7" w14:textId="77777777" w:rsidR="00A1531E" w:rsidRDefault="00000000">
      <w:pPr>
        <w:spacing w:after="120" w:line="320" w:lineRule="auto"/>
        <w:jc w:val="both"/>
      </w:pPr>
      <w:r>
        <w:t>It is a notable historical fact that the nineteenth-century German concept of Einfühlung (literally "in-feeling"), foundational to the modern theory of empathy, was developed by Robert Vischer in explicit reference to the bodily projection a viewer undertakes when encountering architectural form. The kinaesthetic-projective mechanism Vischer identified is a structural cognate of what Abhinavagupta had described eight centuries earlier as the universalising movement of consciousness. The RSS-25 treats the two traditions as describing the same phenomenon under different theoretical vocabularies.</w:t>
      </w:r>
    </w:p>
    <w:p w14:paraId="2DCA3D72" w14:textId="77777777" w:rsidR="00A1531E" w:rsidRDefault="00000000">
      <w:pPr>
        <w:pStyle w:val="Heading1"/>
        <w:spacing w:before="280" w:after="140"/>
      </w:pPr>
      <w:r>
        <w:t>4. The Vijaya Vittala Stimulus Context</w:t>
      </w:r>
    </w:p>
    <w:p w14:paraId="42A40333" w14:textId="77777777" w:rsidR="00A1531E" w:rsidRDefault="00000000">
      <w:pPr>
        <w:spacing w:after="120" w:line="320" w:lineRule="auto"/>
        <w:jc w:val="both"/>
      </w:pPr>
      <w:r>
        <w:t>The instrument was administered after respondents had experienced the Vijaya Vittala Temple, either in situ at Hampi (Karnataka) or in an immersive virtual-reality reconstruction developed within the same research programme. Constructed in the fifteenth-sixteenth century under the Vijayanagara empire and dedicated to Viṣṇu in his Viṭṭhala form, the temple complex is distinguished by four architectural features that are explicitly named or alluded to in the RSS item text:</w:t>
      </w:r>
    </w:p>
    <w:p w14:paraId="291B8BA1" w14:textId="77777777" w:rsidR="00A1531E" w:rsidRDefault="00000000">
      <w:pPr>
        <w:pStyle w:val="ListParagraph"/>
        <w:numPr>
          <w:ilvl w:val="0"/>
          <w:numId w:val="2"/>
        </w:numPr>
        <w:spacing w:after="80" w:line="300" w:lineRule="auto"/>
      </w:pPr>
      <w:r>
        <w:rPr>
          <w:b/>
          <w:bCs/>
        </w:rPr>
        <w:lastRenderedPageBreak/>
        <w:t xml:space="preserve">The musical pillars of the Raṅga-Maṇṭapa </w:t>
      </w:r>
      <w:r>
        <w:t>— the colonnade whose individual pillars emit pitched tones when struck (RSS L3 references the rhythmic effect of the colonnade on bodily pace).</w:t>
      </w:r>
    </w:p>
    <w:p w14:paraId="20C859A3" w14:textId="77777777" w:rsidR="00A1531E" w:rsidRDefault="00000000">
      <w:pPr>
        <w:pStyle w:val="ListParagraph"/>
        <w:numPr>
          <w:ilvl w:val="0"/>
          <w:numId w:val="2"/>
        </w:numPr>
        <w:spacing w:after="80" w:line="300" w:lineRule="auto"/>
      </w:pPr>
      <w:r>
        <w:rPr>
          <w:b/>
          <w:bCs/>
        </w:rPr>
        <w:t xml:space="preserve">The Stone Chariot of Garuḍa </w:t>
      </w:r>
      <w:r>
        <w:t>— a freestanding shrine modelled as a wheeled chariot whose sculptural detail invites tactile-appetitive engagement (RSS K1, K2).</w:t>
      </w:r>
    </w:p>
    <w:p w14:paraId="412373E4" w14:textId="77777777" w:rsidR="00A1531E" w:rsidRDefault="00000000">
      <w:pPr>
        <w:pStyle w:val="ListParagraph"/>
        <w:numPr>
          <w:ilvl w:val="0"/>
          <w:numId w:val="2"/>
        </w:numPr>
        <w:spacing w:after="80" w:line="300" w:lineRule="auto"/>
      </w:pPr>
      <w:r>
        <w:rPr>
          <w:b/>
          <w:bCs/>
        </w:rPr>
        <w:t xml:space="preserve">The threshold-darkness of the garbhagṛha </w:t>
      </w:r>
      <w:r>
        <w:t>— the inner sanctum, accessed through a sequence of progressively smaller, darker mantapa chambers, producing the autonomic shift addressed by RSS M5.</w:t>
      </w:r>
    </w:p>
    <w:p w14:paraId="0821DC15" w14:textId="77777777" w:rsidR="00A1531E" w:rsidRDefault="00000000">
      <w:pPr>
        <w:pStyle w:val="ListParagraph"/>
        <w:numPr>
          <w:ilvl w:val="0"/>
          <w:numId w:val="2"/>
        </w:numPr>
        <w:spacing w:after="80" w:line="300" w:lineRule="auto"/>
      </w:pPr>
      <w:r>
        <w:rPr>
          <w:b/>
          <w:bCs/>
        </w:rPr>
        <w:t xml:space="preserve">The gopuram-courtyard scale differential </w:t>
      </w:r>
      <w:r>
        <w:t>— the towering eastern gopuram (gateway) and the contrasting open courtyards generate the vestibular and proprioceptive responses addressed by RSS A3 and L1.</w:t>
      </w:r>
    </w:p>
    <w:p w14:paraId="1604B479" w14:textId="77777777" w:rsidR="00A1531E" w:rsidRDefault="00000000">
      <w:pPr>
        <w:spacing w:after="120" w:line="320" w:lineRule="auto"/>
        <w:jc w:val="both"/>
      </w:pPr>
      <w:r>
        <w:t>Adapters of the RSS-25 to other heritage contexts should consider which items reference site-specific features (notably L3, A2, M5) and either generalise the wording or substitute equivalent features. This issue is discussed further in the revised RSS-18 manual.</w:t>
      </w:r>
    </w:p>
    <w:p w14:paraId="4D8C4B31" w14:textId="77777777" w:rsidR="00A1531E" w:rsidRDefault="00000000">
      <w:pPr>
        <w:pStyle w:val="Heading1"/>
        <w:spacing w:before="280" w:after="140"/>
      </w:pPr>
      <w:r>
        <w:t>5. The Five-Stage Embodied Engagement Model</w:t>
      </w:r>
    </w:p>
    <w:p w14:paraId="1A2D6A59" w14:textId="77777777" w:rsidR="00A1531E" w:rsidRDefault="00000000">
      <w:pPr>
        <w:pStyle w:val="Heading2"/>
        <w:spacing w:after="140"/>
      </w:pPr>
      <w:r>
        <w:t>5.1 Rationale for Five Stages</w:t>
      </w:r>
    </w:p>
    <w:p w14:paraId="5B55A01D" w14:textId="77777777" w:rsidR="00A1531E" w:rsidRDefault="00000000">
      <w:pPr>
        <w:spacing w:after="120" w:line="320" w:lineRule="auto"/>
        <w:jc w:val="both"/>
      </w:pPr>
      <w:r>
        <w:t>The five stages of the RSS-25 are not a literal partition of Bharata's rasa-theory, which enumerates eight or nine sthāyi-bhāvas and thirty-three vyabhicāri-bhāvas rather than five categorical phases. The five-stage model is a phenomenologically motivated reorganisation of the classical material into a temporal-progressive sequence: the body's encounter with the building unfolds across approximately five qualitative phases, each of which can be indexed by a small set of bodily registers. The five stages are intended to be ordinally arranged (Kāma precedes Līlā precedes Anubhava etc.) without claiming that every encounter must traverse all five, nor that the stages cannot recur.</w:t>
      </w:r>
    </w:p>
    <w:p w14:paraId="7EEC52D2" w14:textId="77777777" w:rsidR="00A1531E" w:rsidRDefault="00000000">
      <w:pPr>
        <w:pStyle w:val="Heading2"/>
        <w:spacing w:after="140"/>
      </w:pPr>
      <w:r>
        <w:t>5.2 Stage 1 — Kāma (Appetitive Pull)</w:t>
      </w:r>
    </w:p>
    <w:p w14:paraId="4B323DC5" w14:textId="77777777" w:rsidR="00A1531E" w:rsidRDefault="00000000">
      <w:pPr>
        <w:spacing w:after="120" w:line="320" w:lineRule="auto"/>
        <w:jc w:val="both"/>
      </w:pPr>
      <w:r>
        <w:rPr>
          <w:i/>
          <w:iCs/>
          <w:color w:val="1F2A4A"/>
        </w:rPr>
        <w:t xml:space="preserve">Kāma </w:t>
      </w:r>
      <w:r>
        <w:t xml:space="preserve">in classical usage names the appetitive faculty—desire, attraction, the pull toward an object that solicits the senses. In rasa-theory, it is the affective tone of </w:t>
      </w:r>
      <w:r>
        <w:rPr>
          <w:i/>
          <w:iCs/>
          <w:color w:val="1F2A4A"/>
        </w:rPr>
        <w:t xml:space="preserve">śṛṅgāra </w:t>
      </w:r>
      <w:r>
        <w:t>(the erotic or amorous rasa) and is associated by Abhinavagupta with the initial movement of consciousness toward an aesthetic object before the universalising movement of sādhāraṇīkaraṇa supervenes. In the RSS, Kāma names the phase in which the building solicits the body: surfaces want to be touched, thresholds want to be crossed, details want to be approached. The bodily register is appetitive and pre-reflective. The contemporary parallel is Gibsonian affordance theory and the empathic-projective Einfühlung of Vischer.</w:t>
      </w:r>
    </w:p>
    <w:p w14:paraId="61789597" w14:textId="77777777" w:rsidR="00A1531E" w:rsidRDefault="00000000">
      <w:pPr>
        <w:pStyle w:val="Heading2"/>
        <w:spacing w:after="140"/>
      </w:pPr>
      <w:r>
        <w:t>5.3 Stage 2 — Līlā (Kinaesthetic Play)</w:t>
      </w:r>
    </w:p>
    <w:p w14:paraId="6A0FB8B1" w14:textId="77777777" w:rsidR="00A1531E" w:rsidRDefault="00000000">
      <w:pPr>
        <w:spacing w:after="120" w:line="320" w:lineRule="auto"/>
        <w:jc w:val="both"/>
      </w:pPr>
      <w:r>
        <w:rPr>
          <w:i/>
          <w:iCs/>
          <w:color w:val="1F2A4A"/>
        </w:rPr>
        <w:lastRenderedPageBreak/>
        <w:t xml:space="preserve">Līlā </w:t>
      </w:r>
      <w:r>
        <w:t>(divine play, sport, spontaneous activity) is a central category in Vaiṣṇava and Śaiva theology, naming the playful, unmotivated activity of the divine in creating and sustaining the cosmos. In the RSS, Līlā names the phase in which the body, having been solicited (Kāma), begins to play in dialogue with the architecture: pace changes, posture adjusts, gaze tilts, breath modulates. The body is not yet undergoing the building (Anubhava) nor unified with it (Yoga); it is improvising in conversation with it. The contemporary parallel is Merleau-Ponty's notion of the body-schema in active perceptual engagement.</w:t>
      </w:r>
    </w:p>
    <w:p w14:paraId="782D3B49" w14:textId="77777777" w:rsidR="00A1531E" w:rsidRDefault="00000000">
      <w:pPr>
        <w:pStyle w:val="Heading2"/>
        <w:spacing w:after="140"/>
      </w:pPr>
      <w:r>
        <w:t>5.4 Stage 3 — Anubhava (Sensory Inscription)</w:t>
      </w:r>
    </w:p>
    <w:p w14:paraId="7A484951" w14:textId="77777777" w:rsidR="00A1531E" w:rsidRDefault="00000000">
      <w:pPr>
        <w:spacing w:after="120" w:line="320" w:lineRule="auto"/>
        <w:jc w:val="both"/>
      </w:pPr>
      <w:r>
        <w:rPr>
          <w:i/>
          <w:iCs/>
          <w:color w:val="1F2A4A"/>
        </w:rPr>
        <w:t xml:space="preserve">Anubhava </w:t>
      </w:r>
      <w:r>
        <w:t xml:space="preserve">in rasa-theory names the consequent—the outward bodily expression of inner emotional state. Bharata's usage is primarily theatrical (the actor's bodily manifestation of the character's emotion), but the term has a parallel sense in Indian epistemology where </w:t>
      </w:r>
      <w:r>
        <w:rPr>
          <w:i/>
          <w:iCs/>
          <w:color w:val="1F2A4A"/>
        </w:rPr>
        <w:t xml:space="preserve">anubhava </w:t>
      </w:r>
      <w:r>
        <w:t>denotes direct experience as opposed to inferential or testimonial knowledge. The RSS deploys the term in this second, epistemic sense: Anubhava is the phase in which sensory engagement with the building becomes inscribed as embodied knowledge—the weight of stone is known by hand, the scale is known by vestibular sensation, the acoustic envelope is known by skin and ear together. The contemporary parallel is the embodied-cognition concept of sensorimotor simulation and Gallese's notion of embodied simulation as the basis of perceptual understanding.</w:t>
      </w:r>
    </w:p>
    <w:p w14:paraId="4231948C" w14:textId="77777777" w:rsidR="00A1531E" w:rsidRDefault="00000000">
      <w:pPr>
        <w:pStyle w:val="Heading2"/>
        <w:spacing w:after="140"/>
      </w:pPr>
      <w:r>
        <w:t>5.5 Stage 4 — Mahā-bhāva (Involuntary Autonomic Affect)</w:t>
      </w:r>
    </w:p>
    <w:p w14:paraId="031C9CE6" w14:textId="77777777" w:rsidR="00A1531E" w:rsidRDefault="00000000">
      <w:pPr>
        <w:spacing w:after="120" w:line="320" w:lineRule="auto"/>
        <w:jc w:val="both"/>
      </w:pPr>
      <w:r>
        <w:rPr>
          <w:i/>
          <w:iCs/>
          <w:color w:val="1F2A4A"/>
        </w:rPr>
        <w:t xml:space="preserve">Mahā-bhāva </w:t>
      </w:r>
      <w:r>
        <w:t>("great state") is a term used in later Vaiṣṇava aesthetics (particularly the Gauḍīya school of Rūpa Gosvāmin) to name the peak intensity of devotional emotion in which the sāttvika-bhāvas become fully manifest. The RSS adopts this term to name the phase in which the body's autonomic responses—the eight sāttvika-bhāvas of Bharata—register the building's impact involuntarily: breath catches, skin tingles, balance shifts, stillness imposes itself. This is the most directly classical of the five subscales. The contemporary parallel is Ishizu and Zeki's neuroaesthetics of the sublime and Keltner and Haidt's psychology of awe.</w:t>
      </w:r>
    </w:p>
    <w:p w14:paraId="7BBBD574" w14:textId="77777777" w:rsidR="00A1531E" w:rsidRDefault="00000000">
      <w:pPr>
        <w:pStyle w:val="Heading2"/>
        <w:spacing w:after="140"/>
      </w:pPr>
      <w:r>
        <w:t>5.6 Stage 5 — Yoga-Sthiti (Unitive Embodiment)</w:t>
      </w:r>
    </w:p>
    <w:p w14:paraId="6FF8C24B" w14:textId="77777777" w:rsidR="00A1531E" w:rsidRDefault="00000000">
      <w:pPr>
        <w:spacing w:after="120" w:line="320" w:lineRule="auto"/>
        <w:jc w:val="both"/>
      </w:pPr>
      <w:r>
        <w:rPr>
          <w:i/>
          <w:iCs/>
          <w:color w:val="1F2A4A"/>
        </w:rPr>
        <w:t xml:space="preserve">Yoga </w:t>
      </w:r>
      <w:r>
        <w:t xml:space="preserve">in its broadest Sanskrit sense names yoking or union, and </w:t>
      </w:r>
      <w:r>
        <w:rPr>
          <w:i/>
          <w:iCs/>
          <w:color w:val="1F2A4A"/>
        </w:rPr>
        <w:t xml:space="preserve">sthiti </w:t>
      </w:r>
      <w:r>
        <w:t xml:space="preserve">names a settled state of attainment. The RSS uses </w:t>
      </w:r>
      <w:r>
        <w:rPr>
          <w:i/>
          <w:iCs/>
          <w:color w:val="1F2A4A"/>
        </w:rPr>
        <w:t xml:space="preserve">Yoga-Sthiti </w:t>
      </w:r>
      <w:r>
        <w:t>to name the phase in which the boundary between body and building becomes porous: the visitor stops feeling like a visitor; proportions feel responsive to the body; description shifts from the visual to the experiential register. This is the phenomenal counterpart of Abhinavagupta's sādhāraṇīkaraṇa. The contemporary parallel is Pallasmaa's account of the lived body's permeability to architectural atmosphere and Robinson and Pallasmaa's broader programme for embodied architectural cognition.</w:t>
      </w:r>
    </w:p>
    <w:p w14:paraId="3542B175" w14:textId="77777777" w:rsidR="00A1531E" w:rsidRDefault="00000000">
      <w:pPr>
        <w:pStyle w:val="Heading1"/>
        <w:spacing w:before="280" w:after="140"/>
      </w:pPr>
      <w:r>
        <w:lastRenderedPageBreak/>
        <w:t>6. The Body Anchor System (Śarīra-Cartography)</w:t>
      </w:r>
    </w:p>
    <w:p w14:paraId="5A9E92DE" w14:textId="77777777" w:rsidR="00A1531E" w:rsidRDefault="00000000">
      <w:pPr>
        <w:spacing w:after="120" w:line="320" w:lineRule="auto"/>
        <w:jc w:val="both"/>
      </w:pPr>
      <w:r>
        <w:t xml:space="preserve">The </w:t>
      </w:r>
      <w:r>
        <w:rPr>
          <w:i/>
          <w:iCs/>
          <w:color w:val="1F2A4A"/>
        </w:rPr>
        <w:t xml:space="preserve">śarīra </w:t>
      </w:r>
      <w:r>
        <w:t>("body") component of the scale's name signals its distinctive methodological commitment: every item is paired with an explicit body anchor cue, presented in italics in the administered form. The function of the anchor is twofold. First, it disambiguates the item phenomenologically: an item about "feeling drawn" without an anchor is ambiguous between cognitive, affective, and somatic registers, but "</w:t>
      </w:r>
      <w:r>
        <w:rPr>
          <w:i/>
          <w:iCs/>
        </w:rPr>
        <w:t>Body anchor: Hand</w:t>
      </w:r>
      <w:r>
        <w:t>" focalises the respondent's attention. Second, it prevents the response from being a generic emotional report; the body anchor forces the respondent to consult a specific bodily register before answering.</w:t>
      </w:r>
    </w:p>
    <w:p w14:paraId="107545CA" w14:textId="77777777" w:rsidR="00A1531E" w:rsidRDefault="00000000">
      <w:pPr>
        <w:spacing w:after="120" w:line="320" w:lineRule="auto"/>
        <w:jc w:val="both"/>
      </w:pPr>
      <w:r>
        <w:rPr>
          <w:b/>
          <w:bCs/>
        </w:rPr>
        <w:t xml:space="preserve">Table 2. </w:t>
      </w:r>
      <w:r>
        <w:rPr>
          <w:i/>
          <w:iCs/>
        </w:rPr>
        <w:t>Inventory of body anchors used in the RSS-25, organised by region.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1800"/>
        <w:gridCol w:w="2000"/>
        <w:gridCol w:w="4360"/>
      </w:tblGrid>
      <w:tr w:rsidR="00A1531E" w14:paraId="79B46D24" w14:textId="77777777">
        <w:tblPrEx>
          <w:tblCellMar>
            <w:top w:w="0" w:type="dxa"/>
            <w:bottom w:w="0" w:type="dxa"/>
          </w:tblCellMar>
        </w:tblPrEx>
        <w:trPr>
          <w:tblHeader/>
        </w:trPr>
        <w:tc>
          <w:tcPr>
            <w:tcW w:w="1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7E030283" w14:textId="77777777" w:rsidR="00A1531E" w:rsidRDefault="00000000">
            <w:r>
              <w:rPr>
                <w:b/>
                <w:bCs/>
                <w:color w:val="FFFFFF"/>
                <w:sz w:val="20"/>
                <w:szCs w:val="20"/>
              </w:rPr>
              <w:t>Region</w:t>
            </w:r>
          </w:p>
        </w:tc>
        <w:tc>
          <w:tcPr>
            <w:tcW w:w="18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54845B44" w14:textId="77777777" w:rsidR="00A1531E" w:rsidRDefault="00000000">
            <w:r>
              <w:rPr>
                <w:b/>
                <w:bCs/>
                <w:color w:val="FFFFFF"/>
                <w:sz w:val="20"/>
                <w:szCs w:val="20"/>
              </w:rPr>
              <w:t>Body anchor</w:t>
            </w:r>
          </w:p>
        </w:tc>
        <w:tc>
          <w:tcPr>
            <w:tcW w:w="20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74AE2D52" w14:textId="77777777" w:rsidR="00A1531E" w:rsidRDefault="00000000">
            <w:r>
              <w:rPr>
                <w:b/>
                <w:bCs/>
                <w:color w:val="FFFFFF"/>
                <w:sz w:val="20"/>
                <w:szCs w:val="20"/>
              </w:rPr>
              <w:t>RSS items</w:t>
            </w:r>
          </w:p>
        </w:tc>
        <w:tc>
          <w:tcPr>
            <w:tcW w:w="436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590D9906" w14:textId="77777777" w:rsidR="00A1531E" w:rsidRDefault="00000000">
            <w:r>
              <w:rPr>
                <w:b/>
                <w:bCs/>
                <w:color w:val="FFFFFF"/>
                <w:sz w:val="20"/>
                <w:szCs w:val="20"/>
              </w:rPr>
              <w:t>Functional rationale</w:t>
            </w:r>
          </w:p>
        </w:tc>
      </w:tr>
      <w:tr w:rsidR="00A1531E" w14:paraId="16C47E83"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9CC08D9" w14:textId="77777777" w:rsidR="00A1531E" w:rsidRDefault="00000000">
            <w:r>
              <w:rPr>
                <w:sz w:val="20"/>
                <w:szCs w:val="20"/>
              </w:rPr>
              <w:t>Upper extremity</w:t>
            </w:r>
          </w:p>
        </w:tc>
        <w:tc>
          <w:tcPr>
            <w:tcW w:w="1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37C2F98" w14:textId="77777777" w:rsidR="00A1531E" w:rsidRDefault="00000000">
            <w:r>
              <w:rPr>
                <w:sz w:val="20"/>
                <w:szCs w:val="20"/>
              </w:rPr>
              <w:t>Hand / Hands</w:t>
            </w:r>
          </w:p>
        </w:tc>
        <w:tc>
          <w:tcPr>
            <w:tcW w:w="2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E3AADFE" w14:textId="77777777" w:rsidR="00A1531E" w:rsidRDefault="00000000">
            <w:r>
              <w:rPr>
                <w:sz w:val="20"/>
                <w:szCs w:val="20"/>
              </w:rPr>
              <w:t>K1, A1</w:t>
            </w:r>
          </w:p>
        </w:tc>
        <w:tc>
          <w:tcPr>
            <w:tcW w:w="4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C319F98" w14:textId="77777777" w:rsidR="00A1531E" w:rsidRDefault="00000000">
            <w:r>
              <w:rPr>
                <w:sz w:val="20"/>
                <w:szCs w:val="20"/>
              </w:rPr>
              <w:t>Tactile-haptic perception of surface and weight.</w:t>
            </w:r>
          </w:p>
        </w:tc>
      </w:tr>
      <w:tr w:rsidR="00A1531E" w14:paraId="50DBDCDD"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B361779" w14:textId="77777777" w:rsidR="00A1531E" w:rsidRDefault="00000000">
            <w:r>
              <w:rPr>
                <w:sz w:val="20"/>
                <w:szCs w:val="20"/>
              </w:rPr>
              <w:t>Axial</w:t>
            </w:r>
          </w:p>
        </w:tc>
        <w:tc>
          <w:tcPr>
            <w:tcW w:w="1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52F330E" w14:textId="77777777" w:rsidR="00A1531E" w:rsidRDefault="00000000">
            <w:r>
              <w:rPr>
                <w:sz w:val="20"/>
                <w:szCs w:val="20"/>
              </w:rPr>
              <w:t>Torso, Spine/Neck, Chest</w:t>
            </w:r>
          </w:p>
        </w:tc>
        <w:tc>
          <w:tcPr>
            <w:tcW w:w="2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EC67F78" w14:textId="77777777" w:rsidR="00A1531E" w:rsidRDefault="00000000">
            <w:r>
              <w:rPr>
                <w:sz w:val="20"/>
                <w:szCs w:val="20"/>
              </w:rPr>
              <w:t>K2, L2, L5, M1, A4</w:t>
            </w:r>
          </w:p>
        </w:tc>
        <w:tc>
          <w:tcPr>
            <w:tcW w:w="4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0150133" w14:textId="77777777" w:rsidR="00A1531E" w:rsidRDefault="00000000">
            <w:r>
              <w:rPr>
                <w:sz w:val="20"/>
                <w:szCs w:val="20"/>
              </w:rPr>
              <w:t>Postural orientation, breath regulation, autonomic chest response.</w:t>
            </w:r>
          </w:p>
        </w:tc>
      </w:tr>
      <w:tr w:rsidR="00A1531E" w14:paraId="4DE04D28"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DB4F43C" w14:textId="77777777" w:rsidR="00A1531E" w:rsidRDefault="00000000">
            <w:r>
              <w:rPr>
                <w:sz w:val="20"/>
                <w:szCs w:val="20"/>
              </w:rPr>
              <w:t>Lower extremity</w:t>
            </w:r>
          </w:p>
        </w:tc>
        <w:tc>
          <w:tcPr>
            <w:tcW w:w="1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20A757E" w14:textId="77777777" w:rsidR="00A1531E" w:rsidRDefault="00000000">
            <w:r>
              <w:rPr>
                <w:sz w:val="20"/>
                <w:szCs w:val="20"/>
              </w:rPr>
              <w:t>Feet, Legs</w:t>
            </w:r>
          </w:p>
        </w:tc>
        <w:tc>
          <w:tcPr>
            <w:tcW w:w="2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64A387E" w14:textId="77777777" w:rsidR="00A1531E" w:rsidRDefault="00000000">
            <w:r>
              <w:rPr>
                <w:sz w:val="20"/>
                <w:szCs w:val="20"/>
              </w:rPr>
              <w:t>K3, K5, L1, L3</w:t>
            </w:r>
          </w:p>
        </w:tc>
        <w:tc>
          <w:tcPr>
            <w:tcW w:w="4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8660BD3" w14:textId="77777777" w:rsidR="00A1531E" w:rsidRDefault="00000000">
            <w:r>
              <w:rPr>
                <w:sz w:val="20"/>
                <w:szCs w:val="20"/>
              </w:rPr>
              <w:t>Locomotor behaviour: approach, lingering, pace, rhythm.</w:t>
            </w:r>
          </w:p>
        </w:tc>
      </w:tr>
      <w:tr w:rsidR="00A1531E" w14:paraId="39E05263"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0FCD784" w14:textId="77777777" w:rsidR="00A1531E" w:rsidRDefault="00000000">
            <w:r>
              <w:rPr>
                <w:sz w:val="20"/>
                <w:szCs w:val="20"/>
              </w:rPr>
              <w:t>Skin / surface</w:t>
            </w:r>
          </w:p>
        </w:tc>
        <w:tc>
          <w:tcPr>
            <w:tcW w:w="1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EE4B094" w14:textId="77777777" w:rsidR="00A1531E" w:rsidRDefault="00000000">
            <w:r>
              <w:rPr>
                <w:sz w:val="20"/>
                <w:szCs w:val="20"/>
              </w:rPr>
              <w:t>Skin, Skin+Ears</w:t>
            </w:r>
          </w:p>
        </w:tc>
        <w:tc>
          <w:tcPr>
            <w:tcW w:w="2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656FE7F" w14:textId="77777777" w:rsidR="00A1531E" w:rsidRDefault="00000000">
            <w:r>
              <w:rPr>
                <w:sz w:val="20"/>
                <w:szCs w:val="20"/>
              </w:rPr>
              <w:t>A2, M2, A4</w:t>
            </w:r>
          </w:p>
        </w:tc>
        <w:tc>
          <w:tcPr>
            <w:tcW w:w="4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26E3B28" w14:textId="77777777" w:rsidR="00A1531E" w:rsidRDefault="00000000">
            <w:r>
              <w:rPr>
                <w:sz w:val="20"/>
                <w:szCs w:val="20"/>
              </w:rPr>
              <w:t>Thermoceptive and piloerection responses.</w:t>
            </w:r>
          </w:p>
        </w:tc>
      </w:tr>
      <w:tr w:rsidR="00A1531E" w14:paraId="5AB23733"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DC5662C" w14:textId="77777777" w:rsidR="00A1531E" w:rsidRDefault="00000000">
            <w:r>
              <w:rPr>
                <w:sz w:val="20"/>
                <w:szCs w:val="20"/>
              </w:rPr>
              <w:t>Vestibular / proprioceptive</w:t>
            </w:r>
          </w:p>
        </w:tc>
        <w:tc>
          <w:tcPr>
            <w:tcW w:w="1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8ED8764" w14:textId="77777777" w:rsidR="00A1531E" w:rsidRDefault="00000000">
            <w:r>
              <w:rPr>
                <w:sz w:val="20"/>
                <w:szCs w:val="20"/>
              </w:rPr>
              <w:t>Vestibular, Proprioception</w:t>
            </w:r>
          </w:p>
        </w:tc>
        <w:tc>
          <w:tcPr>
            <w:tcW w:w="2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B6FE643" w14:textId="77777777" w:rsidR="00A1531E" w:rsidRDefault="00000000">
            <w:r>
              <w:rPr>
                <w:sz w:val="20"/>
                <w:szCs w:val="20"/>
              </w:rPr>
              <w:t>A3, M3, Y3</w:t>
            </w:r>
          </w:p>
        </w:tc>
        <w:tc>
          <w:tcPr>
            <w:tcW w:w="4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EE1777F" w14:textId="77777777" w:rsidR="00A1531E" w:rsidRDefault="00000000">
            <w:r>
              <w:rPr>
                <w:sz w:val="20"/>
                <w:szCs w:val="20"/>
              </w:rPr>
              <w:t>Sense of self-in-space and scale.</w:t>
            </w:r>
          </w:p>
        </w:tc>
      </w:tr>
      <w:tr w:rsidR="00A1531E" w14:paraId="5357295F"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1FC874F" w14:textId="77777777" w:rsidR="00A1531E" w:rsidRDefault="00000000">
            <w:r>
              <w:rPr>
                <w:sz w:val="20"/>
                <w:szCs w:val="20"/>
              </w:rPr>
              <w:t>Whole body / body-schema</w:t>
            </w:r>
          </w:p>
        </w:tc>
        <w:tc>
          <w:tcPr>
            <w:tcW w:w="1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FDF84C4" w14:textId="77777777" w:rsidR="00A1531E" w:rsidRDefault="00000000">
            <w:r>
              <w:rPr>
                <w:sz w:val="20"/>
                <w:szCs w:val="20"/>
              </w:rPr>
              <w:t>Whole body, Body schema, Core</w:t>
            </w:r>
          </w:p>
        </w:tc>
        <w:tc>
          <w:tcPr>
            <w:tcW w:w="2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CF52D58" w14:textId="77777777" w:rsidR="00A1531E" w:rsidRDefault="00000000">
            <w:r>
              <w:rPr>
                <w:sz w:val="20"/>
                <w:szCs w:val="20"/>
              </w:rPr>
              <w:t>K4, L4, A5, M4, Y1, Y2, Y4</w:t>
            </w:r>
          </w:p>
        </w:tc>
        <w:tc>
          <w:tcPr>
            <w:tcW w:w="4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4D96727" w14:textId="77777777" w:rsidR="00A1531E" w:rsidRDefault="00000000">
            <w:r>
              <w:rPr>
                <w:sz w:val="20"/>
                <w:szCs w:val="20"/>
              </w:rPr>
              <w:t>Global postural-affective response and unitive embodiment.</w:t>
            </w:r>
          </w:p>
        </w:tc>
      </w:tr>
      <w:tr w:rsidR="00A1531E" w14:paraId="6194676B"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1DAF20F" w14:textId="77777777" w:rsidR="00A1531E" w:rsidRDefault="00000000">
            <w:r>
              <w:rPr>
                <w:sz w:val="20"/>
                <w:szCs w:val="20"/>
              </w:rPr>
              <w:t>Cognitive-perceptual</w:t>
            </w:r>
          </w:p>
        </w:tc>
        <w:tc>
          <w:tcPr>
            <w:tcW w:w="1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7850D67" w14:textId="77777777" w:rsidR="00A1531E" w:rsidRDefault="00000000">
            <w:r>
              <w:rPr>
                <w:sz w:val="20"/>
                <w:szCs w:val="20"/>
              </w:rPr>
              <w:t>Eyes+Chest, Language shift</w:t>
            </w:r>
          </w:p>
        </w:tc>
        <w:tc>
          <w:tcPr>
            <w:tcW w:w="2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6600E19" w14:textId="77777777" w:rsidR="00A1531E" w:rsidRDefault="00000000">
            <w:r>
              <w:rPr>
                <w:sz w:val="20"/>
                <w:szCs w:val="20"/>
              </w:rPr>
              <w:t>M5, Y5</w:t>
            </w:r>
          </w:p>
        </w:tc>
        <w:tc>
          <w:tcPr>
            <w:tcW w:w="4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E099B37" w14:textId="77777777" w:rsidR="00A1531E" w:rsidRDefault="00000000">
            <w:r>
              <w:rPr>
                <w:sz w:val="20"/>
                <w:szCs w:val="20"/>
              </w:rPr>
              <w:t>Crossings between sensory and cognitive registers (bright-dark transition; descriptive register shift).</w:t>
            </w:r>
          </w:p>
        </w:tc>
      </w:tr>
    </w:tbl>
    <w:p w14:paraId="155056EE" w14:textId="77777777" w:rsidR="00A1531E" w:rsidRDefault="00000000">
      <w:pPr>
        <w:pStyle w:val="Heading1"/>
        <w:spacing w:before="280" w:after="140"/>
      </w:pPr>
      <w:r>
        <w:t>7. Item-Writing Principles</w:t>
      </w:r>
    </w:p>
    <w:p w14:paraId="4623A0E2" w14:textId="77777777" w:rsidR="00A1531E" w:rsidRDefault="00000000">
      <w:pPr>
        <w:spacing w:after="120" w:line="320" w:lineRule="auto"/>
        <w:jc w:val="both"/>
      </w:pPr>
      <w:r>
        <w:t>Items were drafted under six rules, which constitute the construction logic of the RSS-25 and should be followed by any adapter producing additional items in this format:</w:t>
      </w:r>
    </w:p>
    <w:p w14:paraId="5FDFCF52" w14:textId="77777777" w:rsidR="00A1531E" w:rsidRDefault="00000000">
      <w:pPr>
        <w:pStyle w:val="ListParagraph"/>
        <w:numPr>
          <w:ilvl w:val="0"/>
          <w:numId w:val="2"/>
        </w:numPr>
        <w:spacing w:after="80" w:line="300" w:lineRule="auto"/>
      </w:pPr>
      <w:r>
        <w:rPr>
          <w:b/>
          <w:bCs/>
        </w:rPr>
        <w:t xml:space="preserve">Rule 1: Body anchor first. </w:t>
      </w:r>
      <w:r>
        <w:t>Every item must specify a body anchor. Items without a clear bodily locus were rejected at the drafting stage.</w:t>
      </w:r>
    </w:p>
    <w:p w14:paraId="28217919" w14:textId="77777777" w:rsidR="00A1531E" w:rsidRDefault="00000000">
      <w:pPr>
        <w:pStyle w:val="ListParagraph"/>
        <w:numPr>
          <w:ilvl w:val="0"/>
          <w:numId w:val="2"/>
        </w:numPr>
        <w:spacing w:after="80" w:line="300" w:lineRule="auto"/>
      </w:pPr>
      <w:r>
        <w:rPr>
          <w:b/>
          <w:bCs/>
        </w:rPr>
        <w:t xml:space="preserve">Rule 2: First-person past or present. </w:t>
      </w:r>
      <w:r>
        <w:t>Items are written in the first person and refer to a recent encounter; "I felt," "my body adjusted," "I noticed." This prevents items from drifting into general aesthetic preferences.</w:t>
      </w:r>
    </w:p>
    <w:p w14:paraId="272F74AC" w14:textId="77777777" w:rsidR="00A1531E" w:rsidRDefault="00000000">
      <w:pPr>
        <w:pStyle w:val="ListParagraph"/>
        <w:numPr>
          <w:ilvl w:val="0"/>
          <w:numId w:val="2"/>
        </w:numPr>
        <w:spacing w:after="80" w:line="300" w:lineRule="auto"/>
      </w:pPr>
      <w:r>
        <w:rPr>
          <w:b/>
          <w:bCs/>
        </w:rPr>
        <w:t xml:space="preserve">Rule 3: One body register per item. </w:t>
      </w:r>
      <w:r>
        <w:t>Items pair one phenomenological register with one body region. L5 violates this rule (it pairs breath with two architectural conditions) and is consequently flagged for revision in the RSS-18.</w:t>
      </w:r>
    </w:p>
    <w:p w14:paraId="629BB3FD" w14:textId="77777777" w:rsidR="00A1531E" w:rsidRDefault="00000000">
      <w:pPr>
        <w:pStyle w:val="ListParagraph"/>
        <w:numPr>
          <w:ilvl w:val="0"/>
          <w:numId w:val="2"/>
        </w:numPr>
        <w:spacing w:after="80" w:line="300" w:lineRule="auto"/>
      </w:pPr>
      <w:r>
        <w:rPr>
          <w:b/>
          <w:bCs/>
        </w:rPr>
        <w:lastRenderedPageBreak/>
        <w:t xml:space="preserve">Rule 4: Non-evaluative. </w:t>
      </w:r>
      <w:r>
        <w:t>Items describe what the body did, not whether the respondent liked the building. Aesthetic judgement is excluded; embodied response is included.</w:t>
      </w:r>
    </w:p>
    <w:p w14:paraId="0A54D205" w14:textId="77777777" w:rsidR="00A1531E" w:rsidRDefault="00000000">
      <w:pPr>
        <w:pStyle w:val="ListParagraph"/>
        <w:numPr>
          <w:ilvl w:val="0"/>
          <w:numId w:val="2"/>
        </w:numPr>
        <w:spacing w:after="80" w:line="300" w:lineRule="auto"/>
      </w:pPr>
      <w:r>
        <w:rPr>
          <w:b/>
          <w:bCs/>
        </w:rPr>
        <w:t xml:space="preserve">Rule 5: Cultural reference selectivity. </w:t>
      </w:r>
      <w:r>
        <w:t>Where an item references a specific architectural feature ("colonnade," "sanctum," "courtyard"), the reference must be applicable to the Vijaya Vittala stimulus. For cross-stimulus adaptation, these items require generalisation.</w:t>
      </w:r>
    </w:p>
    <w:p w14:paraId="7309CCE0" w14:textId="77777777" w:rsidR="00A1531E" w:rsidRDefault="00000000">
      <w:pPr>
        <w:pStyle w:val="ListParagraph"/>
        <w:numPr>
          <w:ilvl w:val="0"/>
          <w:numId w:val="2"/>
        </w:numPr>
        <w:spacing w:after="80" w:line="300" w:lineRule="auto"/>
      </w:pPr>
      <w:r>
        <w:rPr>
          <w:b/>
          <w:bCs/>
        </w:rPr>
        <w:t xml:space="preserve">Rule 6: Five-item subscale parity. </w:t>
      </w:r>
      <w:r>
        <w:t>Each subscale contains exactly five items. This is methodologically conventional and preserves balance across the five hypothesised stages.</w:t>
      </w:r>
    </w:p>
    <w:p w14:paraId="5A059D04" w14:textId="77777777" w:rsidR="00A1531E" w:rsidRDefault="00000000">
      <w:pPr>
        <w:pStyle w:val="Heading1"/>
        <w:spacing w:before="280" w:after="140"/>
      </w:pPr>
      <w:r>
        <w:t>8. Response Format Rationale</w:t>
      </w:r>
    </w:p>
    <w:p w14:paraId="24659505" w14:textId="77777777" w:rsidR="00A1531E" w:rsidRDefault="00000000">
      <w:pPr>
        <w:spacing w:after="120" w:line="320" w:lineRule="auto"/>
        <w:jc w:val="both"/>
      </w:pPr>
      <w:r>
        <w:t>The RSS-25 uses a 7-point Likert scale (1 = strongly disagree, 7 = strongly agree) for every item. The 7-point format was selected over alternatives (5-point, 9-point, semantic differential, VAS) on four grounds. First, the 7-point format is the convention in aesthetic-emotion research (it is used by AESTHEMOS, AWE-S, and the Aesthetic Experience Questionnaire), permitting future convergent-validity correlations on a common metric. Second, the 7-point format provides more discrimination than a 5-point scale at the upper end of the distribution—important here because expert respondents are expected to skew positive, and a 5-point scale would compress the informative range (the realised data confirm this: every item used the full 1–7 range, with ceiling endorsement of 6.5%–41.9%). Third, the 7-point format remains manageable cognitively for self-administration and does not require fine perceptual discriminations of the kind that 9-point or 11-point scales demand. Fourth, the 7-point format permits parametric analyses under the standard assumption of approximately equal-interval spacing between adjacent anchors.</w:t>
      </w:r>
    </w:p>
    <w:p w14:paraId="6812B03D" w14:textId="77777777" w:rsidR="00A1531E" w:rsidRDefault="00000000">
      <w:pPr>
        <w:spacing w:after="120" w:line="320" w:lineRule="auto"/>
        <w:jc w:val="both"/>
      </w:pPr>
      <w:r>
        <w:t>The stem prompt presented to respondents was: "You have just experienced the Vijaya Vittala Temple. Focus on what your BODY felt. Did the experience make your body want to physically engage with the architecture? Rate each statement 1–7." This stem encodes the instrument's operational definition of embodied engagement and orients respondents toward the bodily register from the outset.</w:t>
      </w:r>
    </w:p>
    <w:p w14:paraId="300002AE" w14:textId="77777777" w:rsidR="00A1531E" w:rsidRDefault="00000000">
      <w:r>
        <w:br w:type="page"/>
      </w:r>
    </w:p>
    <w:p w14:paraId="0B73A3FB" w14:textId="77777777" w:rsidR="00A1531E" w:rsidRDefault="00000000">
      <w:pPr>
        <w:pStyle w:val="Heading1"/>
        <w:spacing w:before="280" w:after="140"/>
      </w:pPr>
      <w:r>
        <w:lastRenderedPageBreak/>
        <w:t>9. Item-by-Item Provenance</w:t>
      </w:r>
    </w:p>
    <w:p w14:paraId="6E6694B2" w14:textId="77777777" w:rsidR="00A1531E" w:rsidRDefault="00000000">
      <w:pPr>
        <w:spacing w:after="120" w:line="320" w:lineRule="auto"/>
        <w:jc w:val="both"/>
      </w:pPr>
      <w:r>
        <w:t>Table 3 provides the complete provenance lineage of all 25 RSS items. Each item is listed with (a) the item text as administered, (b) the body anchor, (c) the classical Sanskrit or rasa-theoretic concept from which the item derives, (d) the contemporary parallel literature, and (e) the design rationale specific to that item.</w:t>
      </w:r>
    </w:p>
    <w:p w14:paraId="70635990" w14:textId="77777777" w:rsidR="00A1531E" w:rsidRDefault="00000000">
      <w:pPr>
        <w:spacing w:after="120" w:line="320" w:lineRule="auto"/>
        <w:jc w:val="both"/>
      </w:pPr>
      <w:r>
        <w:rPr>
          <w:b/>
          <w:bCs/>
        </w:rPr>
        <w:t xml:space="preserve">Table 3. </w:t>
      </w:r>
      <w:r>
        <w:rPr>
          <w:i/>
          <w:iCs/>
        </w:rPr>
        <w:t>Full provenance of all 25 RSS items.</w:t>
      </w:r>
    </w:p>
    <w:p w14:paraId="73B9EAAE" w14:textId="77777777" w:rsidR="00FE37D7" w:rsidRDefault="00000000">
      <w:pPr>
        <w:pStyle w:val="Heading1"/>
        <w:spacing w:before="280" w:after="140"/>
      </w:pPr>
      <w:r>
        <w:t>10. Administration Procedure</w:t>
      </w:r>
    </w:p>
    <w:tbl>
      <w:tblPr>
        <w:tblW w:w="10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7"/>
        <w:gridCol w:w="2778"/>
        <w:gridCol w:w="1418"/>
        <w:gridCol w:w="1606"/>
        <w:gridCol w:w="1708"/>
        <w:gridCol w:w="2044"/>
      </w:tblGrid>
      <w:tr w:rsidR="00FE37D7" w14:paraId="349EEC65" w14:textId="77777777" w:rsidTr="00FE37D7">
        <w:tblPrEx>
          <w:tblCellMar>
            <w:top w:w="0" w:type="dxa"/>
            <w:bottom w:w="0" w:type="dxa"/>
          </w:tblCellMar>
        </w:tblPrEx>
        <w:trPr>
          <w:trHeight w:val="279"/>
          <w:tblHeader/>
        </w:trPr>
        <w:tc>
          <w:tcPr>
            <w:tcW w:w="563"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3E6D156A" w14:textId="77777777" w:rsidR="00FE37D7" w:rsidRDefault="00FE37D7" w:rsidP="00C82F49">
            <w:r>
              <w:rPr>
                <w:b/>
                <w:bCs/>
                <w:color w:val="FFFFFF"/>
                <w:sz w:val="20"/>
                <w:szCs w:val="20"/>
              </w:rPr>
              <w:t>Item</w:t>
            </w:r>
          </w:p>
        </w:tc>
        <w:tc>
          <w:tcPr>
            <w:tcW w:w="2893"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79DB5540" w14:textId="77777777" w:rsidR="00FE37D7" w:rsidRDefault="00FE37D7" w:rsidP="00C82F49">
            <w:r>
              <w:rPr>
                <w:b/>
                <w:bCs/>
                <w:color w:val="FFFFFF"/>
                <w:sz w:val="20"/>
                <w:szCs w:val="20"/>
              </w:rPr>
              <w:t>Text</w:t>
            </w:r>
          </w:p>
        </w:tc>
        <w:tc>
          <w:tcPr>
            <w:tcW w:w="1361"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6E627EF8" w14:textId="77777777" w:rsidR="00FE37D7" w:rsidRDefault="00FE37D7" w:rsidP="00C82F49">
            <w:r>
              <w:rPr>
                <w:b/>
                <w:bCs/>
                <w:color w:val="FFFFFF"/>
                <w:sz w:val="20"/>
                <w:szCs w:val="20"/>
              </w:rPr>
              <w:t>Anchor</w:t>
            </w:r>
          </w:p>
        </w:tc>
        <w:tc>
          <w:tcPr>
            <w:tcW w:w="161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53ADE08F" w14:textId="77777777" w:rsidR="00FE37D7" w:rsidRDefault="00FE37D7" w:rsidP="00C82F49">
            <w:r>
              <w:rPr>
                <w:b/>
                <w:bCs/>
                <w:color w:val="FFFFFF"/>
                <w:sz w:val="20"/>
                <w:szCs w:val="20"/>
              </w:rPr>
              <w:t>Sanskrit / rasa source</w:t>
            </w:r>
          </w:p>
        </w:tc>
        <w:tc>
          <w:tcPr>
            <w:tcW w:w="1639"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508CC084" w14:textId="77777777" w:rsidR="00FE37D7" w:rsidRDefault="00FE37D7" w:rsidP="00C82F49">
            <w:r>
              <w:rPr>
                <w:b/>
                <w:bCs/>
                <w:color w:val="FFFFFF"/>
                <w:sz w:val="20"/>
                <w:szCs w:val="20"/>
              </w:rPr>
              <w:t>Contemporary parallel</w:t>
            </w:r>
          </w:p>
        </w:tc>
        <w:tc>
          <w:tcPr>
            <w:tcW w:w="2075"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42C25761" w14:textId="77777777" w:rsidR="00FE37D7" w:rsidRDefault="00FE37D7" w:rsidP="00C82F49">
            <w:r>
              <w:rPr>
                <w:b/>
                <w:bCs/>
                <w:color w:val="FFFFFF"/>
                <w:sz w:val="20"/>
                <w:szCs w:val="20"/>
              </w:rPr>
              <w:t>Rationale</w:t>
            </w:r>
          </w:p>
        </w:tc>
      </w:tr>
      <w:tr w:rsidR="00FE37D7" w14:paraId="46EFC732" w14:textId="77777777" w:rsidTr="00FE37D7">
        <w:tblPrEx>
          <w:tblCellMar>
            <w:top w:w="0" w:type="dxa"/>
            <w:bottom w:w="0" w:type="dxa"/>
          </w:tblCellMar>
        </w:tblPrEx>
        <w:trPr>
          <w:trHeight w:val="558"/>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FDFB575" w14:textId="77777777" w:rsidR="00FE37D7" w:rsidRDefault="00FE37D7" w:rsidP="00C82F49">
            <w:r>
              <w:rPr>
                <w:sz w:val="20"/>
                <w:szCs w:val="20"/>
              </w:rPr>
              <w:t>K1</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4413061" w14:textId="77777777" w:rsidR="00FE37D7" w:rsidRDefault="00FE37D7" w:rsidP="00C82F49">
            <w:r>
              <w:rPr>
                <w:sz w:val="20"/>
                <w:szCs w:val="20"/>
              </w:rPr>
              <w:t>I felt drawn toward the stone surfaces—I wanted to reach out and touch them.</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3E9E223" w14:textId="77777777" w:rsidR="00FE37D7" w:rsidRDefault="00FE37D7" w:rsidP="00C82F49">
            <w:r>
              <w:rPr>
                <w:sz w:val="20"/>
                <w:szCs w:val="20"/>
              </w:rPr>
              <w:t>Hand</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E953DF2" w14:textId="77777777" w:rsidR="00FE37D7" w:rsidRDefault="00FE37D7" w:rsidP="00C82F49">
            <w:r>
              <w:rPr>
                <w:sz w:val="20"/>
                <w:szCs w:val="20"/>
              </w:rPr>
              <w:t>Kāma; pre-reflective ākarṣaṇa (attraction).</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E762F99" w14:textId="77777777" w:rsidR="00FE37D7" w:rsidRDefault="00FE37D7" w:rsidP="00C82F49">
            <w:r>
              <w:rPr>
                <w:sz w:val="20"/>
                <w:szCs w:val="20"/>
              </w:rPr>
              <w:t>Vischer (1873) Einfühlung; Gibson (1979) affordance.</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70CF3BE" w14:textId="77777777" w:rsidR="00FE37D7" w:rsidRDefault="00FE37D7" w:rsidP="00C82F49">
            <w:r>
              <w:rPr>
                <w:sz w:val="20"/>
                <w:szCs w:val="20"/>
              </w:rPr>
              <w:t>Tactile-appetitive: the hand is the most reliable register of approach-desire toward surface.</w:t>
            </w:r>
          </w:p>
        </w:tc>
      </w:tr>
      <w:tr w:rsidR="00FE37D7" w14:paraId="53A189E2" w14:textId="77777777" w:rsidTr="00FE37D7">
        <w:tblPrEx>
          <w:tblCellMar>
            <w:top w:w="0" w:type="dxa"/>
            <w:bottom w:w="0" w:type="dxa"/>
          </w:tblCellMar>
        </w:tblPrEx>
        <w:trPr>
          <w:trHeight w:val="542"/>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7B996B6" w14:textId="77777777" w:rsidR="00FE37D7" w:rsidRDefault="00FE37D7" w:rsidP="00C82F49">
            <w:r>
              <w:rPr>
                <w:sz w:val="20"/>
                <w:szCs w:val="20"/>
              </w:rPr>
              <w:t>K2</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5D7C43F" w14:textId="77777777" w:rsidR="00FE37D7" w:rsidRDefault="00FE37D7" w:rsidP="00C82F49">
            <w:r>
              <w:rPr>
                <w:sz w:val="20"/>
                <w:szCs w:val="20"/>
              </w:rPr>
              <w:t>My body leaned forward when I encountered carved details or sculptural surfaces.</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1906F97" w14:textId="77777777" w:rsidR="00FE37D7" w:rsidRDefault="00FE37D7" w:rsidP="00C82F49">
            <w:r>
              <w:rPr>
                <w:sz w:val="20"/>
                <w:szCs w:val="20"/>
              </w:rPr>
              <w:t>Torso</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D15D15D" w14:textId="77777777" w:rsidR="00FE37D7" w:rsidRDefault="00FE37D7" w:rsidP="00C82F49">
            <w:r>
              <w:rPr>
                <w:sz w:val="20"/>
                <w:szCs w:val="20"/>
              </w:rPr>
              <w:t>Kāma manifesting as anubhāva (postural consequent).</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90DD100" w14:textId="77777777" w:rsidR="00FE37D7" w:rsidRDefault="00FE37D7" w:rsidP="00C82F49">
            <w:r>
              <w:rPr>
                <w:sz w:val="20"/>
                <w:szCs w:val="20"/>
              </w:rPr>
              <w:t>Lipps (1903) kinaesthetic projection.</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217BC5A" w14:textId="77777777" w:rsidR="00FE37D7" w:rsidRDefault="00FE37D7" w:rsidP="00C82F49">
            <w:r>
              <w:rPr>
                <w:sz w:val="20"/>
                <w:szCs w:val="20"/>
              </w:rPr>
              <w:t>Postural lean is a near-universal index of attentional engagement and intent-to-engage.</w:t>
            </w:r>
          </w:p>
        </w:tc>
      </w:tr>
      <w:tr w:rsidR="00FE37D7" w14:paraId="55B58DF1" w14:textId="77777777" w:rsidTr="00FE37D7">
        <w:tblPrEx>
          <w:tblCellMar>
            <w:top w:w="0" w:type="dxa"/>
            <w:bottom w:w="0" w:type="dxa"/>
          </w:tblCellMar>
        </w:tblPrEx>
        <w:trPr>
          <w:trHeight w:val="986"/>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7337DFD" w14:textId="77777777" w:rsidR="00FE37D7" w:rsidRDefault="00FE37D7" w:rsidP="00C82F49">
            <w:r>
              <w:rPr>
                <w:sz w:val="20"/>
                <w:szCs w:val="20"/>
              </w:rPr>
              <w:t>K3</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D75396A" w14:textId="77777777" w:rsidR="00FE37D7" w:rsidRDefault="00FE37D7" w:rsidP="00C82F49">
            <w:r>
              <w:rPr>
                <w:sz w:val="20"/>
                <w:szCs w:val="20"/>
              </w:rPr>
              <w:t>I felt an urge to step closer to walls, pillars, or doorways to examine them.</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5285D90" w14:textId="77777777" w:rsidR="00FE37D7" w:rsidRDefault="00FE37D7" w:rsidP="00C82F49">
            <w:r>
              <w:rPr>
                <w:sz w:val="20"/>
                <w:szCs w:val="20"/>
              </w:rPr>
              <w:t>Feet</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89A5725" w14:textId="77777777" w:rsidR="00FE37D7" w:rsidRDefault="00FE37D7" w:rsidP="00C82F49">
            <w:r>
              <w:rPr>
                <w:sz w:val="20"/>
                <w:szCs w:val="20"/>
              </w:rPr>
              <w:t>Kāma as approach-tendency (abhilāṣa).</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40E0D9E" w14:textId="77777777" w:rsidR="00FE37D7" w:rsidRDefault="00FE37D7" w:rsidP="00C82F49">
            <w:r>
              <w:rPr>
                <w:sz w:val="20"/>
                <w:szCs w:val="20"/>
              </w:rPr>
              <w:t>Gibson (1979) affordance; affordance-based architectural cognition (Djebbara et al., 2019).</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A2D44D0" w14:textId="77777777" w:rsidR="00FE37D7" w:rsidRDefault="00FE37D7" w:rsidP="00C82F49">
            <w:r>
              <w:rPr>
                <w:sz w:val="20"/>
                <w:szCs w:val="20"/>
              </w:rPr>
              <w:t>Locomotor approach is the most basic affordance-uptake behaviour.</w:t>
            </w:r>
          </w:p>
        </w:tc>
      </w:tr>
      <w:tr w:rsidR="00FE37D7" w14:paraId="190B6475" w14:textId="77777777" w:rsidTr="00FE37D7">
        <w:tblPrEx>
          <w:tblCellMar>
            <w:top w:w="0" w:type="dxa"/>
            <w:bottom w:w="0" w:type="dxa"/>
          </w:tblCellMar>
        </w:tblPrEx>
        <w:trPr>
          <w:trHeight w:val="821"/>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113411A" w14:textId="77777777" w:rsidR="00FE37D7" w:rsidRDefault="00FE37D7" w:rsidP="00C82F49">
            <w:r>
              <w:rPr>
                <w:sz w:val="20"/>
                <w:szCs w:val="20"/>
              </w:rPr>
              <w:t>K4</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AB54129" w14:textId="77777777" w:rsidR="00FE37D7" w:rsidRDefault="00FE37D7" w:rsidP="00C82F49">
            <w:r>
              <w:rPr>
                <w:sz w:val="20"/>
                <w:szCs w:val="20"/>
              </w:rPr>
              <w:t>When I saw a narrow passage or dark threshold, I felt pulled to enter it.</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6919D02" w14:textId="77777777" w:rsidR="00FE37D7" w:rsidRDefault="00FE37D7" w:rsidP="00C82F49">
            <w:r>
              <w:rPr>
                <w:sz w:val="20"/>
                <w:szCs w:val="20"/>
              </w:rPr>
              <w:t>Whole body</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B412AC5" w14:textId="77777777" w:rsidR="00FE37D7" w:rsidRDefault="00FE37D7" w:rsidP="00C82F49">
            <w:r>
              <w:rPr>
                <w:sz w:val="20"/>
                <w:szCs w:val="20"/>
              </w:rPr>
              <w:t>Kāma as threshold-magnetism; cf. praveśa (entry) in dramaturgy.</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E12A7A0" w14:textId="77777777" w:rsidR="00FE37D7" w:rsidRDefault="00FE37D7" w:rsidP="00C82F49">
            <w:r>
              <w:rPr>
                <w:sz w:val="20"/>
                <w:szCs w:val="20"/>
              </w:rPr>
              <w:t>Heidegger (1971) on dwelling and threshold; Pallasmaa (2012) on architectural intimacy.</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CB579B8" w14:textId="77777777" w:rsidR="00FE37D7" w:rsidRDefault="00FE37D7" w:rsidP="00C82F49">
            <w:r>
              <w:rPr>
                <w:sz w:val="20"/>
                <w:szCs w:val="20"/>
              </w:rPr>
              <w:t>Thresholds are privileged sites of architectural solicitation in temple and traditional design.</w:t>
            </w:r>
          </w:p>
        </w:tc>
      </w:tr>
      <w:tr w:rsidR="00FE37D7" w14:paraId="22C82FEB" w14:textId="77777777" w:rsidTr="00FE37D7">
        <w:tblPrEx>
          <w:tblCellMar>
            <w:top w:w="0" w:type="dxa"/>
            <w:bottom w:w="0" w:type="dxa"/>
          </w:tblCellMar>
        </w:tblPrEx>
        <w:trPr>
          <w:trHeight w:val="558"/>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519A376" w14:textId="77777777" w:rsidR="00FE37D7" w:rsidRDefault="00FE37D7" w:rsidP="00C82F49">
            <w:r>
              <w:rPr>
                <w:sz w:val="20"/>
                <w:szCs w:val="20"/>
              </w:rPr>
              <w:t>K5</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3A0C03C" w14:textId="77777777" w:rsidR="00FE37D7" w:rsidRDefault="00FE37D7" w:rsidP="00C82F49">
            <w:r>
              <w:rPr>
                <w:sz w:val="20"/>
                <w:szCs w:val="20"/>
              </w:rPr>
              <w:t>I wanted to linger at certain spots rather than move on.</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8FB7385" w14:textId="77777777" w:rsidR="00FE37D7" w:rsidRDefault="00FE37D7" w:rsidP="00C82F49">
            <w:r>
              <w:rPr>
                <w:sz w:val="20"/>
                <w:szCs w:val="20"/>
              </w:rPr>
              <w:t>Feet</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18B983A" w14:textId="77777777" w:rsidR="00FE37D7" w:rsidRDefault="00FE37D7" w:rsidP="00C82F49">
            <w:r>
              <w:rPr>
                <w:sz w:val="20"/>
                <w:szCs w:val="20"/>
              </w:rPr>
              <w:t>Kāma as sthāyi-tendency toward dwelling.</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35B938E" w14:textId="77777777" w:rsidR="00FE37D7" w:rsidRDefault="00FE37D7" w:rsidP="00C82F49">
            <w:r>
              <w:rPr>
                <w:sz w:val="20"/>
                <w:szCs w:val="20"/>
              </w:rPr>
              <w:t>Heidegger (1971) Bauen Wohnen Denken; dwelling theory.</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B38880D" w14:textId="77777777" w:rsidR="00FE37D7" w:rsidRDefault="00FE37D7" w:rsidP="00C82F49">
            <w:r>
              <w:rPr>
                <w:sz w:val="20"/>
                <w:szCs w:val="20"/>
              </w:rPr>
              <w:t>Lingering indexes the building's capacity to hold attention beyond mere passage.</w:t>
            </w:r>
          </w:p>
        </w:tc>
      </w:tr>
      <w:tr w:rsidR="00FE37D7" w14:paraId="2D69E35B" w14:textId="77777777" w:rsidTr="00FE37D7">
        <w:tblPrEx>
          <w:tblCellMar>
            <w:top w:w="0" w:type="dxa"/>
            <w:bottom w:w="0" w:type="dxa"/>
          </w:tblCellMar>
        </w:tblPrEx>
        <w:trPr>
          <w:trHeight w:val="706"/>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4E31200" w14:textId="77777777" w:rsidR="00FE37D7" w:rsidRDefault="00FE37D7" w:rsidP="00C82F49">
            <w:r>
              <w:rPr>
                <w:sz w:val="20"/>
                <w:szCs w:val="20"/>
              </w:rPr>
              <w:t>L1</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6367CB7" w14:textId="77777777" w:rsidR="00FE37D7" w:rsidRDefault="00FE37D7" w:rsidP="00C82F49">
            <w:r>
              <w:rPr>
                <w:sz w:val="20"/>
                <w:szCs w:val="20"/>
              </w:rPr>
              <w:t>I noticed my walking pace change—slowing in narrow passages, quickening in open courtyards.</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35B55EB" w14:textId="77777777" w:rsidR="00FE37D7" w:rsidRDefault="00FE37D7" w:rsidP="00C82F49">
            <w:r>
              <w:rPr>
                <w:sz w:val="20"/>
                <w:szCs w:val="20"/>
              </w:rPr>
              <w:t>Legs</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1FBDF41" w14:textId="77777777" w:rsidR="00FE37D7" w:rsidRDefault="00FE37D7" w:rsidP="00C82F49">
            <w:r>
              <w:rPr>
                <w:sz w:val="20"/>
                <w:szCs w:val="20"/>
              </w:rPr>
              <w:t>Līlā as rhythmic responsiveness to spatial modulation.</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6B09402" w14:textId="77777777" w:rsidR="00FE37D7" w:rsidRDefault="00FE37D7" w:rsidP="00C82F49">
            <w:r>
              <w:rPr>
                <w:sz w:val="20"/>
                <w:szCs w:val="20"/>
              </w:rPr>
              <w:t>Merleau-Ponty (1962) body-schema; Bloomer &amp; Moore (1977) body-rhythm.</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F2AF0EE" w14:textId="77777777" w:rsidR="00FE37D7" w:rsidRDefault="00FE37D7" w:rsidP="00C82F49">
            <w:r>
              <w:rPr>
                <w:sz w:val="20"/>
                <w:szCs w:val="20"/>
              </w:rPr>
              <w:t>Gait modulation is the most readily introspectable index of bodily play with spatial geometry.</w:t>
            </w:r>
          </w:p>
        </w:tc>
      </w:tr>
      <w:tr w:rsidR="00FE37D7" w14:paraId="4B48AE96" w14:textId="77777777" w:rsidTr="00FE37D7">
        <w:tblPrEx>
          <w:tblCellMar>
            <w:top w:w="0" w:type="dxa"/>
            <w:bottom w:w="0" w:type="dxa"/>
          </w:tblCellMar>
        </w:tblPrEx>
        <w:trPr>
          <w:trHeight w:val="410"/>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243EE81" w14:textId="77777777" w:rsidR="00FE37D7" w:rsidRDefault="00FE37D7" w:rsidP="00C82F49">
            <w:r>
              <w:rPr>
                <w:sz w:val="20"/>
                <w:szCs w:val="20"/>
              </w:rPr>
              <w:lastRenderedPageBreak/>
              <w:t>L2</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321998B" w14:textId="77777777" w:rsidR="00FE37D7" w:rsidRDefault="00FE37D7" w:rsidP="00C82F49">
            <w:r>
              <w:rPr>
                <w:sz w:val="20"/>
                <w:szCs w:val="20"/>
              </w:rPr>
              <w:t>My body adjusted its posture—looking up at tall elements, hunching in compressed spaces.</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B0C1256" w14:textId="77777777" w:rsidR="00FE37D7" w:rsidRDefault="00FE37D7" w:rsidP="00C82F49">
            <w:r>
              <w:rPr>
                <w:sz w:val="20"/>
                <w:szCs w:val="20"/>
              </w:rPr>
              <w:t>Spine / Neck</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928207E" w14:textId="77777777" w:rsidR="00FE37D7" w:rsidRDefault="00FE37D7" w:rsidP="00C82F49">
            <w:r>
              <w:rPr>
                <w:sz w:val="20"/>
                <w:szCs w:val="20"/>
              </w:rPr>
              <w:t>Līlā; cf. cestā (gestural play) in Nāṭyaśāstra.</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37364E7" w14:textId="77777777" w:rsidR="00FE37D7" w:rsidRDefault="00FE37D7" w:rsidP="00C82F49">
            <w:r>
              <w:rPr>
                <w:sz w:val="20"/>
                <w:szCs w:val="20"/>
              </w:rPr>
              <w:t>Tilley (1994) phenomenology of landscape; postural archaeology.</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CF2D7AC" w14:textId="77777777" w:rsidR="00FE37D7" w:rsidRDefault="00FE37D7" w:rsidP="00C82F49">
            <w:r>
              <w:rPr>
                <w:sz w:val="20"/>
                <w:szCs w:val="20"/>
              </w:rPr>
              <w:t>Postural accommodation is automatic and non-verbal; spine/neck is the most expressive axial region.</w:t>
            </w:r>
          </w:p>
        </w:tc>
      </w:tr>
      <w:tr w:rsidR="00FE37D7" w14:paraId="14CD534A" w14:textId="77777777" w:rsidTr="00FE37D7">
        <w:tblPrEx>
          <w:tblCellMar>
            <w:top w:w="0" w:type="dxa"/>
            <w:bottom w:w="0" w:type="dxa"/>
          </w:tblCellMar>
        </w:tblPrEx>
        <w:trPr>
          <w:trHeight w:val="81"/>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E5E86CF" w14:textId="77777777" w:rsidR="00FE37D7" w:rsidRDefault="00FE37D7" w:rsidP="00C82F49">
            <w:r>
              <w:rPr>
                <w:sz w:val="20"/>
                <w:szCs w:val="20"/>
              </w:rPr>
              <w:t>L3</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B6696A1" w14:textId="77777777" w:rsidR="00FE37D7" w:rsidRDefault="00FE37D7" w:rsidP="00C82F49">
            <w:r>
              <w:rPr>
                <w:sz w:val="20"/>
                <w:szCs w:val="20"/>
              </w:rPr>
              <w:t>I felt a rhythm in my movement through the colonnade, as if column spacing set a beat for my steps.</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9AD79C0" w14:textId="77777777" w:rsidR="00FE37D7" w:rsidRDefault="00FE37D7" w:rsidP="00C82F49">
            <w:r>
              <w:rPr>
                <w:sz w:val="20"/>
                <w:szCs w:val="20"/>
              </w:rPr>
              <w:t>Legs + Torso</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F249DBB" w14:textId="77777777" w:rsidR="00FE37D7" w:rsidRDefault="00FE37D7" w:rsidP="00C82F49">
            <w:r>
              <w:rPr>
                <w:sz w:val="20"/>
                <w:szCs w:val="20"/>
              </w:rPr>
              <w:t>Līlā as tāla (rhythm); cf. musical-architectural unity at Vijaya Vittala.</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AC3E6C0" w14:textId="77777777" w:rsidR="00FE37D7" w:rsidRDefault="00FE37D7" w:rsidP="00C82F49">
            <w:r>
              <w:rPr>
                <w:sz w:val="20"/>
                <w:szCs w:val="20"/>
              </w:rPr>
              <w:t>Pallasmaa (2012) acoustic-architectonic rhythm; Bachelard (1958) on poetic spatial cadence.</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8782918" w14:textId="77777777" w:rsidR="00FE37D7" w:rsidRDefault="00FE37D7" w:rsidP="00C82F49">
            <w:r>
              <w:rPr>
                <w:sz w:val="20"/>
                <w:szCs w:val="20"/>
              </w:rPr>
              <w:t>Vijaya Vittala–specific: the Raṅga-Maṇṭapa's musical pillars motivate explicit rhythmic phrasing.</w:t>
            </w:r>
          </w:p>
        </w:tc>
      </w:tr>
      <w:tr w:rsidR="00FE37D7" w14:paraId="64CFFC84" w14:textId="77777777" w:rsidTr="00FE37D7">
        <w:tblPrEx>
          <w:tblCellMar>
            <w:top w:w="0" w:type="dxa"/>
            <w:bottom w:w="0" w:type="dxa"/>
          </w:tblCellMar>
        </w:tblPrEx>
        <w:trPr>
          <w:trHeight w:val="81"/>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40101FF" w14:textId="77777777" w:rsidR="00FE37D7" w:rsidRDefault="00FE37D7" w:rsidP="00C82F49">
            <w:r>
              <w:rPr>
                <w:sz w:val="20"/>
                <w:szCs w:val="20"/>
              </w:rPr>
              <w:t>L4</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5B64B62" w14:textId="77777777" w:rsidR="00FE37D7" w:rsidRDefault="00FE37D7" w:rsidP="00C82F49">
            <w:r>
              <w:rPr>
                <w:sz w:val="20"/>
                <w:szCs w:val="20"/>
              </w:rPr>
              <w:t>I found myself physically turning, craning, or bending to follow architectural details.</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D76CDD6" w14:textId="77777777" w:rsidR="00FE37D7" w:rsidRDefault="00FE37D7" w:rsidP="00C82F49">
            <w:r>
              <w:rPr>
                <w:sz w:val="20"/>
                <w:szCs w:val="20"/>
              </w:rPr>
              <w:t>Whole body</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1C35F69" w14:textId="77777777" w:rsidR="00FE37D7" w:rsidRDefault="00FE37D7" w:rsidP="00C82F49">
            <w:r>
              <w:rPr>
                <w:sz w:val="20"/>
                <w:szCs w:val="20"/>
              </w:rPr>
              <w:t>Līlā as exploratory bhrāmaṇa (turning, circling).</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F3022BA" w14:textId="77777777" w:rsidR="00FE37D7" w:rsidRDefault="00FE37D7" w:rsidP="00C82F49">
            <w:r>
              <w:rPr>
                <w:sz w:val="20"/>
                <w:szCs w:val="20"/>
              </w:rPr>
              <w:t>Merleau-Ponty (1962) exploratory body; ecological perception.</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4B0FC69" w14:textId="77777777" w:rsidR="00FE37D7" w:rsidRDefault="00FE37D7" w:rsidP="00C82F49">
            <w:r>
              <w:rPr>
                <w:sz w:val="20"/>
                <w:szCs w:val="20"/>
              </w:rPr>
              <w:t>Whole-body reorientation is an unmistakable index of engaged attention.</w:t>
            </w:r>
          </w:p>
        </w:tc>
      </w:tr>
      <w:tr w:rsidR="00FE37D7" w14:paraId="18E1FD87" w14:textId="77777777" w:rsidTr="00FE37D7">
        <w:tblPrEx>
          <w:tblCellMar>
            <w:top w:w="0" w:type="dxa"/>
            <w:bottom w:w="0" w:type="dxa"/>
          </w:tblCellMar>
        </w:tblPrEx>
        <w:trPr>
          <w:trHeight w:val="81"/>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A1752E2" w14:textId="77777777" w:rsidR="00FE37D7" w:rsidRDefault="00FE37D7" w:rsidP="00C82F49">
            <w:r>
              <w:rPr>
                <w:sz w:val="20"/>
                <w:szCs w:val="20"/>
              </w:rPr>
              <w:t>L5</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BD37668" w14:textId="77777777" w:rsidR="00FE37D7" w:rsidRDefault="00FE37D7" w:rsidP="00C82F49">
            <w:r>
              <w:rPr>
                <w:sz w:val="20"/>
                <w:szCs w:val="20"/>
              </w:rPr>
              <w:t>My breathing pattern changed—deeper in open spaces, shallower in enclosed ones.</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A722023" w14:textId="77777777" w:rsidR="00FE37D7" w:rsidRDefault="00FE37D7" w:rsidP="00C82F49">
            <w:r>
              <w:rPr>
                <w:sz w:val="20"/>
                <w:szCs w:val="20"/>
              </w:rPr>
              <w:t>Chest</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747CCF0" w14:textId="77777777" w:rsidR="00FE37D7" w:rsidRDefault="00FE37D7" w:rsidP="00C82F49">
            <w:r>
              <w:rPr>
                <w:sz w:val="20"/>
                <w:szCs w:val="20"/>
              </w:rPr>
              <w:t>Līlā at the boundary with prāṇāyāma; the body's most autonomic-volitional bridge.</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88DCE15" w14:textId="77777777" w:rsidR="00FE37D7" w:rsidRDefault="00FE37D7" w:rsidP="00C82F49">
            <w:r>
              <w:rPr>
                <w:sz w:val="20"/>
                <w:szCs w:val="20"/>
              </w:rPr>
              <w:t>Mallgrave (2013) on respiratory architecture; van Toorn (2011).</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327CCA1" w14:textId="77777777" w:rsidR="00FE37D7" w:rsidRDefault="00FE37D7" w:rsidP="00C82F49">
            <w:r>
              <w:rPr>
                <w:sz w:val="20"/>
                <w:szCs w:val="20"/>
              </w:rPr>
              <w:t>Breath is the bridge between voluntary and autonomic; flagged in RSS-18 for compound-clause structure.</w:t>
            </w:r>
          </w:p>
        </w:tc>
      </w:tr>
      <w:tr w:rsidR="00FE37D7" w14:paraId="5953D701" w14:textId="77777777" w:rsidTr="00FE37D7">
        <w:tblPrEx>
          <w:tblCellMar>
            <w:top w:w="0" w:type="dxa"/>
            <w:bottom w:w="0" w:type="dxa"/>
          </w:tblCellMar>
        </w:tblPrEx>
        <w:trPr>
          <w:trHeight w:val="81"/>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0C7F0FF" w14:textId="77777777" w:rsidR="00FE37D7" w:rsidRDefault="00FE37D7" w:rsidP="00C82F49">
            <w:r>
              <w:rPr>
                <w:sz w:val="20"/>
                <w:szCs w:val="20"/>
              </w:rPr>
              <w:t>A1</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1752F06" w14:textId="77777777" w:rsidR="00FE37D7" w:rsidRDefault="00FE37D7" w:rsidP="00C82F49">
            <w:r>
              <w:rPr>
                <w:sz w:val="20"/>
                <w:szCs w:val="20"/>
              </w:rPr>
              <w:t>I feel I now know the weight of the stone—not as a number, but as a heaviness I can sense in my hands.</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7999821" w14:textId="77777777" w:rsidR="00FE37D7" w:rsidRDefault="00FE37D7" w:rsidP="00C82F49">
            <w:r>
              <w:rPr>
                <w:sz w:val="20"/>
                <w:szCs w:val="20"/>
              </w:rPr>
              <w:t>Hands</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A6DDE24" w14:textId="77777777" w:rsidR="00FE37D7" w:rsidRDefault="00FE37D7" w:rsidP="00C82F49">
            <w:r>
              <w:rPr>
                <w:sz w:val="20"/>
                <w:szCs w:val="20"/>
              </w:rPr>
              <w:t>Anubhava as direct (non-inferential) experiential knowledge.</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3EFDA3D" w14:textId="77777777" w:rsidR="00FE37D7" w:rsidRDefault="00FE37D7" w:rsidP="00C82F49">
            <w:r>
              <w:rPr>
                <w:sz w:val="20"/>
                <w:szCs w:val="20"/>
              </w:rPr>
              <w:t>Gallese (2007) embodied simulation; haptic cognition.</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3943F79" w14:textId="77777777" w:rsidR="00FE37D7" w:rsidRDefault="00FE37D7" w:rsidP="00C82F49">
            <w:r>
              <w:rPr>
                <w:sz w:val="20"/>
                <w:szCs w:val="20"/>
              </w:rPr>
              <w:t>Item explicitly contrasts numerical and somatic knowing—an epistemological claim about Anubhava itself.</w:t>
            </w:r>
          </w:p>
        </w:tc>
      </w:tr>
      <w:tr w:rsidR="00FE37D7" w14:paraId="1BD2F71C" w14:textId="77777777" w:rsidTr="00FE37D7">
        <w:tblPrEx>
          <w:tblCellMar>
            <w:top w:w="0" w:type="dxa"/>
            <w:bottom w:w="0" w:type="dxa"/>
          </w:tblCellMar>
        </w:tblPrEx>
        <w:trPr>
          <w:trHeight w:val="81"/>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06C173C" w14:textId="77777777" w:rsidR="00FE37D7" w:rsidRDefault="00FE37D7" w:rsidP="00C82F49">
            <w:r>
              <w:rPr>
                <w:sz w:val="20"/>
                <w:szCs w:val="20"/>
              </w:rPr>
              <w:t>A2</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DC4126B" w14:textId="77777777" w:rsidR="00FE37D7" w:rsidRDefault="00FE37D7" w:rsidP="00C82F49">
            <w:r>
              <w:rPr>
                <w:sz w:val="20"/>
                <w:szCs w:val="20"/>
              </w:rPr>
              <w:t>I could feel the difference between warm courtyard granite and cool inner sanctum stone.</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603607F" w14:textId="77777777" w:rsidR="00FE37D7" w:rsidRDefault="00FE37D7" w:rsidP="00C82F49">
            <w:r>
              <w:rPr>
                <w:sz w:val="20"/>
                <w:szCs w:val="20"/>
              </w:rPr>
              <w:t>Skin</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A99D454" w14:textId="77777777" w:rsidR="00FE37D7" w:rsidRDefault="00FE37D7" w:rsidP="00C82F49">
            <w:r>
              <w:rPr>
                <w:sz w:val="20"/>
                <w:szCs w:val="20"/>
              </w:rPr>
              <w:t>Anubhava as thermoceptive inscription.</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A73A5CE" w14:textId="77777777" w:rsidR="00FE37D7" w:rsidRDefault="00FE37D7" w:rsidP="00C82F49">
            <w:r>
              <w:rPr>
                <w:sz w:val="20"/>
                <w:szCs w:val="20"/>
              </w:rPr>
              <w:t>Pallasmaa (2012) on skin as architectural sense organ; thermal phenomenology.</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1ACC373" w14:textId="77777777" w:rsidR="00FE37D7" w:rsidRDefault="00FE37D7" w:rsidP="00C82F49">
            <w:r>
              <w:rPr>
                <w:sz w:val="20"/>
                <w:szCs w:val="20"/>
              </w:rPr>
              <w:t>Vijaya Vittala–specific (granite vs sanctum stone differential); thermal contrast is mnemonically powerful.</w:t>
            </w:r>
          </w:p>
        </w:tc>
      </w:tr>
      <w:tr w:rsidR="00FE37D7" w14:paraId="62D4E999" w14:textId="77777777" w:rsidTr="00FE37D7">
        <w:tblPrEx>
          <w:tblCellMar>
            <w:top w:w="0" w:type="dxa"/>
            <w:bottom w:w="0" w:type="dxa"/>
          </w:tblCellMar>
        </w:tblPrEx>
        <w:trPr>
          <w:trHeight w:val="81"/>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75EA8F8" w14:textId="77777777" w:rsidR="00FE37D7" w:rsidRDefault="00FE37D7" w:rsidP="00C82F49">
            <w:r>
              <w:rPr>
                <w:sz w:val="20"/>
                <w:szCs w:val="20"/>
              </w:rPr>
              <w:t>A3</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584E39F" w14:textId="77777777" w:rsidR="00FE37D7" w:rsidRDefault="00FE37D7" w:rsidP="00C82F49">
            <w:r>
              <w:rPr>
                <w:sz w:val="20"/>
                <w:szCs w:val="20"/>
              </w:rPr>
              <w:t>I understand the building's scale not as a measurement but as a sensation of my own smallness.</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61D2712" w14:textId="77777777" w:rsidR="00FE37D7" w:rsidRDefault="00FE37D7" w:rsidP="00C82F49">
            <w:r>
              <w:rPr>
                <w:sz w:val="20"/>
                <w:szCs w:val="20"/>
              </w:rPr>
              <w:t>Vestibular</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770D55A" w14:textId="77777777" w:rsidR="00FE37D7" w:rsidRDefault="00FE37D7" w:rsidP="00C82F49">
            <w:r>
              <w:rPr>
                <w:sz w:val="20"/>
                <w:szCs w:val="20"/>
              </w:rPr>
              <w:t>Anubhava as ātma-vimarśa (self-reckoning); cf. vibhāva of vastness.</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EB5A22F" w14:textId="77777777" w:rsidR="00FE37D7" w:rsidRDefault="00FE37D7" w:rsidP="00C82F49">
            <w:r>
              <w:rPr>
                <w:sz w:val="20"/>
                <w:szCs w:val="20"/>
              </w:rPr>
              <w:t>Keltner &amp; Haidt (2003) self-diminishment in awe.</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91B994C" w14:textId="77777777" w:rsidR="00FE37D7" w:rsidRDefault="00FE37D7" w:rsidP="00C82F49">
            <w:r>
              <w:rPr>
                <w:sz w:val="20"/>
                <w:szCs w:val="20"/>
              </w:rPr>
              <w:t>Item operationalises the self-other recalibration central to awe; vestibular anchor distinguishes scale from emotion.</w:t>
            </w:r>
          </w:p>
        </w:tc>
      </w:tr>
      <w:tr w:rsidR="00FE37D7" w14:paraId="640EF747" w14:textId="77777777" w:rsidTr="00FE37D7">
        <w:tblPrEx>
          <w:tblCellMar>
            <w:top w:w="0" w:type="dxa"/>
            <w:bottom w:w="0" w:type="dxa"/>
          </w:tblCellMar>
        </w:tblPrEx>
        <w:trPr>
          <w:trHeight w:val="81"/>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D128F7D" w14:textId="77777777" w:rsidR="00FE37D7" w:rsidRDefault="00FE37D7" w:rsidP="00C82F49">
            <w:r>
              <w:rPr>
                <w:sz w:val="20"/>
                <w:szCs w:val="20"/>
              </w:rPr>
              <w:t>A4</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C178061" w14:textId="77777777" w:rsidR="00FE37D7" w:rsidRDefault="00FE37D7" w:rsidP="00C82F49">
            <w:r>
              <w:rPr>
                <w:sz w:val="20"/>
                <w:szCs w:val="20"/>
              </w:rPr>
              <w:t xml:space="preserve">I can recall the acoustic character of the space—how </w:t>
            </w:r>
            <w:r>
              <w:rPr>
                <w:sz w:val="20"/>
                <w:szCs w:val="20"/>
              </w:rPr>
              <w:lastRenderedPageBreak/>
              <w:t>the space shaped sound around my body.</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CA4FE80" w14:textId="77777777" w:rsidR="00FE37D7" w:rsidRDefault="00FE37D7" w:rsidP="00C82F49">
            <w:r>
              <w:rPr>
                <w:sz w:val="20"/>
                <w:szCs w:val="20"/>
              </w:rPr>
              <w:lastRenderedPageBreak/>
              <w:t>Ears + Skin</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0C458AE" w14:textId="77777777" w:rsidR="00FE37D7" w:rsidRDefault="00FE37D7" w:rsidP="00C82F49">
            <w:r>
              <w:rPr>
                <w:sz w:val="20"/>
                <w:szCs w:val="20"/>
              </w:rPr>
              <w:t xml:space="preserve">Anubhava in auditory </w:t>
            </w:r>
            <w:r>
              <w:rPr>
                <w:sz w:val="20"/>
                <w:szCs w:val="20"/>
              </w:rPr>
              <w:lastRenderedPageBreak/>
              <w:t>register; cf. nāda (sound-essence).</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78ADF6E" w14:textId="77777777" w:rsidR="00FE37D7" w:rsidRDefault="00FE37D7" w:rsidP="00C82F49">
            <w:r>
              <w:rPr>
                <w:sz w:val="20"/>
                <w:szCs w:val="20"/>
              </w:rPr>
              <w:lastRenderedPageBreak/>
              <w:t xml:space="preserve">Blesser &amp; Salter (2007) aural architecture; </w:t>
            </w:r>
            <w:r>
              <w:rPr>
                <w:sz w:val="20"/>
                <w:szCs w:val="20"/>
              </w:rPr>
              <w:lastRenderedPageBreak/>
              <w:t>Pallasmaa (2012) the eyes of the skin.</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5AA5F18" w14:textId="77777777" w:rsidR="00FE37D7" w:rsidRDefault="00FE37D7" w:rsidP="00C82F49">
            <w:r>
              <w:rPr>
                <w:sz w:val="20"/>
                <w:szCs w:val="20"/>
              </w:rPr>
              <w:lastRenderedPageBreak/>
              <w:t xml:space="preserve">Acoustic memory is durable and distinct from visual memory; </w:t>
            </w:r>
            <w:r>
              <w:rPr>
                <w:sz w:val="20"/>
                <w:szCs w:val="20"/>
              </w:rPr>
              <w:lastRenderedPageBreak/>
              <w:t>dual anchor reflects whole-body acoustic perception.</w:t>
            </w:r>
          </w:p>
        </w:tc>
      </w:tr>
      <w:tr w:rsidR="00FE37D7" w14:paraId="19D9FC5F" w14:textId="77777777" w:rsidTr="00FE37D7">
        <w:tblPrEx>
          <w:tblCellMar>
            <w:top w:w="0" w:type="dxa"/>
            <w:bottom w:w="0" w:type="dxa"/>
          </w:tblCellMar>
        </w:tblPrEx>
        <w:trPr>
          <w:trHeight w:val="558"/>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D315DA6" w14:textId="77777777" w:rsidR="00FE37D7" w:rsidRDefault="00FE37D7" w:rsidP="00C82F49">
            <w:r>
              <w:rPr>
                <w:sz w:val="20"/>
                <w:szCs w:val="20"/>
              </w:rPr>
              <w:lastRenderedPageBreak/>
              <w:t>A5</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9E270A3" w14:textId="77777777" w:rsidR="00FE37D7" w:rsidRDefault="00FE37D7" w:rsidP="00C82F49">
            <w:r>
              <w:rPr>
                <w:sz w:val="20"/>
                <w:szCs w:val="20"/>
              </w:rPr>
              <w:t>If I close my eyes, I can mentally walk the processional path and feel each transition in my body.</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F07F40E" w14:textId="77777777" w:rsidR="00FE37D7" w:rsidRDefault="00FE37D7" w:rsidP="00C82F49">
            <w:r>
              <w:rPr>
                <w:sz w:val="20"/>
                <w:szCs w:val="20"/>
              </w:rPr>
              <w:t>Whole body</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F2AAAEE" w14:textId="77777777" w:rsidR="00FE37D7" w:rsidRDefault="00FE37D7" w:rsidP="00C82F49">
            <w:r>
              <w:rPr>
                <w:sz w:val="20"/>
                <w:szCs w:val="20"/>
              </w:rPr>
              <w:t>Anubhava as smṛti (somatic memory); cf. mānasa-pradakṣiṇa.</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2EC513E" w14:textId="77777777" w:rsidR="00FE37D7" w:rsidRDefault="00FE37D7" w:rsidP="00C82F49">
            <w:r>
              <w:rPr>
                <w:sz w:val="20"/>
                <w:szCs w:val="20"/>
              </w:rPr>
              <w:t>Motor imagery (Decety, 1996); kinaesthetic memory.</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EF576C4" w14:textId="77777777" w:rsidR="00FE37D7" w:rsidRDefault="00FE37D7" w:rsidP="00C82F49">
            <w:r>
              <w:rPr>
                <w:sz w:val="20"/>
                <w:szCs w:val="20"/>
              </w:rPr>
              <w:t>The item tests whether the encounter has been inscribed as a walkable bodily trace.</w:t>
            </w:r>
          </w:p>
        </w:tc>
      </w:tr>
      <w:tr w:rsidR="00FE37D7" w14:paraId="2CA3FDAF" w14:textId="77777777" w:rsidTr="00FE37D7">
        <w:tblPrEx>
          <w:tblCellMar>
            <w:top w:w="0" w:type="dxa"/>
            <w:bottom w:w="0" w:type="dxa"/>
          </w:tblCellMar>
        </w:tblPrEx>
        <w:trPr>
          <w:trHeight w:val="690"/>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AB380B5" w14:textId="77777777" w:rsidR="00FE37D7" w:rsidRDefault="00FE37D7" w:rsidP="00C82F49">
            <w:r>
              <w:rPr>
                <w:sz w:val="20"/>
                <w:szCs w:val="20"/>
              </w:rPr>
              <w:t>M1</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35D8270" w14:textId="77777777" w:rsidR="00FE37D7" w:rsidRDefault="00FE37D7" w:rsidP="00C82F49">
            <w:r>
              <w:rPr>
                <w:sz w:val="20"/>
                <w:szCs w:val="20"/>
              </w:rPr>
              <w:t>At some point, the architecture made me catch my breath or hold it involuntarily.</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561BEA2" w14:textId="77777777" w:rsidR="00FE37D7" w:rsidRDefault="00FE37D7" w:rsidP="00C82F49">
            <w:r>
              <w:rPr>
                <w:sz w:val="20"/>
                <w:szCs w:val="20"/>
              </w:rPr>
              <w:t>Chest</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1DB0C51" w14:textId="77777777" w:rsidR="00FE37D7" w:rsidRDefault="00FE37D7" w:rsidP="00C82F49">
            <w:r>
              <w:rPr>
                <w:sz w:val="20"/>
                <w:szCs w:val="20"/>
              </w:rPr>
              <w:t>Sāttvika-bhāva: svarabheda (breath/vocal change).</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B74537F" w14:textId="77777777" w:rsidR="00FE37D7" w:rsidRDefault="00FE37D7" w:rsidP="00C82F49">
            <w:r>
              <w:rPr>
                <w:sz w:val="20"/>
                <w:szCs w:val="20"/>
              </w:rPr>
              <w:t>Ishizu &amp; Zeki (2014) sublime physiology.</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8B40154" w14:textId="77777777" w:rsidR="00FE37D7" w:rsidRDefault="00FE37D7" w:rsidP="00C82F49">
            <w:r>
              <w:rPr>
                <w:sz w:val="20"/>
                <w:szCs w:val="20"/>
              </w:rPr>
              <w:t>Direct operationalisation of svarabheda; the breath-catch is the most introspectable autonomic event.</w:t>
            </w:r>
          </w:p>
        </w:tc>
      </w:tr>
      <w:tr w:rsidR="00FE37D7" w14:paraId="72304291" w14:textId="77777777" w:rsidTr="00FE37D7">
        <w:tblPrEx>
          <w:tblCellMar>
            <w:top w:w="0" w:type="dxa"/>
            <w:bottom w:w="0" w:type="dxa"/>
          </w:tblCellMar>
        </w:tblPrEx>
        <w:trPr>
          <w:trHeight w:val="838"/>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A47FA51" w14:textId="77777777" w:rsidR="00FE37D7" w:rsidRDefault="00FE37D7" w:rsidP="00C82F49">
            <w:r>
              <w:rPr>
                <w:sz w:val="20"/>
                <w:szCs w:val="20"/>
              </w:rPr>
              <w:t>M2</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65AC3CD" w14:textId="77777777" w:rsidR="00FE37D7" w:rsidRDefault="00FE37D7" w:rsidP="00C82F49">
            <w:r>
              <w:rPr>
                <w:sz w:val="20"/>
                <w:szCs w:val="20"/>
              </w:rPr>
              <w:t>I felt goosebumps, a chill, or a tingling sensation in response to a space or surface.</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316692A" w14:textId="77777777" w:rsidR="00FE37D7" w:rsidRDefault="00FE37D7" w:rsidP="00C82F49">
            <w:r>
              <w:rPr>
                <w:sz w:val="20"/>
                <w:szCs w:val="20"/>
              </w:rPr>
              <w:t>Skin</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DCD33FF" w14:textId="77777777" w:rsidR="00FE37D7" w:rsidRDefault="00FE37D7" w:rsidP="00C82F49">
            <w:r>
              <w:rPr>
                <w:sz w:val="20"/>
                <w:szCs w:val="20"/>
              </w:rPr>
              <w:t>Sāttvika-bhāva: romāñca (horripilation).</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45078E9" w14:textId="77777777" w:rsidR="00FE37D7" w:rsidRDefault="00FE37D7" w:rsidP="00C82F49">
            <w:r>
              <w:rPr>
                <w:sz w:val="20"/>
                <w:szCs w:val="20"/>
              </w:rPr>
              <w:t>Salimpoor et al. (2011) chills as aesthetic peak markers; Konečni (2005) aesthetic awe.</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E3B40C2" w14:textId="77777777" w:rsidR="00FE37D7" w:rsidRDefault="00FE37D7" w:rsidP="00C82F49">
            <w:r>
              <w:rPr>
                <w:sz w:val="20"/>
                <w:szCs w:val="20"/>
              </w:rPr>
              <w:t>Direct operationalisation of romāñca; the most-cited sāttvika in modern aesthetic research.</w:t>
            </w:r>
          </w:p>
        </w:tc>
      </w:tr>
      <w:tr w:rsidR="00FE37D7" w14:paraId="14A6B01F" w14:textId="77777777" w:rsidTr="00FE37D7">
        <w:tblPrEx>
          <w:tblCellMar>
            <w:top w:w="0" w:type="dxa"/>
            <w:bottom w:w="0" w:type="dxa"/>
          </w:tblCellMar>
        </w:tblPrEx>
        <w:trPr>
          <w:trHeight w:val="690"/>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076AAB0" w14:textId="77777777" w:rsidR="00FE37D7" w:rsidRDefault="00FE37D7" w:rsidP="00C82F49">
            <w:r>
              <w:rPr>
                <w:sz w:val="20"/>
                <w:szCs w:val="20"/>
              </w:rPr>
              <w:t>M3</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37EFF13" w14:textId="77777777" w:rsidR="00FE37D7" w:rsidRDefault="00FE37D7" w:rsidP="00C82F49">
            <w:r>
              <w:rPr>
                <w:sz w:val="20"/>
                <w:szCs w:val="20"/>
              </w:rPr>
              <w:t>The height or depth of a space made me feel physical vertigo or weightlessness.</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A0C4D46" w14:textId="77777777" w:rsidR="00FE37D7" w:rsidRDefault="00FE37D7" w:rsidP="00C82F49">
            <w:r>
              <w:rPr>
                <w:sz w:val="20"/>
                <w:szCs w:val="20"/>
              </w:rPr>
              <w:t>Vestibular</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4FD5A50" w14:textId="77777777" w:rsidR="00FE37D7" w:rsidRDefault="00FE37D7" w:rsidP="00C82F49">
            <w:r>
              <w:rPr>
                <w:sz w:val="20"/>
                <w:szCs w:val="20"/>
              </w:rPr>
              <w:t>Sāttvika-bhāva: pralaya (swoon/loss-of-balance).</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67E6769" w14:textId="77777777" w:rsidR="00FE37D7" w:rsidRDefault="00FE37D7" w:rsidP="00C82F49">
            <w:r>
              <w:rPr>
                <w:sz w:val="20"/>
                <w:szCs w:val="20"/>
              </w:rPr>
              <w:t>Sublime as physiological event (Burke, 1757; Ishizu &amp; Zeki, 2014).</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A51F166" w14:textId="77777777" w:rsidR="00FE37D7" w:rsidRDefault="00FE37D7" w:rsidP="00C82F49">
            <w:r>
              <w:rPr>
                <w:sz w:val="20"/>
                <w:szCs w:val="20"/>
              </w:rPr>
              <w:t>Direct operationalisation of pralaya in a Burkean-sublime sense; vestibular anchor is essential.</w:t>
            </w:r>
          </w:p>
        </w:tc>
      </w:tr>
      <w:tr w:rsidR="00FE37D7" w14:paraId="7C934CF5" w14:textId="77777777" w:rsidTr="00FE37D7">
        <w:tblPrEx>
          <w:tblCellMar>
            <w:top w:w="0" w:type="dxa"/>
            <w:bottom w:w="0" w:type="dxa"/>
          </w:tblCellMar>
        </w:tblPrEx>
        <w:trPr>
          <w:trHeight w:val="558"/>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9BF5579" w14:textId="77777777" w:rsidR="00FE37D7" w:rsidRDefault="00FE37D7" w:rsidP="00C82F49">
            <w:r>
              <w:rPr>
                <w:sz w:val="20"/>
                <w:szCs w:val="20"/>
              </w:rPr>
              <w:t>M4</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C3EF659" w14:textId="77777777" w:rsidR="00FE37D7" w:rsidRDefault="00FE37D7" w:rsidP="00C82F49">
            <w:r>
              <w:rPr>
                <w:sz w:val="20"/>
                <w:szCs w:val="20"/>
              </w:rPr>
              <w:t>I experienced involuntary stillness—my body stopped moving before my mind decided to stop.</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67D83AF" w14:textId="77777777" w:rsidR="00FE37D7" w:rsidRDefault="00FE37D7" w:rsidP="00C82F49">
            <w:r>
              <w:rPr>
                <w:sz w:val="20"/>
                <w:szCs w:val="20"/>
              </w:rPr>
              <w:t>Whole body</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83191C4" w14:textId="77777777" w:rsidR="00FE37D7" w:rsidRDefault="00FE37D7" w:rsidP="00C82F49">
            <w:r>
              <w:rPr>
                <w:sz w:val="20"/>
                <w:szCs w:val="20"/>
              </w:rPr>
              <w:t>Sāttvika-bhāva: stambha (stupefaction).</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0B1C0BA" w14:textId="77777777" w:rsidR="00FE37D7" w:rsidRDefault="00FE37D7" w:rsidP="00C82F49">
            <w:r>
              <w:rPr>
                <w:sz w:val="20"/>
                <w:szCs w:val="20"/>
              </w:rPr>
              <w:t>Freezing response (Hagenaars et al., 2014); attentional capture.</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E3B8612" w14:textId="77777777" w:rsidR="00FE37D7" w:rsidRDefault="00FE37D7" w:rsidP="00C82F49">
            <w:r>
              <w:rPr>
                <w:sz w:val="20"/>
                <w:szCs w:val="20"/>
              </w:rPr>
              <w:t>Direct operationalisation of stambha; explicit volitional-autonomic disjunction in wording.</w:t>
            </w:r>
          </w:p>
        </w:tc>
      </w:tr>
      <w:tr w:rsidR="00FE37D7" w14:paraId="3532855B" w14:textId="77777777" w:rsidTr="00FE37D7">
        <w:tblPrEx>
          <w:tblCellMar>
            <w:top w:w="0" w:type="dxa"/>
            <w:bottom w:w="0" w:type="dxa"/>
          </w:tblCellMar>
        </w:tblPrEx>
        <w:trPr>
          <w:trHeight w:val="838"/>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9FC4CEA" w14:textId="77777777" w:rsidR="00FE37D7" w:rsidRDefault="00FE37D7" w:rsidP="00C82F49">
            <w:r>
              <w:rPr>
                <w:sz w:val="20"/>
                <w:szCs w:val="20"/>
              </w:rPr>
              <w:t>M5</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F1F74DE" w14:textId="77777777" w:rsidR="00FE37D7" w:rsidRDefault="00FE37D7" w:rsidP="00C82F49">
            <w:r>
              <w:rPr>
                <w:sz w:val="20"/>
                <w:szCs w:val="20"/>
              </w:rPr>
              <w:t>The transition from bright courtyard to dark sanctum produced a physical sensation beyond visual adjustment.</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4D3238C" w14:textId="77777777" w:rsidR="00FE37D7" w:rsidRDefault="00FE37D7" w:rsidP="00C82F49">
            <w:r>
              <w:rPr>
                <w:sz w:val="20"/>
                <w:szCs w:val="20"/>
              </w:rPr>
              <w:t>Eyes + Chest</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3075C7F" w14:textId="77777777" w:rsidR="00FE37D7" w:rsidRDefault="00FE37D7" w:rsidP="00C82F49">
            <w:r>
              <w:rPr>
                <w:sz w:val="20"/>
                <w:szCs w:val="20"/>
              </w:rPr>
              <w:t>Non-classical extension; threshold-physiology specific to garbhagṛha architecture.</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C74352D" w14:textId="77777777" w:rsidR="00FE37D7" w:rsidRDefault="00FE37D7" w:rsidP="00C82F49">
            <w:r>
              <w:rPr>
                <w:sz w:val="20"/>
                <w:szCs w:val="20"/>
              </w:rPr>
              <w:t>Norberg-Schulz (1980) on threshold; Plummer (2009) on light in architecture.</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128CC4E" w14:textId="77777777" w:rsidR="00FE37D7" w:rsidRDefault="00FE37D7" w:rsidP="00C82F49">
            <w:r>
              <w:rPr>
                <w:sz w:val="20"/>
                <w:szCs w:val="20"/>
              </w:rPr>
              <w:t>Vijaya Vittala–specific (garbhagṛha threshold); the only non-classical sāttvika item in the RSS-25.</w:t>
            </w:r>
          </w:p>
        </w:tc>
      </w:tr>
      <w:tr w:rsidR="00FE37D7" w14:paraId="3DAEAD26" w14:textId="77777777" w:rsidTr="00FE37D7">
        <w:tblPrEx>
          <w:tblCellMar>
            <w:top w:w="0" w:type="dxa"/>
            <w:bottom w:w="0" w:type="dxa"/>
          </w:tblCellMar>
        </w:tblPrEx>
        <w:trPr>
          <w:trHeight w:val="969"/>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E32D6A9" w14:textId="77777777" w:rsidR="00FE37D7" w:rsidRDefault="00FE37D7" w:rsidP="00C82F49">
            <w:r>
              <w:rPr>
                <w:sz w:val="20"/>
                <w:szCs w:val="20"/>
              </w:rPr>
              <w:t>Y1</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F621319" w14:textId="77777777" w:rsidR="00FE37D7" w:rsidRDefault="00FE37D7" w:rsidP="00C82F49">
            <w:r>
              <w:rPr>
                <w:sz w:val="20"/>
                <w:szCs w:val="20"/>
              </w:rPr>
              <w:t>At some point, I stopped feeling like a visitor and began feeling the space was made for my body.</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08369BE" w14:textId="77777777" w:rsidR="00FE37D7" w:rsidRDefault="00FE37D7" w:rsidP="00C82F49">
            <w:r>
              <w:rPr>
                <w:sz w:val="20"/>
                <w:szCs w:val="20"/>
              </w:rPr>
              <w:t>Whole body</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C7C78B0" w14:textId="77777777" w:rsidR="00FE37D7" w:rsidRDefault="00FE37D7" w:rsidP="00C82F49">
            <w:r>
              <w:rPr>
                <w:sz w:val="20"/>
                <w:szCs w:val="20"/>
              </w:rPr>
              <w:t xml:space="preserve">Yoga as anuyojana (fitness, conjunction); </w:t>
            </w:r>
            <w:r>
              <w:rPr>
                <w:sz w:val="20"/>
                <w:szCs w:val="20"/>
              </w:rPr>
              <w:lastRenderedPageBreak/>
              <w:t>sādhāraṇīkaraṇa as preliminary.</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E2EC989" w14:textId="77777777" w:rsidR="00FE37D7" w:rsidRDefault="00FE37D7" w:rsidP="00C82F49">
            <w:r>
              <w:rPr>
                <w:sz w:val="20"/>
                <w:szCs w:val="20"/>
              </w:rPr>
              <w:lastRenderedPageBreak/>
              <w:t>Pallasmaa (2012) on architectural belonging; Heidegger (1971) on dwelling.</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3F65F31" w14:textId="77777777" w:rsidR="00FE37D7" w:rsidRDefault="00FE37D7" w:rsidP="00C82F49">
            <w:r>
              <w:rPr>
                <w:sz w:val="20"/>
                <w:szCs w:val="20"/>
              </w:rPr>
              <w:t xml:space="preserve">Item captures the moment of belonging-shift; the visitor-to-belonging transition is the strongest </w:t>
            </w:r>
            <w:r>
              <w:rPr>
                <w:sz w:val="20"/>
                <w:szCs w:val="20"/>
              </w:rPr>
              <w:lastRenderedPageBreak/>
              <w:t>predictor of overall scale-level engagement.</w:t>
            </w:r>
          </w:p>
        </w:tc>
      </w:tr>
      <w:tr w:rsidR="00FE37D7" w14:paraId="1D87C5CA" w14:textId="77777777" w:rsidTr="00FE37D7">
        <w:tblPrEx>
          <w:tblCellMar>
            <w:top w:w="0" w:type="dxa"/>
            <w:bottom w:w="0" w:type="dxa"/>
          </w:tblCellMar>
        </w:tblPrEx>
        <w:trPr>
          <w:trHeight w:val="690"/>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135562E" w14:textId="77777777" w:rsidR="00FE37D7" w:rsidRDefault="00FE37D7" w:rsidP="00C82F49">
            <w:r>
              <w:rPr>
                <w:sz w:val="20"/>
                <w:szCs w:val="20"/>
              </w:rPr>
              <w:lastRenderedPageBreak/>
              <w:t>Y2</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6381893" w14:textId="77777777" w:rsidR="00FE37D7" w:rsidRDefault="00FE37D7" w:rsidP="00C82F49">
            <w:r>
              <w:rPr>
                <w:sz w:val="20"/>
                <w:szCs w:val="20"/>
              </w:rPr>
              <w:t>The boundary between my body and the architecture felt blurred—I was part of the building.</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1138E9A" w14:textId="77777777" w:rsidR="00FE37D7" w:rsidRDefault="00FE37D7" w:rsidP="00C82F49">
            <w:r>
              <w:rPr>
                <w:sz w:val="20"/>
                <w:szCs w:val="20"/>
              </w:rPr>
              <w:t>Body schema</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652838E" w14:textId="77777777" w:rsidR="00FE37D7" w:rsidRDefault="00FE37D7" w:rsidP="00C82F49">
            <w:r>
              <w:rPr>
                <w:sz w:val="20"/>
                <w:szCs w:val="20"/>
              </w:rPr>
              <w:t>Sādhāraṇīkaraṇa (Abhinavagupta) as boundary-dissolution; cf. layana.</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68DE814" w14:textId="77777777" w:rsidR="00FE37D7" w:rsidRDefault="00FE37D7" w:rsidP="00C82F49">
            <w:r>
              <w:rPr>
                <w:sz w:val="20"/>
                <w:szCs w:val="20"/>
              </w:rPr>
              <w:t>Merleau-Ponty (1962) flesh of the world; Gallese (2007).</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D0D2D18" w14:textId="77777777" w:rsidR="00FE37D7" w:rsidRDefault="00FE37D7" w:rsidP="00C82F49">
            <w:r>
              <w:rPr>
                <w:sz w:val="20"/>
                <w:szCs w:val="20"/>
              </w:rPr>
              <w:t>Direct operationalisation of Abhinavagupta's sādhāraṇīkaraṇa; the central Yoga-Sthiti item.</w:t>
            </w:r>
          </w:p>
        </w:tc>
      </w:tr>
      <w:tr w:rsidR="00FE37D7" w14:paraId="48AE150F" w14:textId="77777777" w:rsidTr="00FE37D7">
        <w:tblPrEx>
          <w:tblCellMar>
            <w:top w:w="0" w:type="dxa"/>
            <w:bottom w:w="0" w:type="dxa"/>
          </w:tblCellMar>
        </w:tblPrEx>
        <w:trPr>
          <w:trHeight w:val="854"/>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CBBA893" w14:textId="77777777" w:rsidR="00FE37D7" w:rsidRDefault="00FE37D7" w:rsidP="00C82F49">
            <w:r>
              <w:rPr>
                <w:sz w:val="20"/>
                <w:szCs w:val="20"/>
              </w:rPr>
              <w:t>Y3</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63F1992" w14:textId="77777777" w:rsidR="00FE37D7" w:rsidRDefault="00FE37D7" w:rsidP="00C82F49">
            <w:r>
              <w:rPr>
                <w:sz w:val="20"/>
                <w:szCs w:val="20"/>
              </w:rPr>
              <w:t>I felt the architecture's proportions responded to my body—doorways to my height, corridors to my stride.</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DC4CDC7" w14:textId="77777777" w:rsidR="00FE37D7" w:rsidRDefault="00FE37D7" w:rsidP="00C82F49">
            <w:r>
              <w:rPr>
                <w:sz w:val="20"/>
                <w:szCs w:val="20"/>
              </w:rPr>
              <w:t>Proprioception</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2174009" w14:textId="77777777" w:rsidR="00FE37D7" w:rsidRDefault="00FE37D7" w:rsidP="00C82F49">
            <w:r>
              <w:rPr>
                <w:sz w:val="20"/>
                <w:szCs w:val="20"/>
              </w:rPr>
              <w:t>Yoga as anukūlatā (responsiveness, fit).</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1004C98" w14:textId="77777777" w:rsidR="00FE37D7" w:rsidRDefault="00FE37D7" w:rsidP="00C82F49">
            <w:r>
              <w:rPr>
                <w:sz w:val="20"/>
                <w:szCs w:val="20"/>
              </w:rPr>
              <w:t>Inverse Modulor / Vitruvian — the building accommodates the body rather than the body conforming to module.</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3874D53" w14:textId="77777777" w:rsidR="00FE37D7" w:rsidRDefault="00FE37D7" w:rsidP="00C82F49">
            <w:r>
              <w:rPr>
                <w:sz w:val="20"/>
                <w:szCs w:val="20"/>
              </w:rPr>
              <w:t>Item inverts the conventional Vitruvian-Modulor reading: the building yields to the body, not vice versa.</w:t>
            </w:r>
          </w:p>
        </w:tc>
      </w:tr>
      <w:tr w:rsidR="00FE37D7" w14:paraId="0AAB4C96" w14:textId="77777777" w:rsidTr="00FE37D7">
        <w:tblPrEx>
          <w:tblCellMar>
            <w:top w:w="0" w:type="dxa"/>
            <w:bottom w:w="0" w:type="dxa"/>
          </w:tblCellMar>
        </w:tblPrEx>
        <w:trPr>
          <w:trHeight w:val="81"/>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96ACB39" w14:textId="77777777" w:rsidR="00FE37D7" w:rsidRDefault="00FE37D7" w:rsidP="00C82F49">
            <w:r>
              <w:rPr>
                <w:sz w:val="20"/>
                <w:szCs w:val="20"/>
              </w:rPr>
              <w:t>Y4</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1031D53" w14:textId="77777777" w:rsidR="00FE37D7" w:rsidRDefault="00FE37D7" w:rsidP="00C82F49">
            <w:r>
              <w:rPr>
                <w:sz w:val="20"/>
                <w:szCs w:val="20"/>
              </w:rPr>
              <w:t>I experienced a stillness or peace that felt physical, not just emotional.</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F88EE44" w14:textId="77777777" w:rsidR="00FE37D7" w:rsidRDefault="00FE37D7" w:rsidP="00C82F49">
            <w:r>
              <w:rPr>
                <w:sz w:val="20"/>
                <w:szCs w:val="20"/>
              </w:rPr>
              <w:t>Core</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3297CF2" w14:textId="77777777" w:rsidR="00FE37D7" w:rsidRDefault="00FE37D7" w:rsidP="00C82F49">
            <w:r>
              <w:rPr>
                <w:sz w:val="20"/>
                <w:szCs w:val="20"/>
              </w:rPr>
              <w:t>Śānta-rasa (the rasa of tranquillity); yoga-sthiti proper.</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9AB2C60" w14:textId="77777777" w:rsidR="00FE37D7" w:rsidRDefault="00FE37D7" w:rsidP="00C82F49">
            <w:r>
              <w:rPr>
                <w:sz w:val="20"/>
                <w:szCs w:val="20"/>
              </w:rPr>
              <w:t>Csikszentmihalyi (1990) flow as somatic settledness; meditation phenomenology.</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6D23E42" w14:textId="77777777" w:rsidR="00FE37D7" w:rsidRDefault="00FE37D7" w:rsidP="00C82F49">
            <w:r>
              <w:rPr>
                <w:sz w:val="20"/>
                <w:szCs w:val="20"/>
              </w:rPr>
              <w:t>Item operationalises śānta-rasa as a bodily rather than evaluative state; the core anchor is deliberate (centre of gravity).</w:t>
            </w:r>
          </w:p>
        </w:tc>
      </w:tr>
      <w:tr w:rsidR="00FE37D7" w14:paraId="4394448E" w14:textId="77777777" w:rsidTr="00FE37D7">
        <w:tblPrEx>
          <w:tblCellMar>
            <w:top w:w="0" w:type="dxa"/>
            <w:bottom w:w="0" w:type="dxa"/>
          </w:tblCellMar>
        </w:tblPrEx>
        <w:trPr>
          <w:trHeight w:val="838"/>
        </w:trPr>
        <w:tc>
          <w:tcPr>
            <w:tcW w:w="56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8A5CB77" w14:textId="77777777" w:rsidR="00FE37D7" w:rsidRDefault="00FE37D7" w:rsidP="00C82F49">
            <w:r>
              <w:rPr>
                <w:sz w:val="20"/>
                <w:szCs w:val="20"/>
              </w:rPr>
              <w:t>Y5</w:t>
            </w:r>
          </w:p>
        </w:tc>
        <w:tc>
          <w:tcPr>
            <w:tcW w:w="289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B7B7E2E" w14:textId="77777777" w:rsidR="00FE37D7" w:rsidRDefault="00FE37D7" w:rsidP="00C82F49">
            <w:r>
              <w:rPr>
                <w:sz w:val="20"/>
                <w:szCs w:val="20"/>
              </w:rPr>
              <w:t>If asked to describe this architecture, I would describe how it feels to be inside, not what it looks like.</w:t>
            </w:r>
          </w:p>
        </w:tc>
        <w:tc>
          <w:tcPr>
            <w:tcW w:w="136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BA47E69" w14:textId="77777777" w:rsidR="00FE37D7" w:rsidRDefault="00FE37D7" w:rsidP="00C82F49">
            <w:r>
              <w:rPr>
                <w:sz w:val="20"/>
                <w:szCs w:val="20"/>
              </w:rPr>
              <w:t>Language shift</w:t>
            </w:r>
          </w:p>
        </w:tc>
        <w:tc>
          <w:tcPr>
            <w:tcW w:w="161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0923180" w14:textId="77777777" w:rsidR="00FE37D7" w:rsidRDefault="00FE37D7" w:rsidP="00C82F49">
            <w:r>
              <w:rPr>
                <w:sz w:val="20"/>
                <w:szCs w:val="20"/>
              </w:rPr>
              <w:t>Anubhava-yoga; the experiential precedes the visual in description.</w:t>
            </w:r>
          </w:p>
        </w:tc>
        <w:tc>
          <w:tcPr>
            <w:tcW w:w="1639"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381CD8C" w14:textId="77777777" w:rsidR="00FE37D7" w:rsidRDefault="00FE37D7" w:rsidP="00C82F49">
            <w:r>
              <w:rPr>
                <w:sz w:val="20"/>
                <w:szCs w:val="20"/>
              </w:rPr>
              <w:t>Pallasmaa (2012) critique of ocularcentrism; phenomenological priority of lived experience.</w:t>
            </w:r>
          </w:p>
        </w:tc>
        <w:tc>
          <w:tcPr>
            <w:tcW w:w="2075"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5B749BA" w14:textId="77777777" w:rsidR="00FE37D7" w:rsidRDefault="00FE37D7" w:rsidP="00C82F49">
            <w:r>
              <w:rPr>
                <w:sz w:val="20"/>
                <w:szCs w:val="20"/>
              </w:rPr>
              <w:t>Item tests the meta-cognitive consequence of Yoga-Sthiti: a shift in descriptive register from visual to experiential.</w:t>
            </w:r>
          </w:p>
        </w:tc>
      </w:tr>
    </w:tbl>
    <w:p w14:paraId="03C4FBDF" w14:textId="13DF2C79" w:rsidR="00A1531E" w:rsidRDefault="00A1531E">
      <w:pPr>
        <w:pStyle w:val="Heading1"/>
        <w:spacing w:before="280" w:after="140"/>
      </w:pPr>
    </w:p>
    <w:p w14:paraId="36FF3C68" w14:textId="77777777" w:rsidR="00A1531E" w:rsidRDefault="00000000">
      <w:pPr>
        <w:spacing w:after="120" w:line="320" w:lineRule="auto"/>
        <w:jc w:val="both"/>
      </w:pPr>
      <w:r>
        <w:t>The RSS-25 is intended for post-encounter administration. The stimulus encounter may be in situ (physical heritage visit), mediated (immersive VR, 360° video), or pedagogical (a guided imaginative reconstruction). Administration should follow four principles:</w:t>
      </w:r>
    </w:p>
    <w:p w14:paraId="78BD3A90" w14:textId="77777777" w:rsidR="00A1531E" w:rsidRDefault="00000000">
      <w:pPr>
        <w:pStyle w:val="ListParagraph"/>
        <w:numPr>
          <w:ilvl w:val="0"/>
          <w:numId w:val="2"/>
        </w:numPr>
        <w:spacing w:after="80" w:line="300" w:lineRule="auto"/>
      </w:pPr>
      <w:r>
        <w:rPr>
          <w:b/>
          <w:bCs/>
        </w:rPr>
        <w:t xml:space="preserve">Timing. </w:t>
      </w:r>
      <w:r>
        <w:t>Administer within 60 minutes of the encounter to minimise memory decay of bodily-register details.</w:t>
      </w:r>
    </w:p>
    <w:p w14:paraId="0E7CA83E" w14:textId="77777777" w:rsidR="00A1531E" w:rsidRDefault="00000000">
      <w:pPr>
        <w:pStyle w:val="ListParagraph"/>
        <w:numPr>
          <w:ilvl w:val="0"/>
          <w:numId w:val="2"/>
        </w:numPr>
        <w:spacing w:after="80" w:line="300" w:lineRule="auto"/>
      </w:pPr>
      <w:r>
        <w:rPr>
          <w:b/>
          <w:bCs/>
        </w:rPr>
        <w:t xml:space="preserve">Item randomisation. </w:t>
      </w:r>
      <w:r>
        <w:t>Present items in randomised order without subscale labels, to prevent priming of subscale-consistent response sets.</w:t>
      </w:r>
    </w:p>
    <w:p w14:paraId="5F4F04A6" w14:textId="77777777" w:rsidR="00A1531E" w:rsidRDefault="00000000">
      <w:pPr>
        <w:pStyle w:val="ListParagraph"/>
        <w:numPr>
          <w:ilvl w:val="0"/>
          <w:numId w:val="2"/>
        </w:numPr>
        <w:spacing w:after="80" w:line="300" w:lineRule="auto"/>
      </w:pPr>
      <w:r>
        <w:rPr>
          <w:b/>
          <w:bCs/>
        </w:rPr>
        <w:lastRenderedPageBreak/>
        <w:t xml:space="preserve">Body-anchor visibility. </w:t>
      </w:r>
      <w:r>
        <w:t>The italicised body anchor must be visible alongside the item text. In the Google Forms implementation, the anchor was placed on a line below the item, separated by a line break.</w:t>
      </w:r>
    </w:p>
    <w:p w14:paraId="757241FF" w14:textId="77777777" w:rsidR="00A1531E" w:rsidRDefault="00000000">
      <w:pPr>
        <w:pStyle w:val="ListParagraph"/>
        <w:numPr>
          <w:ilvl w:val="0"/>
          <w:numId w:val="2"/>
        </w:numPr>
        <w:spacing w:after="80" w:line="300" w:lineRule="auto"/>
      </w:pPr>
      <w:r>
        <w:rPr>
          <w:b/>
          <w:bCs/>
        </w:rPr>
        <w:t xml:space="preserve">No back-tracking required. </w:t>
      </w:r>
      <w:r>
        <w:t>The respondent need not have completed every stage; items reference what occurred during the encounter, not what the respondent believes should have occurred.</w:t>
      </w:r>
    </w:p>
    <w:p w14:paraId="3B5AD0D8" w14:textId="77777777" w:rsidR="00A1531E" w:rsidRDefault="00000000">
      <w:pPr>
        <w:spacing w:after="120" w:line="320" w:lineRule="auto"/>
        <w:jc w:val="both"/>
      </w:pPr>
      <w:r>
        <w:t>Mean completion time in the validation study was approximately seven minutes. Missingness across all 25 items was zero, suggesting that respondents found the items interpretable and the instrument well-paced.</w:t>
      </w:r>
    </w:p>
    <w:p w14:paraId="260AB607" w14:textId="77777777" w:rsidR="00A1531E" w:rsidRDefault="00000000">
      <w:r>
        <w:br w:type="page"/>
      </w:r>
    </w:p>
    <w:p w14:paraId="03F5EFEE" w14:textId="77777777" w:rsidR="00A1531E" w:rsidRDefault="00000000">
      <w:pPr>
        <w:pStyle w:val="Heading1"/>
        <w:spacing w:before="280" w:after="140"/>
      </w:pPr>
      <w:r>
        <w:lastRenderedPageBreak/>
        <w:t>11. Resources Used in Constructing the RSS-25</w:t>
      </w:r>
    </w:p>
    <w:p w14:paraId="0D023895" w14:textId="77777777" w:rsidR="00A1531E" w:rsidRDefault="00000000">
      <w:pPr>
        <w:pStyle w:val="Heading2"/>
        <w:spacing w:after="140"/>
      </w:pPr>
      <w:r>
        <w:t>11.1 Classical Indian Sources (Sanskrit Substrate)</w:t>
      </w:r>
    </w:p>
    <w:p w14:paraId="29416BAB" w14:textId="77777777" w:rsidR="00A1531E" w:rsidRDefault="00000000">
      <w:pPr>
        <w:spacing w:after="120" w:line="300" w:lineRule="auto"/>
        <w:ind w:left="720" w:hanging="720"/>
      </w:pPr>
      <w:r>
        <w:t>Bharata Muni. (1951). The Nāṭyaśāstra: A treatise on Hindu dramaturgy and histrionics (M. Ghosh, Trans., Vol. 1, Chapters I–XXVII). Calcutta: Asiatic Society of Bengal.</w:t>
      </w:r>
    </w:p>
    <w:p w14:paraId="4DCC5A29" w14:textId="77777777" w:rsidR="00A1531E" w:rsidRDefault="00000000">
      <w:pPr>
        <w:spacing w:after="120" w:line="300" w:lineRule="auto"/>
        <w:ind w:left="720" w:hanging="720"/>
      </w:pPr>
      <w:r>
        <w:t>Bharata Muni. (1967). The Nāṭyaśāstra (M. Ghosh, Trans., Vol. 2, Chapters XXVIII–XXXVI). Calcutta: Manisha Granthalaya.</w:t>
      </w:r>
    </w:p>
    <w:p w14:paraId="33ABA4F9" w14:textId="77777777" w:rsidR="00A1531E" w:rsidRDefault="00000000">
      <w:pPr>
        <w:spacing w:after="120" w:line="300" w:lineRule="auto"/>
        <w:ind w:left="720" w:hanging="720"/>
      </w:pPr>
      <w:r>
        <w:t>Abhinavagupta. (1985). The aesthetic experience according to Abhinavagupta (R. Gnoli, Ed. and Trans.). Varanasi: Chowkhamba Sanskrit Series. (Original commentary c. 10th–11th c. CE)</w:t>
      </w:r>
    </w:p>
    <w:p w14:paraId="5AE4A246" w14:textId="77777777" w:rsidR="00A1531E" w:rsidRDefault="00000000">
      <w:pPr>
        <w:spacing w:after="120" w:line="300" w:lineRule="auto"/>
        <w:ind w:left="720" w:hanging="720"/>
      </w:pPr>
      <w:r>
        <w:t>Ānandavardhana. (1990). The Dhvanyāloka of Ānandavardhana with the Locana of Abhinavagupta (D. H. H. Ingalls, J. M. Masson, &amp; M. V. Patwardhan, Trans.). Cambridge, MA: Harvard University Press.</w:t>
      </w:r>
    </w:p>
    <w:p w14:paraId="10322BA7" w14:textId="77777777" w:rsidR="00A1531E" w:rsidRDefault="00000000">
      <w:pPr>
        <w:spacing w:after="120" w:line="300" w:lineRule="auto"/>
        <w:ind w:left="720" w:hanging="720"/>
      </w:pPr>
      <w:r>
        <w:t>Rūpa Gosvāmin. (2003). The Bhakti-rasāmṛta-sindhu of Rūpa Gosvāmin (D. L. Haberman, Trans.). Delhi: Motilal Banarsidass. (Original work c. 16th c. CE; source for the mahā-bhāva concept.)</w:t>
      </w:r>
    </w:p>
    <w:p w14:paraId="6FC15F6F" w14:textId="77777777" w:rsidR="00A1531E" w:rsidRDefault="00000000">
      <w:pPr>
        <w:spacing w:after="120" w:line="300" w:lineRule="auto"/>
        <w:ind w:left="720" w:hanging="720"/>
      </w:pPr>
      <w:r>
        <w:t>Masson, J. L., &amp; Patwardhan, M. V. (1970). Aesthetic rapture: The rasādhyāya of the Nāṭyaśāstra (2 vols.). Poona: Deccan College.</w:t>
      </w:r>
    </w:p>
    <w:p w14:paraId="6877273F" w14:textId="77777777" w:rsidR="00A1531E" w:rsidRDefault="00000000">
      <w:pPr>
        <w:spacing w:after="120" w:line="300" w:lineRule="auto"/>
        <w:ind w:left="720" w:hanging="720"/>
      </w:pPr>
      <w:r>
        <w:t>Pandey, K. C. (1959). Comparative aesthetics: Indian aesthetics (Vol. 1). Varanasi: Chowkhamba Sanskrit Series.</w:t>
      </w:r>
    </w:p>
    <w:p w14:paraId="3E299ABE" w14:textId="77777777" w:rsidR="00A1531E" w:rsidRDefault="00000000">
      <w:pPr>
        <w:spacing w:after="120" w:line="300" w:lineRule="auto"/>
        <w:ind w:left="720" w:hanging="720"/>
      </w:pPr>
      <w:r>
        <w:t>Pollock, S. (Ed. &amp; Trans.). (2016). A rasa reader: Classical Indian aesthetics. New York: Columbia University Press.</w:t>
      </w:r>
    </w:p>
    <w:p w14:paraId="5D22325B" w14:textId="77777777" w:rsidR="00A1531E" w:rsidRDefault="00000000">
      <w:pPr>
        <w:pStyle w:val="Heading2"/>
        <w:spacing w:after="140"/>
      </w:pPr>
      <w:r>
        <w:t>11.2 Architectural Phenomenology and Embodied Cognition</w:t>
      </w:r>
    </w:p>
    <w:p w14:paraId="03F2A3E8" w14:textId="77777777" w:rsidR="00A1531E" w:rsidRDefault="00000000">
      <w:pPr>
        <w:spacing w:after="120" w:line="300" w:lineRule="auto"/>
        <w:ind w:left="720" w:hanging="720"/>
      </w:pPr>
      <w:r>
        <w:t>Bachelard, G. (1994). The poetics of space (M. Jolas, Trans.). Boston: Beacon Press. (Original work published 1958)</w:t>
      </w:r>
    </w:p>
    <w:p w14:paraId="0E869C67" w14:textId="77777777" w:rsidR="00A1531E" w:rsidRDefault="00000000">
      <w:pPr>
        <w:spacing w:after="120" w:line="300" w:lineRule="auto"/>
        <w:ind w:left="720" w:hanging="720"/>
      </w:pPr>
      <w:r>
        <w:t>Blesser, B., &amp; Salter, L.-R. (2007). Spaces speak, are you listening? Experiencing aural architecture. Cambridge, MA: MIT Press.</w:t>
      </w:r>
    </w:p>
    <w:p w14:paraId="5D2AD9D5" w14:textId="77777777" w:rsidR="00A1531E" w:rsidRDefault="00000000">
      <w:pPr>
        <w:spacing w:after="120" w:line="300" w:lineRule="auto"/>
        <w:ind w:left="720" w:hanging="720"/>
      </w:pPr>
      <w:r>
        <w:t>Bloomer, K., &amp; Moore, C. W. (1977). Body, memory, and architecture. New Haven, CT: Yale University Press.</w:t>
      </w:r>
    </w:p>
    <w:p w14:paraId="4FF3A5FB" w14:textId="77777777" w:rsidR="00A1531E" w:rsidRDefault="00000000">
      <w:pPr>
        <w:spacing w:after="120" w:line="300" w:lineRule="auto"/>
        <w:ind w:left="720" w:hanging="720"/>
      </w:pPr>
      <w:r>
        <w:t>Gallese, V. (2007). Before and below "theory of mind": Embodied simulation and the neural correlates of social cognition. Philosophical Transactions of the Royal Society B, 362(1480), 659–669.</w:t>
      </w:r>
    </w:p>
    <w:p w14:paraId="513373B6" w14:textId="77777777" w:rsidR="00A1531E" w:rsidRDefault="00000000">
      <w:pPr>
        <w:spacing w:after="120" w:line="300" w:lineRule="auto"/>
        <w:ind w:left="720" w:hanging="720"/>
      </w:pPr>
      <w:r>
        <w:t>Heidegger, M. (1971). Building dwelling thinking. In Poetry, language, thought (A. Hofstadter, Trans., pp. 145–161). New York: Harper &amp; Row.</w:t>
      </w:r>
    </w:p>
    <w:p w14:paraId="3DEAEBAD" w14:textId="77777777" w:rsidR="00A1531E" w:rsidRDefault="00000000">
      <w:pPr>
        <w:spacing w:after="120" w:line="300" w:lineRule="auto"/>
        <w:ind w:left="720" w:hanging="720"/>
      </w:pPr>
      <w:r>
        <w:t>Mallgrave, H. F. (2013). Architecture and embodiment: The implications of the new sciences and humanities for design. London: Routledge.</w:t>
      </w:r>
    </w:p>
    <w:p w14:paraId="78602E86" w14:textId="77777777" w:rsidR="00A1531E" w:rsidRDefault="00000000">
      <w:pPr>
        <w:spacing w:after="120" w:line="300" w:lineRule="auto"/>
        <w:ind w:left="720" w:hanging="720"/>
      </w:pPr>
      <w:r>
        <w:lastRenderedPageBreak/>
        <w:t>Merleau-Ponty, M. (1962). Phenomenology of perception (C. Smith, Trans.). London: Routledge &amp; Kegan Paul.</w:t>
      </w:r>
    </w:p>
    <w:p w14:paraId="1CE5D35A" w14:textId="77777777" w:rsidR="00A1531E" w:rsidRDefault="00000000">
      <w:pPr>
        <w:spacing w:after="120" w:line="300" w:lineRule="auto"/>
        <w:ind w:left="720" w:hanging="720"/>
      </w:pPr>
      <w:r>
        <w:t>Norberg-Schulz, C. (1980). Genius loci: Towards a phenomenology of architecture. New York: Rizzoli.</w:t>
      </w:r>
    </w:p>
    <w:p w14:paraId="37E9E329" w14:textId="77777777" w:rsidR="00A1531E" w:rsidRDefault="00000000">
      <w:pPr>
        <w:spacing w:after="120" w:line="300" w:lineRule="auto"/>
        <w:ind w:left="720" w:hanging="720"/>
      </w:pPr>
      <w:r>
        <w:t>Pallasmaa, J. (2012). The eyes of the skin: Architecture and the senses (3rd ed.). Chichester: John Wiley.</w:t>
      </w:r>
    </w:p>
    <w:p w14:paraId="22BC6FF7" w14:textId="77777777" w:rsidR="00A1531E" w:rsidRDefault="00000000">
      <w:pPr>
        <w:spacing w:after="120" w:line="300" w:lineRule="auto"/>
        <w:ind w:left="720" w:hanging="720"/>
      </w:pPr>
      <w:r>
        <w:t>Plummer, H. (2009). The architecture of natural light. New York: Monacelli Press.</w:t>
      </w:r>
    </w:p>
    <w:p w14:paraId="322028EE" w14:textId="77777777" w:rsidR="00A1531E" w:rsidRDefault="00000000">
      <w:pPr>
        <w:spacing w:after="120" w:line="300" w:lineRule="auto"/>
        <w:ind w:left="720" w:hanging="720"/>
      </w:pPr>
      <w:r>
        <w:t>Robinson, S., &amp; Pallasmaa, J. (Eds.). (2015). Mind in architecture: Neuroscience, embodiment, and the future of design. Cambridge, MA: MIT Press.</w:t>
      </w:r>
    </w:p>
    <w:p w14:paraId="16CEEFE8" w14:textId="77777777" w:rsidR="00A1531E" w:rsidRDefault="00000000">
      <w:pPr>
        <w:spacing w:after="120" w:line="300" w:lineRule="auto"/>
        <w:ind w:left="720" w:hanging="720"/>
      </w:pPr>
      <w:r>
        <w:t>Tilley, C. (1994). A phenomenology of landscape: Places, paths and monuments. Oxford: Berg.</w:t>
      </w:r>
    </w:p>
    <w:p w14:paraId="1BD648A9" w14:textId="77777777" w:rsidR="00A1531E" w:rsidRDefault="00000000">
      <w:pPr>
        <w:spacing w:after="120" w:line="300" w:lineRule="auto"/>
        <w:ind w:left="720" w:hanging="720"/>
      </w:pPr>
      <w:r>
        <w:t>van Toorn, R. (2011). The architecture of the well-tempered environment. London: Routledge.</w:t>
      </w:r>
    </w:p>
    <w:p w14:paraId="06AE49C6" w14:textId="77777777" w:rsidR="00A1531E" w:rsidRDefault="00000000">
      <w:pPr>
        <w:pStyle w:val="Heading2"/>
        <w:spacing w:after="140"/>
      </w:pPr>
      <w:r>
        <w:t>11.3 Aesthetic Psychology, Neuroaesthetics, and Awe</w:t>
      </w:r>
    </w:p>
    <w:p w14:paraId="6750E441" w14:textId="77777777" w:rsidR="00A1531E" w:rsidRDefault="00000000">
      <w:pPr>
        <w:spacing w:after="120" w:line="300" w:lineRule="auto"/>
        <w:ind w:left="720" w:hanging="720"/>
      </w:pPr>
      <w:r>
        <w:t>Burke, E. (1990). A philosophical enquiry into the origin of our ideas of the sublime and beautiful. Oxford: Oxford University Press. (Original work published 1757)</w:t>
      </w:r>
    </w:p>
    <w:p w14:paraId="25517BB7" w14:textId="77777777" w:rsidR="00A1531E" w:rsidRDefault="00000000">
      <w:pPr>
        <w:spacing w:after="120" w:line="300" w:lineRule="auto"/>
        <w:ind w:left="720" w:hanging="720"/>
      </w:pPr>
      <w:r>
        <w:t>Csikszentmihalyi, M. (1990). Flow: The psychology of optimal experience. New York: Harper &amp; Row.</w:t>
      </w:r>
    </w:p>
    <w:p w14:paraId="4203D6C0" w14:textId="77777777" w:rsidR="00A1531E" w:rsidRDefault="00000000">
      <w:pPr>
        <w:spacing w:after="120" w:line="300" w:lineRule="auto"/>
        <w:ind w:left="720" w:hanging="720"/>
      </w:pPr>
      <w:r>
        <w:t>Decety, J. (1996). The neurophysiological basis of motor imagery. Behavioural Brain Research, 77(1–2), 45–52.</w:t>
      </w:r>
    </w:p>
    <w:p w14:paraId="2852513A" w14:textId="77777777" w:rsidR="00A1531E" w:rsidRDefault="00000000">
      <w:pPr>
        <w:spacing w:after="120" w:line="300" w:lineRule="auto"/>
        <w:ind w:left="720" w:hanging="720"/>
      </w:pPr>
      <w:r>
        <w:t>Djebbara, Z., Fich, L. B., Petrini, L., &amp; Gramann, K. (2019). Sensorimotor brain dynamics reflect architectural affordances. PNAS, 116(29), 14769–14778.</w:t>
      </w:r>
    </w:p>
    <w:p w14:paraId="7902F0DD" w14:textId="77777777" w:rsidR="00A1531E" w:rsidRDefault="00000000">
      <w:pPr>
        <w:spacing w:after="120" w:line="300" w:lineRule="auto"/>
        <w:ind w:left="720" w:hanging="720"/>
      </w:pPr>
      <w:r>
        <w:t>Gibson, J. J. (1979). The ecological approach to visual perception. Boston: Houghton Mifflin.</w:t>
      </w:r>
    </w:p>
    <w:p w14:paraId="00DF437A" w14:textId="77777777" w:rsidR="00A1531E" w:rsidRDefault="00000000">
      <w:pPr>
        <w:spacing w:after="120" w:line="300" w:lineRule="auto"/>
        <w:ind w:left="720" w:hanging="720"/>
      </w:pPr>
      <w:r>
        <w:t>Hagenaars, M. A., Oitzl, M., &amp; Roelofs, K. (2014). Updating freeze: Aligning animal and human research. Neuroscience &amp; Biobehavioral Reviews, 47, 165–176.</w:t>
      </w:r>
    </w:p>
    <w:p w14:paraId="102C5619" w14:textId="77777777" w:rsidR="00A1531E" w:rsidRDefault="00000000">
      <w:pPr>
        <w:spacing w:after="120" w:line="300" w:lineRule="auto"/>
        <w:ind w:left="720" w:hanging="720"/>
      </w:pPr>
      <w:r>
        <w:t>Ishizu, T., &amp; Zeki, S. (2014). A neurobiological enquiry into the origins of our experience of the sublime and beautiful. Frontiers in Human Neuroscience, 8, 891.</w:t>
      </w:r>
    </w:p>
    <w:p w14:paraId="0FEFA818" w14:textId="77777777" w:rsidR="00A1531E" w:rsidRDefault="00000000">
      <w:pPr>
        <w:spacing w:after="120" w:line="300" w:lineRule="auto"/>
        <w:ind w:left="720" w:hanging="720"/>
      </w:pPr>
      <w:r>
        <w:t>Keltner, D., &amp; Haidt, J. (2003). Approaching awe, a moral, spiritual, and aesthetic emotion. Cognition and Emotion, 17(2), 297–314.</w:t>
      </w:r>
    </w:p>
    <w:p w14:paraId="781069BC" w14:textId="77777777" w:rsidR="00A1531E" w:rsidRDefault="00000000">
      <w:pPr>
        <w:spacing w:after="120" w:line="300" w:lineRule="auto"/>
        <w:ind w:left="720" w:hanging="720"/>
      </w:pPr>
      <w:r>
        <w:t>Konečni, V. J. (2005). The aesthetic trinity: Awe, being moved, thrills. Bulletin of Psychology and the Arts, 5(2), 27–44.</w:t>
      </w:r>
    </w:p>
    <w:p w14:paraId="28B53EA8" w14:textId="77777777" w:rsidR="00A1531E" w:rsidRDefault="00000000">
      <w:pPr>
        <w:spacing w:after="120" w:line="300" w:lineRule="auto"/>
        <w:ind w:left="720" w:hanging="720"/>
      </w:pPr>
      <w:r>
        <w:t>Lipps, T. (1903). Ästhetik: Psychologie des Schönen und der Kunst. Hamburg: Voss.</w:t>
      </w:r>
    </w:p>
    <w:p w14:paraId="4C317DBC" w14:textId="77777777" w:rsidR="00A1531E" w:rsidRDefault="00000000">
      <w:pPr>
        <w:spacing w:after="120" w:line="300" w:lineRule="auto"/>
        <w:ind w:left="720" w:hanging="720"/>
      </w:pPr>
      <w:r>
        <w:t>Rizzolatti, G., &amp; Sinigaglia, C. (2008). Mirrors in the brain: How our minds share actions and emotions. Oxford: Oxford University Press.</w:t>
      </w:r>
    </w:p>
    <w:p w14:paraId="21B172CF" w14:textId="77777777" w:rsidR="00A1531E" w:rsidRDefault="00000000">
      <w:pPr>
        <w:spacing w:after="120" w:line="300" w:lineRule="auto"/>
        <w:ind w:left="720" w:hanging="720"/>
      </w:pPr>
      <w:r>
        <w:lastRenderedPageBreak/>
        <w:t>Salimpoor, V. N., Benovoy, M., Larcher, K., Dagher, A., &amp; Zatorre, R. J. (2011). Anatomically distinct dopamine release during anticipation and experience of peak emotion to music. Nature Neuroscience, 14(2), 257–262.</w:t>
      </w:r>
    </w:p>
    <w:p w14:paraId="2F8E3D0D" w14:textId="77777777" w:rsidR="00A1531E" w:rsidRDefault="00000000">
      <w:pPr>
        <w:spacing w:after="120" w:line="300" w:lineRule="auto"/>
        <w:ind w:left="720" w:hanging="720"/>
      </w:pPr>
      <w:r>
        <w:t>Vischer, R. (1873). Über das optische Formgefühl: Ein Beitrag zur Ästhetik. Leipzig: Hermann Credner.</w:t>
      </w:r>
    </w:p>
    <w:p w14:paraId="7EC8EAFE" w14:textId="77777777" w:rsidR="00A1531E" w:rsidRDefault="00000000">
      <w:pPr>
        <w:spacing w:after="120" w:line="300" w:lineRule="auto"/>
        <w:ind w:left="720" w:hanging="720"/>
      </w:pPr>
      <w:r>
        <w:t>Wölfflin, H. (1886). Prolegomena zu einer Psychologie der Architektur. Munich: Wolf &amp; Sohn.</w:t>
      </w:r>
    </w:p>
    <w:p w14:paraId="7CEC1937" w14:textId="77777777" w:rsidR="00A1531E" w:rsidRDefault="00000000">
      <w:pPr>
        <w:pStyle w:val="Heading2"/>
        <w:spacing w:after="140"/>
      </w:pPr>
      <w:r>
        <w:t>11.4 Comparator Aesthetic-Emotion Instruments</w:t>
      </w:r>
    </w:p>
    <w:p w14:paraId="0890586E" w14:textId="77777777" w:rsidR="00A1531E" w:rsidRDefault="00000000">
      <w:pPr>
        <w:spacing w:after="120" w:line="300" w:lineRule="auto"/>
        <w:ind w:left="720" w:hanging="720"/>
      </w:pPr>
      <w:r>
        <w:t>Schindler, I., Hosoya, G., Menninghaus, W., Beermann, U., Wagner, V., Eid, M., &amp; Scherer, K. R. (2017). Measuring aesthetic emotions: A review of the literature and a new assessment tool. PLoS ONE, 12(6), e0178899. (AESTHEMOS — 21 aesthetic-emotion facets)</w:t>
      </w:r>
    </w:p>
    <w:p w14:paraId="249D3AC5" w14:textId="77777777" w:rsidR="00A1531E" w:rsidRDefault="00000000">
      <w:pPr>
        <w:spacing w:after="120" w:line="300" w:lineRule="auto"/>
        <w:ind w:left="720" w:hanging="720"/>
      </w:pPr>
      <w:r>
        <w:t>Yaden, D. B., Kaufman, S. B., Hyde, E., Chirico, A., Gaggioli, A., Zhang, J. W., &amp; Keltner, D. (2019). The development of the Awe Experience Scale (AWE-S): A multifactorial measure for a complex emotion. Journal of Positive Psychology, 14(4), 474–488.</w:t>
      </w:r>
    </w:p>
    <w:p w14:paraId="3EE463FE" w14:textId="77777777" w:rsidR="00A1531E" w:rsidRDefault="00000000">
      <w:pPr>
        <w:spacing w:after="120" w:line="300" w:lineRule="auto"/>
        <w:ind w:left="720" w:hanging="720"/>
      </w:pPr>
      <w:r>
        <w:t>Scherer, K. R. (2005). What are emotions? And how can they be measured? Social Science Information, 44(4), 695–729. (Geneva Emotion Wheel and component-process model)</w:t>
      </w:r>
    </w:p>
    <w:p w14:paraId="5ADCEB9A" w14:textId="77777777" w:rsidR="00A1531E" w:rsidRDefault="00000000">
      <w:pPr>
        <w:spacing w:after="120" w:line="300" w:lineRule="auto"/>
        <w:ind w:left="720" w:hanging="720"/>
      </w:pPr>
      <w:r>
        <w:t>Watson, D., &amp; Clark, L. A. (1994). The PANAS-X: Manual for the Positive and Negative Affect Schedule – Expanded form. Iowa City: University of Iowa.</w:t>
      </w:r>
    </w:p>
    <w:p w14:paraId="68475519" w14:textId="77777777" w:rsidR="00A1531E" w:rsidRDefault="00000000">
      <w:pPr>
        <w:spacing w:after="120" w:line="300" w:lineRule="auto"/>
        <w:ind w:left="720" w:hanging="720"/>
      </w:pPr>
      <w:r>
        <w:t>Tellegen, A., &amp; Atkinson, G. (1974). Openness to absorbing and self-altering experiences ("absorption"): A trait related to hypnotic susceptibility. Journal of Abnormal Psychology, 83(3), 268–277.</w:t>
      </w:r>
    </w:p>
    <w:p w14:paraId="13989E57" w14:textId="77777777" w:rsidR="00A1531E" w:rsidRDefault="00000000">
      <w:pPr>
        <w:spacing w:after="120" w:line="300" w:lineRule="auto"/>
        <w:ind w:left="720" w:hanging="720"/>
      </w:pPr>
      <w:r>
        <w:t>Vorderer, P., Wirth, W., Gouveia, F. R., et al. (2004). MEC Spatial Presence Questionnaire (MEC-SPQ): Short documentation and instructions for application. Munich: Hannover.</w:t>
      </w:r>
    </w:p>
    <w:p w14:paraId="60FF258D" w14:textId="77777777" w:rsidR="00A1531E" w:rsidRDefault="00000000">
      <w:pPr>
        <w:pStyle w:val="Heading2"/>
        <w:spacing w:after="140"/>
      </w:pPr>
      <w:r>
        <w:t>11.5 Psychometric Method</w:t>
      </w:r>
    </w:p>
    <w:p w14:paraId="37508A09" w14:textId="77777777" w:rsidR="00A1531E" w:rsidRDefault="00000000">
      <w:pPr>
        <w:spacing w:after="120" w:line="300" w:lineRule="auto"/>
        <w:ind w:left="720" w:hanging="720"/>
      </w:pPr>
      <w:r>
        <w:t>Briggs, S. R., &amp; Cheek, J. M. (1986). The role of factor analysis in the development and evaluation of personality scales. Journal of Personality, 54(1), 106–148.</w:t>
      </w:r>
    </w:p>
    <w:p w14:paraId="27CC3FC1" w14:textId="77777777" w:rsidR="00A1531E" w:rsidRDefault="00000000">
      <w:pPr>
        <w:spacing w:after="120" w:line="300" w:lineRule="auto"/>
        <w:ind w:left="720" w:hanging="720"/>
      </w:pPr>
      <w:r>
        <w:t>Cronbach, L. J. (1951). Coefficient alpha and the internal structure of tests. Psychometrika, 16(3), 297–334.</w:t>
      </w:r>
    </w:p>
    <w:p w14:paraId="61B6A9B3" w14:textId="77777777" w:rsidR="00A1531E" w:rsidRDefault="00000000">
      <w:pPr>
        <w:spacing w:after="120" w:line="300" w:lineRule="auto"/>
        <w:ind w:left="720" w:hanging="720"/>
      </w:pPr>
      <w:r>
        <w:t>DeVellis, R. F. (2017). Scale development: Theory and applications (4th ed.). Thousand Oaks, CA: Sage.</w:t>
      </w:r>
    </w:p>
    <w:p w14:paraId="37992905" w14:textId="77777777" w:rsidR="00A1531E" w:rsidRDefault="00000000">
      <w:pPr>
        <w:spacing w:after="120" w:line="300" w:lineRule="auto"/>
        <w:ind w:left="720" w:hanging="720"/>
      </w:pPr>
      <w:r>
        <w:t>Feldt, L. S. (1965). The approximate sampling distribution of Kuder–Richardson reliability coefficient twenty. Psychometrika, 30(3), 357–370.</w:t>
      </w:r>
    </w:p>
    <w:p w14:paraId="09C77B5D" w14:textId="77777777" w:rsidR="00A1531E" w:rsidRDefault="00000000">
      <w:pPr>
        <w:spacing w:after="120" w:line="300" w:lineRule="auto"/>
        <w:ind w:left="720" w:hanging="720"/>
      </w:pPr>
      <w:r>
        <w:t>Furr, R. M. (2011). Scale construction and psychometrics for social and personality psychology. London: Sage.</w:t>
      </w:r>
    </w:p>
    <w:p w14:paraId="44D44A65" w14:textId="77777777" w:rsidR="00A1531E" w:rsidRDefault="00000000">
      <w:pPr>
        <w:spacing w:after="120" w:line="300" w:lineRule="auto"/>
        <w:ind w:left="720" w:hanging="720"/>
      </w:pPr>
      <w:r>
        <w:t>Horn, J. L. (1965). A rationale and test for the number of factors in factor analysis. Psychometrika, 30(2), 179–185.</w:t>
      </w:r>
    </w:p>
    <w:p w14:paraId="1F36D398" w14:textId="77777777" w:rsidR="00A1531E" w:rsidRDefault="00000000">
      <w:pPr>
        <w:spacing w:after="120" w:line="300" w:lineRule="auto"/>
        <w:ind w:left="720" w:hanging="720"/>
      </w:pPr>
      <w:r>
        <w:lastRenderedPageBreak/>
        <w:t>Kaiser, H. F. (1974). An index of factorial simplicity. Psychometrika, 39(1), 31–36.</w:t>
      </w:r>
    </w:p>
    <w:p w14:paraId="15602BF6" w14:textId="77777777" w:rsidR="00A1531E" w:rsidRDefault="00000000">
      <w:pPr>
        <w:spacing w:after="120" w:line="300" w:lineRule="auto"/>
        <w:ind w:left="720" w:hanging="720"/>
      </w:pPr>
      <w:r>
        <w:t>McDonald, R. P. (1999). Test theory: A unified treatment. Mahwah, NJ: Lawrence Erlbaum.</w:t>
      </w:r>
    </w:p>
    <w:p w14:paraId="2583499F" w14:textId="77777777" w:rsidR="00A1531E" w:rsidRDefault="00000000">
      <w:pPr>
        <w:spacing w:after="120" w:line="300" w:lineRule="auto"/>
        <w:ind w:left="720" w:hanging="720"/>
      </w:pPr>
      <w:r>
        <w:t>Nunnally, J. C., &amp; Bernstein, I. H. (1994). Psychometric theory (3rd ed.). New York: McGraw-Hill.</w:t>
      </w:r>
    </w:p>
    <w:p w14:paraId="38AC16A7" w14:textId="77777777" w:rsidR="00A1531E" w:rsidRDefault="00000000">
      <w:pPr>
        <w:pStyle w:val="Heading2"/>
        <w:spacing w:after="140"/>
      </w:pPr>
      <w:r>
        <w:t>11.6 Hampi / Vijaya Vittala-Specific Sources</w:t>
      </w:r>
    </w:p>
    <w:p w14:paraId="3CEDDFDB" w14:textId="77777777" w:rsidR="00A1531E" w:rsidRDefault="00000000">
      <w:pPr>
        <w:spacing w:after="120" w:line="300" w:lineRule="auto"/>
        <w:ind w:left="720" w:hanging="720"/>
      </w:pPr>
      <w:r>
        <w:t>Dallapiccola, A. L., &amp; Verghese, A. (1998). Sculpture at Vijayanagara: Iconography and style. New Delhi: Manohar.</w:t>
      </w:r>
    </w:p>
    <w:p w14:paraId="0CB1B093" w14:textId="77777777" w:rsidR="00A1531E" w:rsidRDefault="00000000">
      <w:pPr>
        <w:spacing w:after="120" w:line="300" w:lineRule="auto"/>
        <w:ind w:left="720" w:hanging="720"/>
      </w:pPr>
      <w:r>
        <w:t>Fritz, J. M., &amp; Michell, G. (2001). New light on Hampi: Recent research at Vijayanagara. Mumbai: Marg Publications.</w:t>
      </w:r>
    </w:p>
    <w:p w14:paraId="17CFACFB" w14:textId="77777777" w:rsidR="00A1531E" w:rsidRDefault="00000000">
      <w:pPr>
        <w:spacing w:after="120" w:line="300" w:lineRule="auto"/>
        <w:ind w:left="720" w:hanging="720"/>
      </w:pPr>
      <w:r>
        <w:t>Michell, G. (1995). The new Cambridge history of India, I.6: Architecture and art of southern India: Vijayanagara and the successor states. Cambridge: Cambridge University Press.</w:t>
      </w:r>
    </w:p>
    <w:p w14:paraId="152BC7CB" w14:textId="77777777" w:rsidR="00A1531E" w:rsidRDefault="00000000">
      <w:pPr>
        <w:spacing w:after="120" w:line="300" w:lineRule="auto"/>
        <w:ind w:left="720" w:hanging="720"/>
      </w:pPr>
      <w:r>
        <w:t>Verghese, A. (2000). Archaeology, art and religion: New perspectives on Vijayanagara. New Delhi: Oxford University Press.</w:t>
      </w:r>
    </w:p>
    <w:p w14:paraId="4B9C6979" w14:textId="77777777" w:rsidR="00A1531E" w:rsidRDefault="00000000">
      <w:pPr>
        <w:spacing w:after="120" w:line="300" w:lineRule="auto"/>
        <w:ind w:left="720" w:hanging="720"/>
      </w:pPr>
      <w:r>
        <w:t>Sinopoli, C. M. (2003). The political economy of craft production: Crafting empire in South India, c. 1350–1650. Cambridge: Cambridge University Press.</w:t>
      </w:r>
    </w:p>
    <w:p w14:paraId="4A871FAC" w14:textId="77777777" w:rsidR="00A1531E" w:rsidRDefault="00000000">
      <w:r>
        <w:br w:type="page"/>
      </w:r>
    </w:p>
    <w:p w14:paraId="3CD6E5B9" w14:textId="77777777" w:rsidR="00A1531E" w:rsidRDefault="00000000">
      <w:pPr>
        <w:pStyle w:val="Heading1"/>
        <w:spacing w:before="280" w:after="140"/>
      </w:pPr>
      <w:r>
        <w:lastRenderedPageBreak/>
        <w:t>Appendix. The Administered Form (Compact Reference)</w:t>
      </w:r>
    </w:p>
    <w:p w14:paraId="1B37B4B0" w14:textId="77777777" w:rsidR="00A1531E" w:rsidRDefault="00000000">
      <w:pPr>
        <w:spacing w:after="120" w:line="320" w:lineRule="auto"/>
        <w:jc w:val="both"/>
      </w:pPr>
      <w:r>
        <w:t>The 25 items below are the complete RSS-25 as administered in the Google Forms validation study (April 2026, N = 31). The stem prompt and response anchors are reproduced verbatim.</w:t>
      </w:r>
    </w:p>
    <w:p w14:paraId="431B8C8B" w14:textId="77777777" w:rsidR="00A1531E" w:rsidRDefault="00000000">
      <w:pPr>
        <w:spacing w:after="120" w:line="320" w:lineRule="auto"/>
        <w:jc w:val="both"/>
      </w:pPr>
      <w:r>
        <w:rPr>
          <w:b/>
          <w:bCs/>
        </w:rPr>
        <w:t xml:space="preserve">Stem: </w:t>
      </w:r>
      <w:r>
        <w:rPr>
          <w:i/>
          <w:iCs/>
        </w:rPr>
        <w:t>"You have just experienced the Vijaya Vittala Temple. Focus on what your BODY felt. Did the experience make your body want to physically engage with the architecture? Rate each statement 1–7."</w:t>
      </w:r>
    </w:p>
    <w:p w14:paraId="12EB8AB6" w14:textId="77777777" w:rsidR="00A1531E" w:rsidRDefault="00000000">
      <w:pPr>
        <w:spacing w:after="120" w:line="320" w:lineRule="auto"/>
        <w:jc w:val="both"/>
      </w:pPr>
      <w:r>
        <w:rPr>
          <w:b/>
          <w:bCs/>
        </w:rPr>
        <w:t xml:space="preserve">Response anchors: </w:t>
      </w:r>
      <w:r>
        <w:rPr>
          <w:i/>
          <w:iCs/>
        </w:rPr>
        <w:t>1 = strongly disagree · 4 = neutral · 7 = strongly agree.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7000"/>
        <w:gridCol w:w="1700"/>
      </w:tblGrid>
      <w:tr w:rsidR="00A1531E" w14:paraId="7E2D0DC0" w14:textId="77777777">
        <w:tblPrEx>
          <w:tblCellMar>
            <w:top w:w="0" w:type="dxa"/>
            <w:bottom w:w="0" w:type="dxa"/>
          </w:tblCellMar>
        </w:tblPrEx>
        <w:trPr>
          <w:tblHeader/>
        </w:trPr>
        <w:tc>
          <w:tcPr>
            <w:tcW w:w="8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71353644" w14:textId="77777777" w:rsidR="00A1531E" w:rsidRDefault="00000000">
            <w:r>
              <w:rPr>
                <w:b/>
                <w:bCs/>
                <w:color w:val="FFFFFF"/>
                <w:sz w:val="20"/>
                <w:szCs w:val="20"/>
              </w:rPr>
              <w:t>Code</w:t>
            </w:r>
          </w:p>
        </w:tc>
        <w:tc>
          <w:tcPr>
            <w:tcW w:w="70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216FB9DA" w14:textId="77777777" w:rsidR="00A1531E" w:rsidRDefault="00000000">
            <w:r>
              <w:rPr>
                <w:b/>
                <w:bCs/>
                <w:color w:val="FFFFFF"/>
                <w:sz w:val="20"/>
                <w:szCs w:val="20"/>
              </w:rPr>
              <w:t>Item (as administered)</w:t>
            </w:r>
          </w:p>
        </w:tc>
        <w:tc>
          <w:tcPr>
            <w:tcW w:w="17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5639B04B" w14:textId="77777777" w:rsidR="00A1531E" w:rsidRDefault="00000000">
            <w:r>
              <w:rPr>
                <w:b/>
                <w:bCs/>
                <w:color w:val="FFFFFF"/>
                <w:sz w:val="20"/>
                <w:szCs w:val="20"/>
              </w:rPr>
              <w:t>Body anchor</w:t>
            </w:r>
          </w:p>
        </w:tc>
      </w:tr>
      <w:tr w:rsidR="00A1531E" w14:paraId="7AE23B63"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1757D28" w14:textId="77777777" w:rsidR="00A1531E" w:rsidRDefault="00000000">
            <w:r>
              <w:rPr>
                <w:sz w:val="20"/>
                <w:szCs w:val="20"/>
              </w:rPr>
              <w:t>K1</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34F2B7E" w14:textId="77777777" w:rsidR="00A1531E" w:rsidRDefault="00000000">
            <w:r>
              <w:rPr>
                <w:sz w:val="20"/>
                <w:szCs w:val="20"/>
              </w:rPr>
              <w:t>I felt drawn toward the stone surfaces—I wanted to reach out and touch them.</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F4450F1" w14:textId="77777777" w:rsidR="00A1531E" w:rsidRDefault="00000000">
            <w:r>
              <w:rPr>
                <w:sz w:val="20"/>
                <w:szCs w:val="20"/>
              </w:rPr>
              <w:t>Hand</w:t>
            </w:r>
          </w:p>
        </w:tc>
      </w:tr>
      <w:tr w:rsidR="00A1531E" w14:paraId="4BF02784"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40D3F52" w14:textId="77777777" w:rsidR="00A1531E" w:rsidRDefault="00000000">
            <w:r>
              <w:rPr>
                <w:sz w:val="20"/>
                <w:szCs w:val="20"/>
              </w:rPr>
              <w:t>K2</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B431E75" w14:textId="77777777" w:rsidR="00A1531E" w:rsidRDefault="00000000">
            <w:r>
              <w:rPr>
                <w:sz w:val="20"/>
                <w:szCs w:val="20"/>
              </w:rPr>
              <w:t>My body leaned forward when I encountered carved details or sculptural surfaces.</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8F43708" w14:textId="77777777" w:rsidR="00A1531E" w:rsidRDefault="00000000">
            <w:r>
              <w:rPr>
                <w:sz w:val="20"/>
                <w:szCs w:val="20"/>
              </w:rPr>
              <w:t>Torso</w:t>
            </w:r>
          </w:p>
        </w:tc>
      </w:tr>
      <w:tr w:rsidR="00A1531E" w14:paraId="6F797F49"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728C54C" w14:textId="77777777" w:rsidR="00A1531E" w:rsidRDefault="00000000">
            <w:r>
              <w:rPr>
                <w:sz w:val="20"/>
                <w:szCs w:val="20"/>
              </w:rPr>
              <w:t>K3</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225E65A" w14:textId="77777777" w:rsidR="00A1531E" w:rsidRDefault="00000000">
            <w:r>
              <w:rPr>
                <w:sz w:val="20"/>
                <w:szCs w:val="20"/>
              </w:rPr>
              <w:t>I felt an urge to step closer to walls, pillars, or doorways to examine them.</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302DA33" w14:textId="77777777" w:rsidR="00A1531E" w:rsidRDefault="00000000">
            <w:r>
              <w:rPr>
                <w:sz w:val="20"/>
                <w:szCs w:val="20"/>
              </w:rPr>
              <w:t>Feet</w:t>
            </w:r>
          </w:p>
        </w:tc>
      </w:tr>
      <w:tr w:rsidR="00A1531E" w14:paraId="1C227CA4"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3150C88" w14:textId="77777777" w:rsidR="00A1531E" w:rsidRDefault="00000000">
            <w:r>
              <w:rPr>
                <w:sz w:val="20"/>
                <w:szCs w:val="20"/>
              </w:rPr>
              <w:t>K4</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98E7E5E" w14:textId="77777777" w:rsidR="00A1531E" w:rsidRDefault="00000000">
            <w:r>
              <w:rPr>
                <w:sz w:val="20"/>
                <w:szCs w:val="20"/>
              </w:rPr>
              <w:t>When I saw a narrow passage or dark threshold, I felt pulled to enter it.</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A92C87E" w14:textId="77777777" w:rsidR="00A1531E" w:rsidRDefault="00000000">
            <w:r>
              <w:rPr>
                <w:sz w:val="20"/>
                <w:szCs w:val="20"/>
              </w:rPr>
              <w:t>Whole body</w:t>
            </w:r>
          </w:p>
        </w:tc>
      </w:tr>
      <w:tr w:rsidR="00A1531E" w14:paraId="0E77A9FE"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2146482" w14:textId="77777777" w:rsidR="00A1531E" w:rsidRDefault="00000000">
            <w:r>
              <w:rPr>
                <w:sz w:val="20"/>
                <w:szCs w:val="20"/>
              </w:rPr>
              <w:t>K5</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360D3A1" w14:textId="77777777" w:rsidR="00A1531E" w:rsidRDefault="00000000">
            <w:r>
              <w:rPr>
                <w:sz w:val="20"/>
                <w:szCs w:val="20"/>
              </w:rPr>
              <w:t>I wanted to linger at certain spots rather than move on.</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4A37978" w14:textId="77777777" w:rsidR="00A1531E" w:rsidRDefault="00000000">
            <w:r>
              <w:rPr>
                <w:sz w:val="20"/>
                <w:szCs w:val="20"/>
              </w:rPr>
              <w:t>Feet</w:t>
            </w:r>
          </w:p>
        </w:tc>
      </w:tr>
      <w:tr w:rsidR="00A1531E" w14:paraId="59E6F58B"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FC12DFF" w14:textId="77777777" w:rsidR="00A1531E" w:rsidRDefault="00000000">
            <w:r>
              <w:rPr>
                <w:sz w:val="20"/>
                <w:szCs w:val="20"/>
              </w:rPr>
              <w:t>L1</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10E565E" w14:textId="77777777" w:rsidR="00A1531E" w:rsidRDefault="00000000">
            <w:r>
              <w:rPr>
                <w:sz w:val="20"/>
                <w:szCs w:val="20"/>
              </w:rPr>
              <w:t>I noticed my walking pace change—slowing in narrow passages, quickening in open courtyards.</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E143FF9" w14:textId="77777777" w:rsidR="00A1531E" w:rsidRDefault="00000000">
            <w:r>
              <w:rPr>
                <w:sz w:val="20"/>
                <w:szCs w:val="20"/>
              </w:rPr>
              <w:t>Legs</w:t>
            </w:r>
          </w:p>
        </w:tc>
      </w:tr>
      <w:tr w:rsidR="00A1531E" w14:paraId="36A50DC6"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C66B748" w14:textId="77777777" w:rsidR="00A1531E" w:rsidRDefault="00000000">
            <w:r>
              <w:rPr>
                <w:sz w:val="20"/>
                <w:szCs w:val="20"/>
              </w:rPr>
              <w:t>L2</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B91FA34" w14:textId="77777777" w:rsidR="00A1531E" w:rsidRDefault="00000000">
            <w:r>
              <w:rPr>
                <w:sz w:val="20"/>
                <w:szCs w:val="20"/>
              </w:rPr>
              <w:t>My body adjusted its posture—looking up at tall elements, hunching in compressed spaces.</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A388DD0" w14:textId="77777777" w:rsidR="00A1531E" w:rsidRDefault="00000000">
            <w:r>
              <w:rPr>
                <w:sz w:val="20"/>
                <w:szCs w:val="20"/>
              </w:rPr>
              <w:t>Spine / Neck</w:t>
            </w:r>
          </w:p>
        </w:tc>
      </w:tr>
      <w:tr w:rsidR="00A1531E" w14:paraId="13F5B350"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50E3B05" w14:textId="77777777" w:rsidR="00A1531E" w:rsidRDefault="00000000">
            <w:r>
              <w:rPr>
                <w:sz w:val="20"/>
                <w:szCs w:val="20"/>
              </w:rPr>
              <w:t>L3</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DFB23B4" w14:textId="77777777" w:rsidR="00A1531E" w:rsidRDefault="00000000">
            <w:r>
              <w:rPr>
                <w:sz w:val="20"/>
                <w:szCs w:val="20"/>
              </w:rPr>
              <w:t>I felt a rhythm in my movement through the colonnade, as if column spacing set a beat for my steps.</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6959804" w14:textId="77777777" w:rsidR="00A1531E" w:rsidRDefault="00000000">
            <w:r>
              <w:rPr>
                <w:sz w:val="20"/>
                <w:szCs w:val="20"/>
              </w:rPr>
              <w:t>Legs + Torso</w:t>
            </w:r>
          </w:p>
        </w:tc>
      </w:tr>
      <w:tr w:rsidR="00A1531E" w14:paraId="1FEA586A"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3ECC014" w14:textId="77777777" w:rsidR="00A1531E" w:rsidRDefault="00000000">
            <w:r>
              <w:rPr>
                <w:sz w:val="20"/>
                <w:szCs w:val="20"/>
              </w:rPr>
              <w:t>L4</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C91AC10" w14:textId="77777777" w:rsidR="00A1531E" w:rsidRDefault="00000000">
            <w:r>
              <w:rPr>
                <w:sz w:val="20"/>
                <w:szCs w:val="20"/>
              </w:rPr>
              <w:t>I found myself physically turning, craning, or bending to follow architectural details.</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B82B1C3" w14:textId="77777777" w:rsidR="00A1531E" w:rsidRDefault="00000000">
            <w:r>
              <w:rPr>
                <w:sz w:val="20"/>
                <w:szCs w:val="20"/>
              </w:rPr>
              <w:t>Whole body</w:t>
            </w:r>
          </w:p>
        </w:tc>
      </w:tr>
      <w:tr w:rsidR="00A1531E" w14:paraId="14F9D30A"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C4E946D" w14:textId="77777777" w:rsidR="00A1531E" w:rsidRDefault="00000000">
            <w:r>
              <w:rPr>
                <w:sz w:val="20"/>
                <w:szCs w:val="20"/>
              </w:rPr>
              <w:t>L5</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DA10318" w14:textId="77777777" w:rsidR="00A1531E" w:rsidRDefault="00000000">
            <w:r>
              <w:rPr>
                <w:sz w:val="20"/>
                <w:szCs w:val="20"/>
              </w:rPr>
              <w:t>My breathing pattern changed—deeper in open spaces, shallower in enclosed ones.</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500A654" w14:textId="77777777" w:rsidR="00A1531E" w:rsidRDefault="00000000">
            <w:r>
              <w:rPr>
                <w:sz w:val="20"/>
                <w:szCs w:val="20"/>
              </w:rPr>
              <w:t>Chest</w:t>
            </w:r>
          </w:p>
        </w:tc>
      </w:tr>
      <w:tr w:rsidR="00A1531E" w14:paraId="621785D5"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F21D709" w14:textId="77777777" w:rsidR="00A1531E" w:rsidRDefault="00000000">
            <w:r>
              <w:rPr>
                <w:sz w:val="20"/>
                <w:szCs w:val="20"/>
              </w:rPr>
              <w:t>A1</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0435B25" w14:textId="77777777" w:rsidR="00A1531E" w:rsidRDefault="00000000">
            <w:r>
              <w:rPr>
                <w:sz w:val="20"/>
                <w:szCs w:val="20"/>
              </w:rPr>
              <w:t>I feel I now know the weight of the stone—not as a number, but as a heaviness I can sense in my hands.</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30C8358" w14:textId="77777777" w:rsidR="00A1531E" w:rsidRDefault="00000000">
            <w:r>
              <w:rPr>
                <w:sz w:val="20"/>
                <w:szCs w:val="20"/>
              </w:rPr>
              <w:t>Hands</w:t>
            </w:r>
          </w:p>
        </w:tc>
      </w:tr>
      <w:tr w:rsidR="00A1531E" w14:paraId="4E8303DB"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B76256E" w14:textId="77777777" w:rsidR="00A1531E" w:rsidRDefault="00000000">
            <w:r>
              <w:rPr>
                <w:sz w:val="20"/>
                <w:szCs w:val="20"/>
              </w:rPr>
              <w:t>A2</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E86B9C3" w14:textId="77777777" w:rsidR="00A1531E" w:rsidRDefault="00000000">
            <w:r>
              <w:rPr>
                <w:sz w:val="20"/>
                <w:szCs w:val="20"/>
              </w:rPr>
              <w:t>I could feel the difference between warm courtyard granite and cool inner sanctum stone.</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1914EA5" w14:textId="77777777" w:rsidR="00A1531E" w:rsidRDefault="00000000">
            <w:r>
              <w:rPr>
                <w:sz w:val="20"/>
                <w:szCs w:val="20"/>
              </w:rPr>
              <w:t>Skin</w:t>
            </w:r>
          </w:p>
        </w:tc>
      </w:tr>
      <w:tr w:rsidR="00A1531E" w14:paraId="44E96764"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337C253" w14:textId="77777777" w:rsidR="00A1531E" w:rsidRDefault="00000000">
            <w:r>
              <w:rPr>
                <w:sz w:val="20"/>
                <w:szCs w:val="20"/>
              </w:rPr>
              <w:t>A3</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D26B4DB" w14:textId="77777777" w:rsidR="00A1531E" w:rsidRDefault="00000000">
            <w:r>
              <w:rPr>
                <w:sz w:val="20"/>
                <w:szCs w:val="20"/>
              </w:rPr>
              <w:t>I understand the building's scale not as a measurement but as a sensation of my own smallness.</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0F51312" w14:textId="77777777" w:rsidR="00A1531E" w:rsidRDefault="00000000">
            <w:r>
              <w:rPr>
                <w:sz w:val="20"/>
                <w:szCs w:val="20"/>
              </w:rPr>
              <w:t>Vestibular</w:t>
            </w:r>
          </w:p>
        </w:tc>
      </w:tr>
      <w:tr w:rsidR="00A1531E" w14:paraId="6070ECD9"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930369A" w14:textId="77777777" w:rsidR="00A1531E" w:rsidRDefault="00000000">
            <w:r>
              <w:rPr>
                <w:sz w:val="20"/>
                <w:szCs w:val="20"/>
              </w:rPr>
              <w:t>A4</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9AB9287" w14:textId="77777777" w:rsidR="00A1531E" w:rsidRDefault="00000000">
            <w:r>
              <w:rPr>
                <w:sz w:val="20"/>
                <w:szCs w:val="20"/>
              </w:rPr>
              <w:t>I can recall the acoustic character of the space—how the space shaped sound around my body.</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621240E" w14:textId="77777777" w:rsidR="00A1531E" w:rsidRDefault="00000000">
            <w:r>
              <w:rPr>
                <w:sz w:val="20"/>
                <w:szCs w:val="20"/>
              </w:rPr>
              <w:t>Ears + Skin</w:t>
            </w:r>
          </w:p>
        </w:tc>
      </w:tr>
      <w:tr w:rsidR="00A1531E" w14:paraId="5FDF8CC6"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73B30C6" w14:textId="77777777" w:rsidR="00A1531E" w:rsidRDefault="00000000">
            <w:r>
              <w:rPr>
                <w:sz w:val="20"/>
                <w:szCs w:val="20"/>
              </w:rPr>
              <w:t>A5</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4CB0401" w14:textId="77777777" w:rsidR="00A1531E" w:rsidRDefault="00000000">
            <w:r>
              <w:rPr>
                <w:sz w:val="20"/>
                <w:szCs w:val="20"/>
              </w:rPr>
              <w:t>If I close my eyes, I can mentally walk the processional path and feel each transition in my body.</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B657FAA" w14:textId="77777777" w:rsidR="00A1531E" w:rsidRDefault="00000000">
            <w:r>
              <w:rPr>
                <w:sz w:val="20"/>
                <w:szCs w:val="20"/>
              </w:rPr>
              <w:t>Whole body</w:t>
            </w:r>
          </w:p>
        </w:tc>
      </w:tr>
      <w:tr w:rsidR="00A1531E" w14:paraId="7014B5D4"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E2876FA" w14:textId="77777777" w:rsidR="00A1531E" w:rsidRDefault="00000000">
            <w:r>
              <w:rPr>
                <w:sz w:val="20"/>
                <w:szCs w:val="20"/>
              </w:rPr>
              <w:t>M1</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1690FA4" w14:textId="77777777" w:rsidR="00A1531E" w:rsidRDefault="00000000">
            <w:r>
              <w:rPr>
                <w:sz w:val="20"/>
                <w:szCs w:val="20"/>
              </w:rPr>
              <w:t>At some point, the architecture made me catch my breath or hold it involuntarily.</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689D09C" w14:textId="77777777" w:rsidR="00A1531E" w:rsidRDefault="00000000">
            <w:r>
              <w:rPr>
                <w:sz w:val="20"/>
                <w:szCs w:val="20"/>
              </w:rPr>
              <w:t>Chest</w:t>
            </w:r>
          </w:p>
        </w:tc>
      </w:tr>
      <w:tr w:rsidR="00A1531E" w14:paraId="334026CE"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59078F4" w14:textId="77777777" w:rsidR="00A1531E" w:rsidRDefault="00000000">
            <w:r>
              <w:rPr>
                <w:sz w:val="20"/>
                <w:szCs w:val="20"/>
              </w:rPr>
              <w:t>M2</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27D1AE7" w14:textId="77777777" w:rsidR="00A1531E" w:rsidRDefault="00000000">
            <w:r>
              <w:rPr>
                <w:sz w:val="20"/>
                <w:szCs w:val="20"/>
              </w:rPr>
              <w:t>I felt goosebumps, a chill, or a tingling sensation in response to a space or surface.</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47E1032" w14:textId="77777777" w:rsidR="00A1531E" w:rsidRDefault="00000000">
            <w:r>
              <w:rPr>
                <w:sz w:val="20"/>
                <w:szCs w:val="20"/>
              </w:rPr>
              <w:t>Skin</w:t>
            </w:r>
          </w:p>
        </w:tc>
      </w:tr>
      <w:tr w:rsidR="00A1531E" w14:paraId="765FE89B"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F1D821B" w14:textId="77777777" w:rsidR="00A1531E" w:rsidRDefault="00000000">
            <w:r>
              <w:rPr>
                <w:sz w:val="20"/>
                <w:szCs w:val="20"/>
              </w:rPr>
              <w:t>M3</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A151468" w14:textId="77777777" w:rsidR="00A1531E" w:rsidRDefault="00000000">
            <w:r>
              <w:rPr>
                <w:sz w:val="20"/>
                <w:szCs w:val="20"/>
              </w:rPr>
              <w:t>The height or depth of a space made me feel physical vertigo or weightlessness.</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5BCC860" w14:textId="77777777" w:rsidR="00A1531E" w:rsidRDefault="00000000">
            <w:r>
              <w:rPr>
                <w:sz w:val="20"/>
                <w:szCs w:val="20"/>
              </w:rPr>
              <w:t>Vestibular</w:t>
            </w:r>
          </w:p>
        </w:tc>
      </w:tr>
      <w:tr w:rsidR="00A1531E" w14:paraId="4CAF684A"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86B8B6D" w14:textId="77777777" w:rsidR="00A1531E" w:rsidRDefault="00000000">
            <w:r>
              <w:rPr>
                <w:sz w:val="20"/>
                <w:szCs w:val="20"/>
              </w:rPr>
              <w:lastRenderedPageBreak/>
              <w:t>M4</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0D0BDE0" w14:textId="77777777" w:rsidR="00A1531E" w:rsidRDefault="00000000">
            <w:r>
              <w:rPr>
                <w:sz w:val="20"/>
                <w:szCs w:val="20"/>
              </w:rPr>
              <w:t>I experienced involuntary stillness—my body stopped moving before my mind decided to stop.</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310F5B8" w14:textId="77777777" w:rsidR="00A1531E" w:rsidRDefault="00000000">
            <w:r>
              <w:rPr>
                <w:sz w:val="20"/>
                <w:szCs w:val="20"/>
              </w:rPr>
              <w:t>Whole body</w:t>
            </w:r>
          </w:p>
        </w:tc>
      </w:tr>
      <w:tr w:rsidR="00A1531E" w14:paraId="68D1BF63"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040AD90" w14:textId="77777777" w:rsidR="00A1531E" w:rsidRDefault="00000000">
            <w:r>
              <w:rPr>
                <w:sz w:val="20"/>
                <w:szCs w:val="20"/>
              </w:rPr>
              <w:t>M5</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C4F1626" w14:textId="77777777" w:rsidR="00A1531E" w:rsidRDefault="00000000">
            <w:r>
              <w:rPr>
                <w:sz w:val="20"/>
                <w:szCs w:val="20"/>
              </w:rPr>
              <w:t>The transition from bright courtyard to dark sanctum produced a physical sensation beyond visual adjustment.</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111896C" w14:textId="77777777" w:rsidR="00A1531E" w:rsidRDefault="00000000">
            <w:r>
              <w:rPr>
                <w:sz w:val="20"/>
                <w:szCs w:val="20"/>
              </w:rPr>
              <w:t>Eyes + Chest</w:t>
            </w:r>
          </w:p>
        </w:tc>
      </w:tr>
      <w:tr w:rsidR="00A1531E" w14:paraId="1E424CE4"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1A819EC" w14:textId="77777777" w:rsidR="00A1531E" w:rsidRDefault="00000000">
            <w:r>
              <w:rPr>
                <w:sz w:val="20"/>
                <w:szCs w:val="20"/>
              </w:rPr>
              <w:t>Y1</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8F74E39" w14:textId="77777777" w:rsidR="00A1531E" w:rsidRDefault="00000000">
            <w:r>
              <w:rPr>
                <w:sz w:val="20"/>
                <w:szCs w:val="20"/>
              </w:rPr>
              <w:t>At some point, I stopped feeling like a visitor and began feeling the space was made for my body.</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280B23C" w14:textId="77777777" w:rsidR="00A1531E" w:rsidRDefault="00000000">
            <w:r>
              <w:rPr>
                <w:sz w:val="20"/>
                <w:szCs w:val="20"/>
              </w:rPr>
              <w:t>Whole body</w:t>
            </w:r>
          </w:p>
        </w:tc>
      </w:tr>
      <w:tr w:rsidR="00A1531E" w14:paraId="68C9726E"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08C76EF" w14:textId="77777777" w:rsidR="00A1531E" w:rsidRDefault="00000000">
            <w:r>
              <w:rPr>
                <w:sz w:val="20"/>
                <w:szCs w:val="20"/>
              </w:rPr>
              <w:t>Y2</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7BB90D4" w14:textId="77777777" w:rsidR="00A1531E" w:rsidRDefault="00000000">
            <w:r>
              <w:rPr>
                <w:sz w:val="20"/>
                <w:szCs w:val="20"/>
              </w:rPr>
              <w:t>The boundary between my body and the architecture felt blurred—I was part of the building.</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1B00555" w14:textId="77777777" w:rsidR="00A1531E" w:rsidRDefault="00000000">
            <w:r>
              <w:rPr>
                <w:sz w:val="20"/>
                <w:szCs w:val="20"/>
              </w:rPr>
              <w:t>Body schema</w:t>
            </w:r>
          </w:p>
        </w:tc>
      </w:tr>
      <w:tr w:rsidR="00A1531E" w14:paraId="7C5551AE"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337DD06" w14:textId="77777777" w:rsidR="00A1531E" w:rsidRDefault="00000000">
            <w:r>
              <w:rPr>
                <w:sz w:val="20"/>
                <w:szCs w:val="20"/>
              </w:rPr>
              <w:t>Y3</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126FAB5" w14:textId="77777777" w:rsidR="00A1531E" w:rsidRDefault="00000000">
            <w:r>
              <w:rPr>
                <w:sz w:val="20"/>
                <w:szCs w:val="20"/>
              </w:rPr>
              <w:t>I felt the architecture's proportions responded to my body—doorways to my height, corridors to my stride.</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F6CCF31" w14:textId="77777777" w:rsidR="00A1531E" w:rsidRDefault="00000000">
            <w:r>
              <w:rPr>
                <w:sz w:val="20"/>
                <w:szCs w:val="20"/>
              </w:rPr>
              <w:t>Proprioception</w:t>
            </w:r>
          </w:p>
        </w:tc>
      </w:tr>
      <w:tr w:rsidR="00A1531E" w14:paraId="255DE5FF"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02B79F8" w14:textId="77777777" w:rsidR="00A1531E" w:rsidRDefault="00000000">
            <w:r>
              <w:rPr>
                <w:sz w:val="20"/>
                <w:szCs w:val="20"/>
              </w:rPr>
              <w:t>Y4</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EF2FF60" w14:textId="77777777" w:rsidR="00A1531E" w:rsidRDefault="00000000">
            <w:r>
              <w:rPr>
                <w:sz w:val="20"/>
                <w:szCs w:val="20"/>
              </w:rPr>
              <w:t>I experienced a stillness or peace that felt physical, not just emotional.</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B3BEF73" w14:textId="77777777" w:rsidR="00A1531E" w:rsidRDefault="00000000">
            <w:r>
              <w:rPr>
                <w:sz w:val="20"/>
                <w:szCs w:val="20"/>
              </w:rPr>
              <w:t>Core</w:t>
            </w:r>
          </w:p>
        </w:tc>
      </w:tr>
      <w:tr w:rsidR="00A1531E" w14:paraId="355957C7" w14:textId="77777777">
        <w:tblPrEx>
          <w:tblCellMar>
            <w:top w:w="0" w:type="dxa"/>
            <w:bottom w:w="0" w:type="dxa"/>
          </w:tblCellMar>
        </w:tblPrEx>
        <w:tc>
          <w:tcPr>
            <w:tcW w:w="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E4D2B99" w14:textId="77777777" w:rsidR="00A1531E" w:rsidRDefault="00000000">
            <w:r>
              <w:rPr>
                <w:sz w:val="20"/>
                <w:szCs w:val="20"/>
              </w:rPr>
              <w:t>Y5</w:t>
            </w:r>
          </w:p>
        </w:tc>
        <w:tc>
          <w:tcPr>
            <w:tcW w:w="7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18E5CC2" w14:textId="77777777" w:rsidR="00A1531E" w:rsidRDefault="00000000">
            <w:r>
              <w:rPr>
                <w:sz w:val="20"/>
                <w:szCs w:val="20"/>
              </w:rPr>
              <w:t>If asked to describe this architecture, I would describe how it feels to be inside, not what it looks like.</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D893F97" w14:textId="77777777" w:rsidR="00A1531E" w:rsidRDefault="00000000">
            <w:r>
              <w:rPr>
                <w:sz w:val="20"/>
                <w:szCs w:val="20"/>
              </w:rPr>
              <w:t>Language shift</w:t>
            </w:r>
          </w:p>
        </w:tc>
      </w:tr>
    </w:tbl>
    <w:p w14:paraId="3F89318E" w14:textId="77777777" w:rsidR="009C0BFE" w:rsidRDefault="009C0BFE"/>
    <w:sectPr w:rsidR="009C0BFE">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DA12B" w14:textId="77777777" w:rsidR="009C0BFE" w:rsidRDefault="009C0BFE">
      <w:r>
        <w:separator/>
      </w:r>
    </w:p>
  </w:endnote>
  <w:endnote w:type="continuationSeparator" w:id="0">
    <w:p w14:paraId="6CD60E8F" w14:textId="77777777" w:rsidR="009C0BFE" w:rsidRDefault="009C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32DF6" w14:textId="77777777" w:rsidR="00A1531E" w:rsidRDefault="00000000">
    <w:pPr>
      <w:jc w:val="center"/>
    </w:pPr>
    <w:r>
      <w:rPr>
        <w:color w:val="555555"/>
        <w:sz w:val="18"/>
        <w:szCs w:val="18"/>
      </w:rPr>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sidR="00FE37D7">
      <w:rPr>
        <w:noProof/>
        <w:color w:val="555555"/>
        <w:sz w:val="18"/>
        <w:szCs w:val="18"/>
      </w:rPr>
      <w:t>1</w:t>
    </w:r>
    <w:r>
      <w:rPr>
        <w:color w:val="555555"/>
        <w:sz w:val="18"/>
        <w:szCs w:val="18"/>
      </w:rPr>
      <w:fldChar w:fldCharType="end"/>
    </w:r>
    <w:r>
      <w:rPr>
        <w:color w:val="555555"/>
        <w:sz w:val="18"/>
        <w:szCs w:val="18"/>
      </w:rPr>
      <w:t xml:space="preserve"> of </w:t>
    </w:r>
    <w:r>
      <w:rPr>
        <w:color w:val="555555"/>
        <w:sz w:val="18"/>
        <w:szCs w:val="18"/>
      </w:rPr>
      <w:fldChar w:fldCharType="begin"/>
    </w:r>
    <w:r>
      <w:rPr>
        <w:color w:val="555555"/>
        <w:sz w:val="18"/>
        <w:szCs w:val="18"/>
      </w:rPr>
      <w:instrText>NUMPAGES</w:instrText>
    </w:r>
    <w:r>
      <w:rPr>
        <w:color w:val="555555"/>
        <w:sz w:val="18"/>
        <w:szCs w:val="18"/>
      </w:rPr>
      <w:fldChar w:fldCharType="separate"/>
    </w:r>
    <w:r w:rsidR="00FE37D7">
      <w:rPr>
        <w:noProof/>
        <w:color w:val="555555"/>
        <w:sz w:val="18"/>
        <w:szCs w:val="18"/>
      </w:rPr>
      <w:t>2</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10A86" w14:textId="77777777" w:rsidR="009C0BFE" w:rsidRDefault="009C0BFE">
      <w:r>
        <w:separator/>
      </w:r>
    </w:p>
  </w:footnote>
  <w:footnote w:type="continuationSeparator" w:id="0">
    <w:p w14:paraId="612C5EC9" w14:textId="77777777" w:rsidR="009C0BFE" w:rsidRDefault="009C0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57BE3" w14:textId="77777777" w:rsidR="00A1531E" w:rsidRDefault="00000000">
    <w:pPr>
      <w:jc w:val="right"/>
    </w:pPr>
    <w:r>
      <w:rPr>
        <w:i/>
        <w:iCs/>
        <w:color w:val="555555"/>
        <w:sz w:val="18"/>
        <w:szCs w:val="18"/>
      </w:rPr>
      <w:t>RSS-25 — Construction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A1FBE"/>
    <w:multiLevelType w:val="hybridMultilevel"/>
    <w:tmpl w:val="CA5A676C"/>
    <w:lvl w:ilvl="0" w:tplc="EFDC92F2">
      <w:start w:val="1"/>
      <w:numFmt w:val="bullet"/>
      <w:lvlText w:val="●"/>
      <w:lvlJc w:val="left"/>
      <w:pPr>
        <w:ind w:left="720" w:hanging="360"/>
      </w:pPr>
    </w:lvl>
    <w:lvl w:ilvl="1" w:tplc="DF3C9A44">
      <w:start w:val="1"/>
      <w:numFmt w:val="bullet"/>
      <w:lvlText w:val="○"/>
      <w:lvlJc w:val="left"/>
      <w:pPr>
        <w:ind w:left="1440" w:hanging="360"/>
      </w:pPr>
    </w:lvl>
    <w:lvl w:ilvl="2" w:tplc="8B247404">
      <w:start w:val="1"/>
      <w:numFmt w:val="bullet"/>
      <w:lvlText w:val="■"/>
      <w:lvlJc w:val="left"/>
      <w:pPr>
        <w:ind w:left="2160" w:hanging="360"/>
      </w:pPr>
    </w:lvl>
    <w:lvl w:ilvl="3" w:tplc="2D6848A8">
      <w:start w:val="1"/>
      <w:numFmt w:val="bullet"/>
      <w:lvlText w:val="●"/>
      <w:lvlJc w:val="left"/>
      <w:pPr>
        <w:ind w:left="2880" w:hanging="360"/>
      </w:pPr>
    </w:lvl>
    <w:lvl w:ilvl="4" w:tplc="A3207B20">
      <w:start w:val="1"/>
      <w:numFmt w:val="bullet"/>
      <w:lvlText w:val="○"/>
      <w:lvlJc w:val="left"/>
      <w:pPr>
        <w:ind w:left="3600" w:hanging="360"/>
      </w:pPr>
    </w:lvl>
    <w:lvl w:ilvl="5" w:tplc="F0F81AEE">
      <w:start w:val="1"/>
      <w:numFmt w:val="bullet"/>
      <w:lvlText w:val="■"/>
      <w:lvlJc w:val="left"/>
      <w:pPr>
        <w:ind w:left="4320" w:hanging="360"/>
      </w:pPr>
    </w:lvl>
    <w:lvl w:ilvl="6" w:tplc="83141312">
      <w:start w:val="1"/>
      <w:numFmt w:val="bullet"/>
      <w:lvlText w:val="●"/>
      <w:lvlJc w:val="left"/>
      <w:pPr>
        <w:ind w:left="5040" w:hanging="360"/>
      </w:pPr>
    </w:lvl>
    <w:lvl w:ilvl="7" w:tplc="E9D4F7A6">
      <w:start w:val="1"/>
      <w:numFmt w:val="bullet"/>
      <w:lvlText w:val="●"/>
      <w:lvlJc w:val="left"/>
      <w:pPr>
        <w:ind w:left="5760" w:hanging="360"/>
      </w:pPr>
    </w:lvl>
    <w:lvl w:ilvl="8" w:tplc="4CB8AAEE">
      <w:start w:val="1"/>
      <w:numFmt w:val="bullet"/>
      <w:lvlText w:val="●"/>
      <w:lvlJc w:val="left"/>
      <w:pPr>
        <w:ind w:left="6480" w:hanging="360"/>
      </w:pPr>
    </w:lvl>
  </w:abstractNum>
  <w:abstractNum w:abstractNumId="1" w15:restartNumberingAfterBreak="0">
    <w:nsid w:val="42DE7773"/>
    <w:multiLevelType w:val="hybridMultilevel"/>
    <w:tmpl w:val="964C8924"/>
    <w:lvl w:ilvl="0" w:tplc="8AD810DE">
      <w:start w:val="1"/>
      <w:numFmt w:val="bullet"/>
      <w:lvlText w:val="•"/>
      <w:lvlJc w:val="left"/>
      <w:pPr>
        <w:ind w:left="720" w:hanging="360"/>
      </w:pPr>
    </w:lvl>
    <w:lvl w:ilvl="1" w:tplc="87D21450">
      <w:numFmt w:val="decimal"/>
      <w:lvlText w:val=""/>
      <w:lvlJc w:val="left"/>
    </w:lvl>
    <w:lvl w:ilvl="2" w:tplc="7DD8505A">
      <w:numFmt w:val="decimal"/>
      <w:lvlText w:val=""/>
      <w:lvlJc w:val="left"/>
    </w:lvl>
    <w:lvl w:ilvl="3" w:tplc="E17290D6">
      <w:numFmt w:val="decimal"/>
      <w:lvlText w:val=""/>
      <w:lvlJc w:val="left"/>
    </w:lvl>
    <w:lvl w:ilvl="4" w:tplc="C53AC10A">
      <w:numFmt w:val="decimal"/>
      <w:lvlText w:val=""/>
      <w:lvlJc w:val="left"/>
    </w:lvl>
    <w:lvl w:ilvl="5" w:tplc="3F6CA334">
      <w:numFmt w:val="decimal"/>
      <w:lvlText w:val=""/>
      <w:lvlJc w:val="left"/>
    </w:lvl>
    <w:lvl w:ilvl="6" w:tplc="8662DA7E">
      <w:numFmt w:val="decimal"/>
      <w:lvlText w:val=""/>
      <w:lvlJc w:val="left"/>
    </w:lvl>
    <w:lvl w:ilvl="7" w:tplc="C72C8674">
      <w:numFmt w:val="decimal"/>
      <w:lvlText w:val=""/>
      <w:lvlJc w:val="left"/>
    </w:lvl>
    <w:lvl w:ilvl="8" w:tplc="775691B6">
      <w:numFmt w:val="decimal"/>
      <w:lvlText w:val=""/>
      <w:lvlJc w:val="left"/>
    </w:lvl>
  </w:abstractNum>
  <w:num w:numId="1" w16cid:durableId="159582722">
    <w:abstractNumId w:val="0"/>
    <w:lvlOverride w:ilvl="0">
      <w:startOverride w:val="1"/>
    </w:lvlOverride>
  </w:num>
  <w:num w:numId="2" w16cid:durableId="127128288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31E"/>
    <w:rsid w:val="009C0BFE"/>
    <w:rsid w:val="00A1531E"/>
    <w:rsid w:val="00B6347E"/>
    <w:rsid w:val="00FE37D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77FB1513"/>
  <w15:docId w15:val="{91E5F9AE-D1AB-6C47-906C-B8935085A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color w:val="1F2A4A"/>
      <w:sz w:val="30"/>
      <w:szCs w:val="30"/>
    </w:rPr>
  </w:style>
  <w:style w:type="paragraph" w:styleId="Heading2">
    <w:name w:val="heading 2"/>
    <w:uiPriority w:val="9"/>
    <w:unhideWhenUsed/>
    <w:qFormat/>
    <w:pPr>
      <w:spacing w:before="280" w:after="120"/>
      <w:outlineLvl w:val="1"/>
    </w:pPr>
    <w:rPr>
      <w:b/>
      <w:bCs/>
      <w:color w:val="1F2A4A"/>
      <w:sz w:val="26"/>
      <w:szCs w:val="26"/>
    </w:rPr>
  </w:style>
  <w:style w:type="paragraph" w:styleId="Heading3">
    <w:name w:val="heading 3"/>
    <w:uiPriority w:val="9"/>
    <w:semiHidden/>
    <w:unhideWhenUsed/>
    <w:qFormat/>
    <w:pPr>
      <w:spacing w:before="220" w:after="100"/>
      <w:outlineLvl w:val="2"/>
    </w:pPr>
    <w:rPr>
      <w:b/>
      <w:bCs/>
      <w:color w:val="1F2A4A"/>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6064</Words>
  <Characters>34569</Characters>
  <Application>Microsoft Office Word</Application>
  <DocSecurity>0</DocSecurity>
  <Lines>288</Lines>
  <Paragraphs>81</Paragraphs>
  <ScaleCrop>false</ScaleCrop>
  <Company/>
  <LinksUpToDate>false</LinksUpToDate>
  <CharactersWithSpaces>40552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Rasa-Śarīra Scale Construction Manual</dc:title>
  <dc:creator>Author</dc:creator>
  <cp:lastModifiedBy>Sneha</cp:lastModifiedBy>
  <cp:revision>2</cp:revision>
  <dcterms:created xsi:type="dcterms:W3CDTF">2026-06-28T06:17:00Z</dcterms:created>
  <dcterms:modified xsi:type="dcterms:W3CDTF">2026-06-28T14:27:00Z</dcterms:modified>
</cp:coreProperties>
</file>