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2E5A87" w:sz="6" w:space="6"/>
        </w:pBdr>
        <w:spacing w:after="40"/>
        <w:jc w:val="left"/>
      </w:pPr>
      <w:r>
        <w:rPr>
          <w:b/>
          <w:bCs/>
          <w:color w:val="2E5A87"/>
          <w:sz w:val="36"/>
          <w:szCs w:val="36"/>
        </w:rPr>
        <w:t xml:space="preserve">Supplementary Materials</w:t>
      </w:r>
    </w:p>
    <w:p>
      <w:pPr>
        <w:spacing w:after="60" w:before="120"/>
      </w:pPr>
      <w:r>
        <w:rPr>
          <w:i/>
          <w:iCs/>
          <w:sz w:val="22"/>
          <w:szCs w:val="22"/>
        </w:rPr>
        <w:t xml:space="preserve">The Rasa-Śarīra Scale: development and validation of a culturally grounded instrument for measuring embodied aesthetic learning in architectural heritage games</w:t>
      </w:r>
    </w:p>
    <w:p>
      <w:pPr>
        <w:spacing w:after="240"/>
      </w:pPr>
      <w:r>
        <w:rPr>
          <w:color w:val="59636E"/>
          <w:sz w:val="20"/>
          <w:szCs w:val="20"/>
        </w:rPr>
        <w:t xml:space="preserve">This document provides the full three-stage administration protocols (§S1), the estimator-formula compendium (§S2), expanded confirmatory-factor model-comparison and inter-factor correlation results (§S3), and expert-validation procedural detail with the deposited-file manifest (§S4). Section numbering is cross-referenced from the main article.</w:t>
      </w:r>
    </w:p>
    <w:p>
      <w:pPr>
        <w:pStyle w:val="Heading1"/>
        <w:spacing w:after="140" w:before="300"/>
      </w:pPr>
      <w:r>
        <w:t xml:space="preserve">S1. Administration protocols</w:t>
      </w:r>
    </w:p>
    <w:p>
      <w:pPr>
        <w:spacing w:after="140" w:line="300" w:lineRule="auto"/>
        <w:jc w:val="both"/>
      </w:pPr>
      <w:r>
        <w:t xml:space="preserve">This section records the full procedural detail for each of the three validation stages summarised in Methods §3.3–§3.5. The main text retains a concise summary of each protocol and refers to the corresponding subsection below.</w:t>
      </w:r>
    </w:p>
    <w:p>
      <w:pPr>
        <w:pStyle w:val="Heading2"/>
        <w:spacing w:after="100" w:before="240"/>
      </w:pPr>
      <w:r>
        <w:t xml:space="preserve">S1.1 Stage 1 — Expert content-validation administration</w:t>
      </w:r>
    </w:p>
    <w:p>
      <w:pPr>
        <w:spacing w:after="140" w:line="300" w:lineRule="auto"/>
        <w:jc w:val="both"/>
      </w:pPr>
      <w:r>
        <w:t xml:space="preserve">Five subject-matter experts were recruited for disciplinary fit. Expert 1 was an architect with expertise in urban architecture, embodied cognition and heritage studies; the remaining four (anonymised per protocol) had combined expertise in architectural pedagogy, Indian aesthetics, heritage gaming and instructional design. Panel size followed Polit and Beck’s recommendation that five to ten experts provide a robust basis for content-validity-index estimation; with five experts the item-level retention threshold is I-CVI ≥ 0.78 [41].</w:t>
      </w:r>
    </w:p>
    <w:p>
      <w:pPr>
        <w:spacing w:after="140" w:line="300" w:lineRule="auto"/>
        <w:jc w:val="both"/>
      </w:pPr>
      <w:r>
        <w:t xml:space="preserve">Each expert received three materials: (i) the 25 RSS items presented in randomised order, to avoid stage-block effects on rating; (ii) a glossary of the Sanskrit stage names and item terms with English equivalents; and (iii) a structured rating form. For every item the expert performed four actions: rated relevance on a 4-point scale (1 = Not relevant … 4 = Highly relevant), with ratings of 3–4 counted as “relevant” for index calculation; rated clarity on a parallel 4-point scale; assigned the item, by free choice, to one of the five phenomenological stages; and could enter free-text comments proposing rewording, relocation or deletion.</w:t>
      </w:r>
    </w:p>
    <w:p>
      <w:pPr>
        <w:spacing w:after="140" w:line="300" w:lineRule="auto"/>
        <w:jc w:val="both"/>
      </w:pPr>
      <w:r>
        <w:t xml:space="preserve">Four overall-assessment questions closed the form, addressing (a) the coherence of the five-stage sequence, (b) candidate items for deletion, (c) candidate items for stage reassignment, and (d) embodiment dimensions perceived as missing. Returned forms were scored to yield the item-level content-validity index (I-CVI), the scale-level index (S-CVI/Ave) and the chance-adjusted modified kappa (κ∗); the computing formulae and interpretive bands are given in §S2.1, and the resulting indices and the full qualitative commentary in §S4.1.</w:t>
      </w:r>
    </w:p>
    <w:p>
      <w:pPr>
        <w:pStyle w:val="Heading2"/>
        <w:spacing w:after="100" w:before="240"/>
      </w:pPr>
      <w:r>
        <w:t xml:space="preserve">S1.2 Stage 2 — Psychometric-validation administration</w:t>
      </w:r>
    </w:p>
    <w:p>
      <w:pPr>
        <w:spacing w:after="140" w:line="300" w:lineRule="auto"/>
        <w:jc w:val="both"/>
      </w:pPr>
      <w:r>
        <w:t xml:space="preserve">Two hundred and fifty undergraduate architecture and heritage-studies students from Indian higher-education institutions (aged 18–58, median in the early twenties) took part voluntarily and without compensation. Of these, 168 (67.2%) reported having visited at least one architectural heritage monument during the current academic semester and 82 (32.8%) had not; this single covariate supplied the contrast for known-groups testing (§S2.6, §S3 is not required here).</w:t>
      </w:r>
    </w:p>
    <w:p>
      <w:pPr>
        <w:spacing w:after="140" w:line="300" w:lineRule="auto"/>
        <w:jc w:val="both"/>
      </w:pPr>
      <w:r>
        <w:t xml:space="preserve">Each participant completed a 15–20-minute photogrammetric heritage-game experience of a Hindu temple complex with an explorable processional path, maṇḍapa, gopuram and inner sanctum. Geometry, textures, lighting and ambient audio were identical for every participant; only prior real-world heritage experience varied across the sample. Immediately after the experience the 25-item RSS was administered online, with items presented in stage-grouped order. Data were collected over a three-week window, and the returned dataset contained no missing responses.</w:t>
      </w:r>
    </w:p>
    <w:p>
      <w:pPr>
        <w:pStyle w:val="Heading2"/>
        <w:spacing w:after="100" w:before="240"/>
      </w:pPr>
      <w:r>
        <w:t xml:space="preserve">S1.3 Stage 3 — Application-study administration</w:t>
      </w:r>
    </w:p>
    <w:p>
      <w:pPr>
        <w:spacing w:after="140" w:line="300" w:lineRule="auto"/>
        <w:jc w:val="both"/>
      </w:pPr>
      <w:r>
        <w:t xml:space="preserve">Stage 3 was a two-group, between-subjects experiment comparing a designed embodied game against a passive walkthrough of an identical virtual environment. One hundred architecture students, all reporting no prior visit to the Vijaya Vittala Temple, were assigned by block randomisation (blocks of four) to the walkthrough (n = 50) or the game (n = 50). Sample size was fixed a priori: an independent-samples t-test seeking d = 0.50 requires 51 per cell for 80% power at α = .05 [48].</w:t>
      </w:r>
    </w:p>
    <w:p>
      <w:pPr>
        <w:spacing w:after="140" w:line="300" w:lineRule="auto"/>
        <w:jc w:val="both"/>
      </w:pPr>
      <w:r>
        <w:rPr>
          <w:b/>
          <w:bCs/>
        </w:rPr>
        <w:t xml:space="preserve">Environment and hardware. </w:t>
      </w:r>
      <w:r>
        <w:t xml:space="preserve">The environment was a Unity reconstruction of the Vijaya Vittala Temple complex (Hampi, Karnataka; a UNESCO World Heritage Site since 1986), spanning eight navigable zones — outer gopuram, main maṇḍapa, inner maṇḍapa, processional courtyard, stone-chariot platform, Kalyāṇa maṇḍapa, garbha gṛha threshold and circumambulatory path. Geometry was photogrammetrically derived from on-site capture; textures used physically-based rendering; ambient spatial audio was recorded on-site at sunrise and dusk. Hardware was a Meta Quest 3 standalone headset with Touch controllers, identical across conditions; only the interactive layer differed. In the walkthrough condition, participants navigated by continuous gliding locomotion and smooth rotation, with the single instruction to explore at their own pace and no task instructions, interaction affordances or mechanic-triggered events — operationally, the most common form of digital heritage encounter in contemporary VR.</w:t>
      </w:r>
    </w:p>
    <w:p>
      <w:pPr>
        <w:spacing w:after="140" w:line="300" w:lineRule="auto"/>
        <w:jc w:val="both"/>
      </w:pPr>
      <w:r>
        <w:rPr>
          <w:b/>
          <w:bCs/>
        </w:rPr>
        <w:t xml:space="preserve">Embodied mechanics (game condition). </w:t>
      </w:r>
      <w:r>
        <w:t xml:space="preserve">The game layered five embodied mechanics on the identical geometry, each targeting a distinct somatic channel:</w:t>
      </w:r>
    </w:p>
    <w:p>
      <w:pPr>
        <w:spacing w:after="60" w:before="60"/>
      </w:pPr>
      <w:r>
        <w:rPr>
          <w:b/>
          <w:bCs/>
          <w:sz w:val="20"/>
          <w:szCs w:val="20"/>
        </w:rPr>
        <w:t xml:space="preserve">Table S1.1. The five embodied mechanics of the game condition.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80"/>
        <w:gridCol w:w="2080"/>
        <w:gridCol w:w="5200"/>
      </w:tblGrid>
      <w:tr>
        <w:trPr>
          <w:tblHeader/>
        </w:trPr>
        <w:tc>
          <w:tcPr>
            <w:tcW w:type="dxa" w:w="2080"/>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left"/>
            </w:pPr>
            <w:r>
              <w:rPr>
                <w:b/>
                <w:bCs/>
                <w:color w:val="FFFFFF"/>
                <w:sz w:val="19"/>
                <w:szCs w:val="19"/>
              </w:rPr>
              <w:t xml:space="preserve">Mechanic</w:t>
            </w:r>
          </w:p>
        </w:tc>
        <w:tc>
          <w:tcPr>
            <w:tcW w:type="dxa" w:w="2080"/>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left"/>
            </w:pPr>
            <w:r>
              <w:rPr>
                <w:b/>
                <w:bCs/>
                <w:color w:val="FFFFFF"/>
                <w:sz w:val="19"/>
                <w:szCs w:val="19"/>
              </w:rPr>
              <w:t xml:space="preserve">Somatic channel targeted</w:t>
            </w:r>
          </w:p>
        </w:tc>
        <w:tc>
          <w:tcPr>
            <w:tcW w:type="dxa" w:w="5200"/>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left"/>
            </w:pPr>
            <w:r>
              <w:rPr>
                <w:b/>
                <w:bCs/>
                <w:color w:val="FFFFFF"/>
                <w:sz w:val="19"/>
                <w:szCs w:val="19"/>
              </w:rPr>
              <w:t xml:space="preserve">Implementation</w:t>
            </w:r>
          </w:p>
        </w:tc>
      </w:tr>
      <w:tr>
        <w:tc>
          <w:tcPr>
            <w:tcW w:type="dxa" w:w="2080"/>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Scale-anchored object manipulation</w:t>
            </w:r>
          </w:p>
        </w:tc>
        <w:tc>
          <w:tcPr>
            <w:tcW w:type="dxa" w:w="2080"/>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Weight and dimension (hand, arm)</w:t>
            </w:r>
          </w:p>
        </w:tc>
        <w:tc>
          <w:tcPr>
            <w:tcW w:type="dxa" w:w="5200"/>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Handling true-scale architectural elements, forcing engagement with their weight and dimension.</w:t>
            </w:r>
          </w:p>
        </w:tc>
      </w:tr>
      <w:tr>
        <w:tc>
          <w:tcPr>
            <w:tcW w:type="dxa" w:w="2080"/>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Material-contrast attention cueing</w:t>
            </w:r>
          </w:p>
        </w:tc>
        <w:tc>
          <w:tcPr>
            <w:tcW w:type="dxa" w:w="2080"/>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Tactile / visual boundary attention</w:t>
            </w:r>
          </w:p>
        </w:tc>
        <w:tc>
          <w:tcPr>
            <w:tcW w:type="dxa" w:w="5200"/>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A haptic pulse and a brief visual highlight at material boundaries.</w:t>
            </w:r>
          </w:p>
        </w:tc>
      </w:tr>
      <w:tr>
        <w:tc>
          <w:tcPr>
            <w:tcW w:type="dxa" w:w="2080"/>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Pace-modulated progression gating</w:t>
            </w:r>
          </w:p>
        </w:tc>
        <w:tc>
          <w:tcPr>
            <w:tcW w:type="dxa" w:w="2080"/>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Locomotor rhythm (gait)</w:t>
            </w:r>
          </w:p>
        </w:tc>
        <w:tc>
          <w:tcPr>
            <w:tcW w:type="dxa" w:w="5200"/>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Locomotion constrained to a walking rate at thresholds, with calibrated kinaesthetic resistance to rapid gliding.</w:t>
            </w:r>
          </w:p>
        </w:tc>
      </w:tr>
      <w:tr>
        <w:tc>
          <w:tcPr>
            <w:tcW w:type="dxa" w:w="2080"/>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Proprioceptive posture prompts</w:t>
            </w:r>
          </w:p>
        </w:tc>
        <w:tc>
          <w:tcPr>
            <w:tcW w:type="dxa" w:w="2080"/>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Posture and gaze (neck, spine)</w:t>
            </w:r>
          </w:p>
        </w:tc>
        <w:tc>
          <w:tcPr>
            <w:tcW w:type="dxa" w:w="5200"/>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Cues to look up at the kalāśa, turn to view a receding axis, or crouch at the garbha gṛiha threshold.</w:t>
            </w:r>
          </w:p>
        </w:tc>
      </w:tr>
      <w:tr>
        <w:tc>
          <w:tcPr>
            <w:tcW w:type="dxa" w:w="2080"/>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Memory-consolidation checkpoints</w:t>
            </w:r>
          </w:p>
        </w:tc>
        <w:tc>
          <w:tcPr>
            <w:tcW w:type="dxa" w:w="2080"/>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Encoding and recall</w:t>
            </w:r>
          </w:p>
        </w:tc>
        <w:tc>
          <w:tcPr>
            <w:tcW w:type="dxa" w:w="5200"/>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Brief prompts at zone transitions to identify the material and spatial qualities just traversed.</w:t>
            </w:r>
          </w:p>
        </w:tc>
      </w:tr>
    </w:tbl>
    <w:p>
      <w:pPr>
        <w:spacing w:after="200"/>
      </w:pPr>
      <w:r>
        <w:rPr>
          <w:i/>
          <w:iCs/>
          <w:color w:val="59636E"/>
          <w:sz w:val="18"/>
          <w:szCs w:val="18"/>
        </w:rPr>
        <w:t xml:space="preserve">Source: author.</w:t>
      </w:r>
    </w:p>
    <w:p>
      <w:pPr>
        <w:spacing w:after="140" w:line="300" w:lineRule="auto"/>
        <w:jc w:val="both"/>
      </w:pPr>
      <w:r>
        <w:rPr>
          <w:b/>
          <w:bCs/>
        </w:rPr>
        <w:t xml:space="preserve">Session flow. </w:t>
      </w:r>
      <w:r>
        <w:t xml:space="preserve">Sessions were run individually. After briefing, written informed consent and a five-minute headset familiarisation in a neutral environment, the participant completed the 12–15-minute session in the assigned condition, then the 25-item RSS (7-point response format) and a brief background form, followed by debriefing. Following the pre-registered analysis plan, Welch’s t-tests compared the conditions on the RSS composite and on each subscale, with Cohen’s d and 95% confidence intervals; a 2 (Condition) × 5 (Stage) mixed ANOVA tested whether the advantage was uniform or selective; and item-level Welch’s t-tests examined each of the 25 items. All tests were two-tailed at α = .05; formulae appear in §S2.</w:t>
      </w:r>
    </w:p>
    <w:p>
      <w:pPr>
        <w:pStyle w:val="Heading1"/>
        <w:spacing w:after="140" w:before="300"/>
      </w:pPr>
      <w:r>
        <w:t xml:space="preserve">S2. Estimator-formula compendium</w:t>
      </w:r>
    </w:p>
    <w:p>
      <w:pPr>
        <w:spacing w:after="140" w:line="300" w:lineRule="auto"/>
        <w:jc w:val="both"/>
      </w:pPr>
      <w:r>
        <w:t xml:space="preserve">Every estimator named in the main text is defined below in the order in which it is used. N denotes sample size, k the number of items (k = 25), p the number of observed variables, and q the number of free parameters in a structural model. Sample statistics are written with Latin letters and the corresponding population quantities with Greek letters; </w:t>
      </w:r>
      <w:r>
        <w:t xml:space="preserve">Σ</w:t>
      </w:r>
      <w:r>
        <w:t xml:space="preserve"> denotes summation and </w:t>
      </w:r>
      <w:r>
        <w:t xml:space="preserve">tr</w:t>
      </w:r>
      <w:r>
        <w:t xml:space="preserve"> the matrix trace.</w:t>
      </w:r>
    </w:p>
    <w:p>
      <w:pPr>
        <w:pStyle w:val="Heading2"/>
        <w:spacing w:after="100" w:before="240"/>
      </w:pPr>
      <w:r>
        <w:t xml:space="preserve">S2.1 Content validity</w:t>
      </w:r>
    </w:p>
    <w:p>
      <w:pPr>
        <w:spacing w:after="40" w:before="120" w:line="300" w:lineRule="auto"/>
        <w:jc w:val="both"/>
      </w:pPr>
      <w:r>
        <w:rPr>
          <w:b/>
          <w:bCs/>
        </w:rPr>
        <w:t xml:space="preserve">Item-level content-validity index (I-CVI). </w:t>
      </w:r>
      <w:r>
        <w:t xml:space="preserve">For item i, the proportion of the nₑ experts rating it 3 or 4 on the dimension of interest.</w:t>
      </w:r>
    </w:p>
    <w:p>
      <w:pPr>
        <w:spacing w:after="120" w:before="40" w:line="288" w:lineRule="auto"/>
        <w:ind w:left="480"/>
      </w:pPr>
      <w:r>
        <w:rPr>
          <w:rFonts w:ascii="Cambria" w:cs="Cambria" w:eastAsia="Cambria" w:hAnsi="Cambria"/>
          <w:sz w:val="22"/>
          <w:szCs w:val="22"/>
        </w:rPr>
        <w:t xml:space="preserve">I-CVIᵢ = aᵢ / nₑ</w:t>
      </w:r>
    </w:p>
    <w:p>
      <w:pPr>
        <w:spacing w:after="40" w:before="120" w:line="300" w:lineRule="auto"/>
        <w:jc w:val="both"/>
      </w:pPr>
      <w:r>
        <w:rPr>
          <w:b/>
          <w:bCs/>
        </w:rPr>
        <w:t xml:space="preserve">Scale-level index (S-CVI/Ave). </w:t>
      </w:r>
      <w:r>
        <w:t xml:space="preserve">Mean of the item-level indices across all k items.</w:t>
      </w:r>
    </w:p>
    <w:p>
      <w:pPr>
        <w:spacing w:after="120" w:before="40" w:line="288" w:lineRule="auto"/>
        <w:ind w:left="480"/>
      </w:pPr>
      <w:r>
        <w:rPr>
          <w:rFonts w:ascii="Cambria" w:cs="Cambria" w:eastAsia="Cambria" w:hAnsi="Cambria"/>
          <w:sz w:val="22"/>
          <w:szCs w:val="22"/>
        </w:rPr>
        <w:t xml:space="preserve">S-CVI/Ave = (1/k) · Σᵢ₌₁ᵏ I-CVIᵢ</w:t>
      </w:r>
    </w:p>
    <w:p>
      <w:pPr>
        <w:spacing w:after="40" w:before="120" w:line="300" w:lineRule="auto"/>
        <w:jc w:val="both"/>
      </w:pPr>
      <w:r>
        <w:rPr>
          <w:b/>
          <w:bCs/>
        </w:rPr>
        <w:t xml:space="preserve">Chance-agreement probability. </w:t>
      </w:r>
      <w:r>
        <w:t xml:space="preserve">Binomial probability that A of the nₑ experts agree by chance.</w:t>
      </w:r>
    </w:p>
    <w:p>
      <w:pPr>
        <w:spacing w:after="120" w:before="40" w:line="288" w:lineRule="auto"/>
        <w:ind w:left="480"/>
      </w:pPr>
      <w:r>
        <w:rPr>
          <w:rFonts w:ascii="Cambria" w:cs="Cambria" w:eastAsia="Cambria" w:hAnsi="Cambria"/>
          <w:sz w:val="22"/>
          <w:szCs w:val="22"/>
        </w:rPr>
        <w:t xml:space="preserve">Pᶜ = [ nₑ! / ( A!·(nₑ − A)! ) ] · 0.5^nₑ</w:t>
      </w:r>
    </w:p>
    <w:p>
      <w:pPr>
        <w:spacing w:after="40" w:before="120" w:line="300" w:lineRule="auto"/>
        <w:jc w:val="both"/>
      </w:pPr>
      <w:r>
        <w:rPr>
          <w:b/>
          <w:bCs/>
        </w:rPr>
        <w:t xml:space="preserve">Modified kappa (κ∗). </w:t>
      </w:r>
      <w:r>
        <w:t xml:space="preserve">Chance-corrected agreement for each item.</w:t>
      </w:r>
    </w:p>
    <w:p>
      <w:pPr>
        <w:spacing w:after="120" w:before="40" w:line="288" w:lineRule="auto"/>
        <w:ind w:left="480"/>
      </w:pPr>
      <w:r>
        <w:rPr>
          <w:rFonts w:ascii="Cambria" w:cs="Cambria" w:eastAsia="Cambria" w:hAnsi="Cambria"/>
          <w:sz w:val="22"/>
          <w:szCs w:val="22"/>
        </w:rPr>
        <w:t xml:space="preserve">κ∗ = ( I-CVI − Pᶜ ) / ( 1 − Pᶜ )</w:t>
      </w:r>
    </w:p>
    <w:p>
      <w:pPr>
        <w:spacing w:after="120" w:line="288" w:lineRule="auto"/>
        <w:ind w:left="480"/>
      </w:pPr>
      <w:r>
        <w:rPr>
          <w:i/>
          <w:iCs/>
          <w:color w:val="59636E"/>
          <w:sz w:val="20"/>
          <w:szCs w:val="20"/>
        </w:rPr>
        <w:t xml:space="preserve">Interpretive bands: κ∗ &gt; .74 excellent; .60 &lt; κ∗ ≤ .74 good; .40 &lt; κ∗ ≤ .60 fair; κ∗ ≤ .40 poor [41].</w:t>
      </w:r>
    </w:p>
    <w:p>
      <w:pPr>
        <w:pStyle w:val="Heading2"/>
        <w:spacing w:after="100" w:before="240"/>
      </w:pPr>
      <w:r>
        <w:t xml:space="preserve">S2.2 Reliability and item statistics</w:t>
      </w:r>
    </w:p>
    <w:p>
      <w:pPr>
        <w:spacing w:after="40" w:before="120" w:line="300" w:lineRule="auto"/>
        <w:jc w:val="both"/>
      </w:pPr>
      <w:r>
        <w:rPr>
          <w:b/>
          <w:bCs/>
        </w:rPr>
        <w:t xml:space="preserve">Cronbach’s α. </w:t>
      </w:r>
      <w:r>
        <w:t xml:space="preserve">Internal-consistency reliability for a k-item (sub)scale; sᵢ² is item variance and s_T² total-score variance.</w:t>
      </w:r>
    </w:p>
    <w:p>
      <w:pPr>
        <w:spacing w:after="120" w:before="40" w:line="288" w:lineRule="auto"/>
        <w:ind w:left="480"/>
      </w:pPr>
      <w:r>
        <w:rPr>
          <w:rFonts w:ascii="Cambria" w:cs="Cambria" w:eastAsia="Cambria" w:hAnsi="Cambria"/>
          <w:sz w:val="22"/>
          <w:szCs w:val="22"/>
        </w:rPr>
        <w:t xml:space="preserve">α = ( k / (k − 1) ) · ( 1 − ( Σᵢ sᵢ² ) / s_T² )</w:t>
      </w:r>
    </w:p>
    <w:p>
      <w:pPr>
        <w:spacing w:after="40" w:before="120" w:line="300" w:lineRule="auto"/>
        <w:jc w:val="both"/>
      </w:pPr>
      <w:r>
        <w:rPr>
          <w:b/>
          <w:bCs/>
        </w:rPr>
        <w:t xml:space="preserve">95% confidence interval for α (Feldt–Woodruff). </w:t>
      </w:r>
      <w:r>
        <w:t xml:space="preserve">Bounds from the F distribution with ν₁ = N − 1 and ν₂ = (N − 1)(k − 1) degrees of freedom [42].</w:t>
      </w:r>
    </w:p>
    <w:p>
      <w:pPr>
        <w:spacing w:after="120" w:before="40" w:line="288" w:lineRule="auto"/>
        <w:ind w:left="480"/>
      </w:pPr>
      <w:r>
        <w:rPr>
          <w:rFonts w:ascii="Cambria" w:cs="Cambria" w:eastAsia="Cambria" w:hAnsi="Cambria"/>
          <w:sz w:val="22"/>
          <w:szCs w:val="22"/>
        </w:rPr>
        <w:t xml:space="preserve">CI = [ 1 − (1 − α)·F₍₁₋α/₂₎(ν₁,ν₂) ,  1 − (1 − α)·F₍α/₂₎(ν₁,ν₂) ]</w:t>
      </w:r>
    </w:p>
    <w:p>
      <w:pPr>
        <w:spacing w:after="40" w:before="120" w:line="300" w:lineRule="auto"/>
        <w:jc w:val="both"/>
      </w:pPr>
      <w:r>
        <w:rPr>
          <w:b/>
          <w:bCs/>
        </w:rPr>
        <w:t xml:space="preserve">Corrected item–total correlation. </w:t>
      </w:r>
      <w:r>
        <w:t xml:space="preserve">Pearson correlation of item i with the sum of the remaining k − 1 items; retention threshold .30.</w:t>
      </w:r>
    </w:p>
    <w:p>
      <w:pPr>
        <w:spacing w:after="120" w:before="40" w:line="288" w:lineRule="auto"/>
        <w:ind w:left="480"/>
      </w:pPr>
      <w:r>
        <w:rPr>
          <w:rFonts w:ascii="Cambria" w:cs="Cambria" w:eastAsia="Cambria" w:hAnsi="Cambria"/>
          <w:sz w:val="22"/>
          <w:szCs w:val="22"/>
        </w:rPr>
        <w:t xml:space="preserve">r₍ᵢ,T₋ᵢ₎ = corr( xᵢ , Σ_{j≠i} x_j )</w:t>
      </w:r>
    </w:p>
    <w:p>
      <w:pPr>
        <w:pStyle w:val="Heading2"/>
        <w:spacing w:after="100" w:before="240"/>
      </w:pPr>
      <w:r>
        <w:t xml:space="preserve">S2.3 Distributional checks</w:t>
      </w:r>
    </w:p>
    <w:p>
      <w:pPr>
        <w:spacing w:after="40" w:before="120" w:line="300" w:lineRule="auto"/>
        <w:jc w:val="both"/>
      </w:pPr>
      <w:r>
        <w:rPr>
          <w:b/>
          <w:bCs/>
        </w:rPr>
        <w:t xml:space="preserve">Skewness and excess kurtosis. </w:t>
      </w:r>
      <w:r>
        <w:t xml:space="preserve">Standardised third and fourth central moments; mᵣ = (1/N)·Σ (x − x̄)ʳ. Retention: |g₁| &lt; 2, |g₂| &lt; 7 [46].</w:t>
      </w:r>
    </w:p>
    <w:p>
      <w:pPr>
        <w:spacing w:after="120" w:before="40" w:line="288" w:lineRule="auto"/>
        <w:ind w:left="480"/>
      </w:pPr>
      <w:r>
        <w:rPr>
          <w:rFonts w:ascii="Cambria" w:cs="Cambria" w:eastAsia="Cambria" w:hAnsi="Cambria"/>
          <w:sz w:val="22"/>
          <w:szCs w:val="22"/>
        </w:rPr>
        <w:t xml:space="preserve">g₁ = m₃ / m₂^{3/2} ;   g₂ = m₄ / m₂² − 3</w:t>
      </w:r>
    </w:p>
    <w:p>
      <w:pPr>
        <w:spacing w:after="40" w:before="120" w:line="300" w:lineRule="auto"/>
        <w:jc w:val="both"/>
      </w:pPr>
      <w:r>
        <w:rPr>
          <w:b/>
          <w:bCs/>
        </w:rPr>
        <w:t xml:space="preserve">Mardia’s multivariate skewness. </w:t>
      </w:r>
      <w:r>
        <w:t xml:space="preserve">Aggregate of squared Mahalanobis cross-products dᵢⱼ = (xᵢ − x̄)ᵀ S⁻¹ (xⱼ − x̄); the test statistic is χ²-distributed with p(p + 1)(p + 2)/6 degrees of freedom.</w:t>
      </w:r>
    </w:p>
    <w:p>
      <w:pPr>
        <w:spacing w:after="120" w:before="40" w:line="288" w:lineRule="auto"/>
        <w:ind w:left="480"/>
      </w:pPr>
      <w:r>
        <w:rPr>
          <w:rFonts w:ascii="Cambria" w:cs="Cambria" w:eastAsia="Cambria" w:hAnsi="Cambria"/>
          <w:sz w:val="22"/>
          <w:szCs w:val="22"/>
        </w:rPr>
        <w:t xml:space="preserve">b₁,ₚ = (1/N²)·Σᵢ Σⱼ dᵢⱼ³ ;   (N/6)·b₁,ₚ ~ χ²</w:t>
      </w:r>
    </w:p>
    <w:p>
      <w:pPr>
        <w:pStyle w:val="Heading2"/>
        <w:spacing w:after="100" w:before="240"/>
      </w:pPr>
      <w:r>
        <w:t xml:space="preserve">S2.4 Confirmatory factor analysis: estimation and fit</w:t>
      </w:r>
    </w:p>
    <w:p>
      <w:pPr>
        <w:spacing w:after="40" w:before="120" w:line="300" w:lineRule="auto"/>
        <w:jc w:val="both"/>
      </w:pPr>
      <w:r>
        <w:rPr>
          <w:b/>
          <w:bCs/>
        </w:rPr>
        <w:t xml:space="preserve">Maximum-likelihood discrepancy. </w:t>
      </w:r>
      <w:r>
        <w:t xml:space="preserve">Minimised over θ; S is the observed and Σ(θ) the model-implied covariance matrix. The model χ² is (N − 1) times the minimum.</w:t>
      </w:r>
    </w:p>
    <w:p>
      <w:pPr>
        <w:spacing w:after="120" w:before="40" w:line="288" w:lineRule="auto"/>
        <w:ind w:left="480"/>
      </w:pPr>
      <w:r>
        <w:rPr>
          <w:rFonts w:ascii="Cambria" w:cs="Cambria" w:eastAsia="Cambria" w:hAnsi="Cambria"/>
          <w:sz w:val="22"/>
          <w:szCs w:val="22"/>
        </w:rPr>
        <w:t xml:space="preserve">F_ML = log|Σ(θ)| + tr( S·Σ(θ)⁻¹ ) − log|S| − p ;   χ² = (N − 1)·F_ML</w:t>
      </w:r>
    </w:p>
    <w:p>
      <w:pPr>
        <w:spacing w:after="40" w:before="120" w:line="300" w:lineRule="auto"/>
        <w:jc w:val="both"/>
      </w:pPr>
      <w:r>
        <w:rPr>
          <w:b/>
          <w:bCs/>
        </w:rPr>
        <w:t xml:space="preserve">Normed chi-square. </w:t>
      </w:r>
      <w:r>
        <w:t xml:space="preserve">Ratio of model χ² to its degrees of freedom; benchmark &lt; 3.0.</w:t>
      </w:r>
    </w:p>
    <w:p>
      <w:pPr>
        <w:spacing w:after="120" w:before="40" w:line="288" w:lineRule="auto"/>
        <w:ind w:left="480"/>
      </w:pPr>
      <w:r>
        <w:rPr>
          <w:rFonts w:ascii="Cambria" w:cs="Cambria" w:eastAsia="Cambria" w:hAnsi="Cambria"/>
          <w:sz w:val="22"/>
          <w:szCs w:val="22"/>
        </w:rPr>
        <w:t xml:space="preserve">χ²/df</w:t>
      </w:r>
    </w:p>
    <w:p>
      <w:pPr>
        <w:spacing w:after="40" w:before="120" w:line="300" w:lineRule="auto"/>
        <w:jc w:val="both"/>
      </w:pPr>
      <w:r>
        <w:rPr>
          <w:b/>
          <w:bCs/>
        </w:rPr>
        <w:t xml:space="preserve">Comparative fit index (CFI). </w:t>
      </w:r>
      <w:r>
        <w:t xml:space="preserve">Subscript M denotes the hypothesised model and B the independence (null) baseline; benchmark ≥ .95.</w:t>
      </w:r>
    </w:p>
    <w:p>
      <w:pPr>
        <w:spacing w:after="120" w:before="40" w:line="288" w:lineRule="auto"/>
        <w:ind w:left="480"/>
      </w:pPr>
      <w:r>
        <w:rPr>
          <w:rFonts w:ascii="Cambria" w:cs="Cambria" w:eastAsia="Cambria" w:hAnsi="Cambria"/>
          <w:sz w:val="22"/>
          <w:szCs w:val="22"/>
        </w:rPr>
        <w:t xml:space="preserve">CFI = 1 − max(χ²_M − df_M, 0) / max(χ²_M − df_M, χ²_B − df_B, 0)</w:t>
      </w:r>
    </w:p>
    <w:p>
      <w:pPr>
        <w:spacing w:after="40" w:before="120" w:line="300" w:lineRule="auto"/>
        <w:jc w:val="both"/>
      </w:pPr>
      <w:r>
        <w:rPr>
          <w:b/>
          <w:bCs/>
        </w:rPr>
        <w:t xml:space="preserve">Tucker–Lewis index (TLI). </w:t>
      </w:r>
      <w:r>
        <w:t xml:space="preserve">Non-normed incremental index; benchmark ≥ .95.</w:t>
      </w:r>
    </w:p>
    <w:p>
      <w:pPr>
        <w:spacing w:after="120" w:before="40" w:line="288" w:lineRule="auto"/>
        <w:ind w:left="480"/>
      </w:pPr>
      <w:r>
        <w:rPr>
          <w:rFonts w:ascii="Cambria" w:cs="Cambria" w:eastAsia="Cambria" w:hAnsi="Cambria"/>
          <w:sz w:val="22"/>
          <w:szCs w:val="22"/>
        </w:rPr>
        <w:t xml:space="preserve">TLI = ( χ²_B/df_B − χ²_M/df_M ) / ( χ²_B/df_B − 1 )</w:t>
      </w:r>
    </w:p>
    <w:p>
      <w:pPr>
        <w:spacing w:after="40" w:before="120" w:line="300" w:lineRule="auto"/>
        <w:jc w:val="both"/>
      </w:pPr>
      <w:r>
        <w:rPr>
          <w:b/>
          <w:bCs/>
        </w:rPr>
        <w:t xml:space="preserve">Root-mean-square error of approximation (RMSEA). </w:t>
      </w:r>
      <w:r>
        <w:t xml:space="preserve">Population badness-of-fit per degree of freedom; benchmark ≤ .06.</w:t>
      </w:r>
    </w:p>
    <w:p>
      <w:pPr>
        <w:spacing w:after="120" w:before="40" w:line="288" w:lineRule="auto"/>
        <w:ind w:left="480"/>
      </w:pPr>
      <w:r>
        <w:rPr>
          <w:rFonts w:ascii="Cambria" w:cs="Cambria" w:eastAsia="Cambria" w:hAnsi="Cambria"/>
          <w:sz w:val="22"/>
          <w:szCs w:val="22"/>
        </w:rPr>
        <w:t xml:space="preserve">RMSEA = √( max(χ²_M − df_M, 0) / ( df_M · (N − 1) ) )</w:t>
      </w:r>
    </w:p>
    <w:p>
      <w:pPr>
        <w:spacing w:after="40" w:before="120" w:line="300" w:lineRule="auto"/>
        <w:jc w:val="both"/>
      </w:pPr>
      <w:r>
        <w:rPr>
          <w:b/>
          <w:bCs/>
        </w:rPr>
        <w:t xml:space="preserve">Standardised root-mean-square residual (SRMR). </w:t>
      </w:r>
      <w:r>
        <w:t xml:space="preserve">Mean standardised covariance residual; benchmark ≤ .08.</w:t>
      </w:r>
    </w:p>
    <w:p>
      <w:pPr>
        <w:spacing w:after="120" w:before="40" w:line="288" w:lineRule="auto"/>
        <w:ind w:left="480"/>
      </w:pPr>
      <w:r>
        <w:rPr>
          <w:rFonts w:ascii="Cambria" w:cs="Cambria" w:eastAsia="Cambria" w:hAnsi="Cambria"/>
          <w:sz w:val="22"/>
          <w:szCs w:val="22"/>
        </w:rPr>
        <w:t xml:space="preserve">SRMR = √( ( 2 / (p(p + 1)) ) · Σᵢ Σ_{j≤i} ( (s_ij − σ̂_ij) / √(s_ii·s_jj) )² )</w:t>
      </w:r>
    </w:p>
    <w:p>
      <w:pPr>
        <w:spacing w:after="120" w:line="288" w:lineRule="auto"/>
        <w:ind w:left="480"/>
      </w:pPr>
      <w:r>
        <w:rPr>
          <w:i/>
          <w:iCs/>
          <w:color w:val="59636E"/>
          <w:sz w:val="20"/>
          <w:szCs w:val="20"/>
        </w:rPr>
        <w:t xml:space="preserve">Global thresholds follow Hu and Bentler [44].</w:t>
      </w:r>
    </w:p>
    <w:p>
      <w:pPr>
        <w:pStyle w:val="Heading2"/>
        <w:spacing w:after="100" w:before="240"/>
      </w:pPr>
      <w:r>
        <w:t xml:space="preserve">S2.5 Model selection</w:t>
      </w:r>
    </w:p>
    <w:p>
      <w:pPr>
        <w:spacing w:after="40" w:before="120" w:line="300" w:lineRule="auto"/>
        <w:jc w:val="both"/>
      </w:pPr>
      <w:r>
        <w:rPr>
          <w:b/>
          <w:bCs/>
        </w:rPr>
        <w:t xml:space="preserve">Information criteria. </w:t>
      </w:r>
      <w:r>
        <w:t xml:space="preserve">Penalised model fit; q is the number of free parameters. Lower values indicate better-fitting parsimony [45].</w:t>
      </w:r>
    </w:p>
    <w:p>
      <w:pPr>
        <w:spacing w:after="120" w:before="40" w:line="288" w:lineRule="auto"/>
        <w:ind w:left="480"/>
      </w:pPr>
      <w:r>
        <w:rPr>
          <w:rFonts w:ascii="Cambria" w:cs="Cambria" w:eastAsia="Cambria" w:hAnsi="Cambria"/>
          <w:sz w:val="22"/>
          <w:szCs w:val="22"/>
        </w:rPr>
        <w:t xml:space="preserve">AIC = χ² + 2q ;   BIC = χ² + q·ln(N)</w:t>
      </w:r>
    </w:p>
    <w:p>
      <w:pPr>
        <w:spacing w:after="40" w:before="120" w:line="300" w:lineRule="auto"/>
        <w:jc w:val="both"/>
      </w:pPr>
      <w:r>
        <w:rPr>
          <w:b/>
          <w:bCs/>
        </w:rPr>
        <w:t xml:space="preserve">Evidence differences. </w:t>
      </w:r>
      <w:r>
        <w:t xml:space="preserve">Computed against the minimum-criterion model.</w:t>
      </w:r>
    </w:p>
    <w:p>
      <w:pPr>
        <w:spacing w:after="120" w:before="40" w:line="288" w:lineRule="auto"/>
        <w:ind w:left="480"/>
      </w:pPr>
      <w:r>
        <w:rPr>
          <w:rFonts w:ascii="Cambria" w:cs="Cambria" w:eastAsia="Cambria" w:hAnsi="Cambria"/>
          <w:sz w:val="22"/>
          <w:szCs w:val="22"/>
        </w:rPr>
        <w:t xml:space="preserve">ΔAIC = AICᵢ − AIC_min ;   ΔBIC = BICᵢ − BIC_min</w:t>
      </w:r>
    </w:p>
    <w:p>
      <w:pPr>
        <w:spacing w:after="120" w:line="288" w:lineRule="auto"/>
        <w:ind w:left="480"/>
      </w:pPr>
      <w:r>
        <w:rPr>
          <w:i/>
          <w:iCs/>
          <w:color w:val="59636E"/>
          <w:sz w:val="20"/>
          <w:szCs w:val="20"/>
        </w:rPr>
        <w:t xml:space="preserve">Raftery bands for ΔBIC: 0–2 weak; 2–6 positive; 6–10 strong; &gt; 10 very strong evidence for the lower-BIC model [50].</w:t>
      </w:r>
    </w:p>
    <w:p>
      <w:pPr>
        <w:pStyle w:val="Heading2"/>
        <w:spacing w:after="100" w:before="240"/>
      </w:pPr>
      <w:r>
        <w:t xml:space="preserve">S2.6 Group comparison and effect size</w:t>
      </w:r>
    </w:p>
    <w:p>
      <w:pPr>
        <w:spacing w:after="40" w:before="120" w:line="300" w:lineRule="auto"/>
        <w:jc w:val="both"/>
      </w:pPr>
      <w:r>
        <w:rPr>
          <w:b/>
          <w:bCs/>
        </w:rPr>
        <w:t xml:space="preserve">Welch’s t. </w:t>
      </w:r>
      <w:r>
        <w:t xml:space="preserve">Unequal-variance two-sample test [47].</w:t>
      </w:r>
    </w:p>
    <w:p>
      <w:pPr>
        <w:spacing w:after="120" w:before="40" w:line="288" w:lineRule="auto"/>
        <w:ind w:left="480"/>
      </w:pPr>
      <w:r>
        <w:rPr>
          <w:rFonts w:ascii="Cambria" w:cs="Cambria" w:eastAsia="Cambria" w:hAnsi="Cambria"/>
          <w:sz w:val="22"/>
          <w:szCs w:val="22"/>
        </w:rPr>
        <w:t xml:space="preserve">t = ( x̄₁ − x̄₂ ) / √( s₁²/n₁ + s₂²/n₂ )</w:t>
      </w:r>
    </w:p>
    <w:p>
      <w:pPr>
        <w:spacing w:after="40" w:before="120" w:line="300" w:lineRule="auto"/>
        <w:jc w:val="both"/>
      </w:pPr>
      <w:r>
        <w:rPr>
          <w:b/>
          <w:bCs/>
        </w:rPr>
        <w:t xml:space="preserve">Welch–Satterthwaite degrees of freedom. </w:t>
      </w:r>
      <w:r>
        <w:t xml:space="preserve">Approximate df for the statistic above.</w:t>
      </w:r>
    </w:p>
    <w:p>
      <w:pPr>
        <w:spacing w:after="120" w:before="40" w:line="288" w:lineRule="auto"/>
        <w:ind w:left="480"/>
      </w:pPr>
      <w:r>
        <w:rPr>
          <w:rFonts w:ascii="Cambria" w:cs="Cambria" w:eastAsia="Cambria" w:hAnsi="Cambria"/>
          <w:sz w:val="22"/>
          <w:szCs w:val="22"/>
        </w:rPr>
        <w:t xml:space="preserve">df = ( s₁²/n₁ + s₂²/n₂ )² / [ (s₁²/n₁)²/(n₁ − 1) + (s₂²/n₂)²/(n₂ − 1) ]</w:t>
      </w:r>
    </w:p>
    <w:p>
      <w:pPr>
        <w:spacing w:after="40" w:before="120" w:line="300" w:lineRule="auto"/>
        <w:jc w:val="both"/>
      </w:pPr>
      <w:r>
        <w:rPr>
          <w:b/>
          <w:bCs/>
        </w:rPr>
        <w:t xml:space="preserve">Cohen’s d. </w:t>
      </w:r>
      <w:r>
        <w:t xml:space="preserve">Standardised mean difference with the pooled standard deviation s_p [48].</w:t>
      </w:r>
    </w:p>
    <w:p>
      <w:pPr>
        <w:spacing w:after="120" w:before="40" w:line="288" w:lineRule="auto"/>
        <w:ind w:left="480"/>
      </w:pPr>
      <w:r>
        <w:rPr>
          <w:rFonts w:ascii="Cambria" w:cs="Cambria" w:eastAsia="Cambria" w:hAnsi="Cambria"/>
          <w:sz w:val="22"/>
          <w:szCs w:val="22"/>
        </w:rPr>
        <w:t xml:space="preserve">d = ( x̄₁ − x̄₂ ) / s_p ,   s_p = √( ( (n₁ − 1)s₁² + (n₂ − 1)s₂² ) / (n₁ + n₂ − 2) )</w:t>
      </w:r>
    </w:p>
    <w:p>
      <w:pPr>
        <w:spacing w:after="40" w:before="120" w:line="300" w:lineRule="auto"/>
        <w:jc w:val="both"/>
      </w:pPr>
      <w:r>
        <w:rPr>
          <w:b/>
          <w:bCs/>
        </w:rPr>
        <w:t xml:space="preserve">95% confidence interval for d. </w:t>
      </w:r>
      <w:r>
        <w:t xml:space="preserve">Large-sample approximation.</w:t>
      </w:r>
    </w:p>
    <w:p>
      <w:pPr>
        <w:spacing w:after="120" w:before="40" w:line="288" w:lineRule="auto"/>
        <w:ind w:left="480"/>
      </w:pPr>
      <w:r>
        <w:rPr>
          <w:rFonts w:ascii="Cambria" w:cs="Cambria" w:eastAsia="Cambria" w:hAnsi="Cambria"/>
          <w:sz w:val="22"/>
          <w:szCs w:val="22"/>
        </w:rPr>
        <w:t xml:space="preserve">CI ≈ d ± z₍.₉₇₅₎ · √( (n₁ + n₂)/(n₁·n₂) + d² / (2(n₁ + n₂)) )</w:t>
      </w:r>
    </w:p>
    <w:p>
      <w:pPr>
        <w:spacing w:after="120" w:line="288" w:lineRule="auto"/>
        <w:ind w:left="480"/>
      </w:pPr>
      <w:r>
        <w:rPr>
          <w:i/>
          <w:iCs/>
          <w:color w:val="59636E"/>
          <w:sz w:val="20"/>
          <w:szCs w:val="20"/>
        </w:rPr>
        <w:t xml:space="preserve">Benchmarks (Cohen): |d| ≈ 0.2 small, 0.5 medium, 0.8 large [48].</w:t>
      </w:r>
    </w:p>
    <w:p>
      <w:pPr>
        <w:pStyle w:val="Heading2"/>
        <w:spacing w:after="100" w:before="240"/>
      </w:pPr>
      <w:r>
        <w:t xml:space="preserve">S2.7 Non-parametric verification and bootstrap</w:t>
      </w:r>
    </w:p>
    <w:p>
      <w:pPr>
        <w:spacing w:after="40" w:before="120" w:line="300" w:lineRule="auto"/>
        <w:jc w:val="both"/>
      </w:pPr>
      <w:r>
        <w:rPr>
          <w:b/>
          <w:bCs/>
        </w:rPr>
        <w:t xml:space="preserve">Mann–Whitney U. </w:t>
      </w:r>
      <w:r>
        <w:t xml:space="preserve">Rank-sum statistic; R₁ is the sum of ranks in group 1 (the smaller of U₁, U₂ is reported).</w:t>
      </w:r>
    </w:p>
    <w:p>
      <w:pPr>
        <w:spacing w:after="120" w:before="40" w:line="288" w:lineRule="auto"/>
        <w:ind w:left="480"/>
      </w:pPr>
      <w:r>
        <w:rPr>
          <w:rFonts w:ascii="Cambria" w:cs="Cambria" w:eastAsia="Cambria" w:hAnsi="Cambria"/>
          <w:sz w:val="22"/>
          <w:szCs w:val="22"/>
        </w:rPr>
        <w:t xml:space="preserve">U = n₁·n₂ + n₁(n₁ + 1)/2 − R₁</w:t>
      </w:r>
    </w:p>
    <w:p>
      <w:pPr>
        <w:spacing w:after="40" w:before="120" w:line="300" w:lineRule="auto"/>
        <w:jc w:val="both"/>
      </w:pPr>
      <w:r>
        <w:rPr>
          <w:b/>
          <w:bCs/>
        </w:rPr>
        <w:t xml:space="preserve">Rank-biserial correlation. </w:t>
      </w:r>
      <w:r>
        <w:t xml:space="preserve">Effect-size transform of U; r = 1 indicates complete separation.</w:t>
      </w:r>
    </w:p>
    <w:p>
      <w:pPr>
        <w:spacing w:after="120" w:before="40" w:line="288" w:lineRule="auto"/>
        <w:ind w:left="480"/>
      </w:pPr>
      <w:r>
        <w:rPr>
          <w:rFonts w:ascii="Cambria" w:cs="Cambria" w:eastAsia="Cambria" w:hAnsi="Cambria"/>
          <w:sz w:val="22"/>
          <w:szCs w:val="22"/>
        </w:rPr>
        <w:t xml:space="preserve">r = 1 − 2U / (n₁·n₂)</w:t>
      </w:r>
    </w:p>
    <w:p>
      <w:pPr>
        <w:spacing w:after="40" w:before="120" w:line="300" w:lineRule="auto"/>
        <w:jc w:val="both"/>
      </w:pPr>
      <w:r>
        <w:rPr>
          <w:b/>
          <w:bCs/>
        </w:rPr>
        <w:t xml:space="preserve">Percentile bootstrap 95% CI. </w:t>
      </w:r>
      <w:r>
        <w:t xml:space="preserve">For b = 1 … B (B = 10,000) a resample is drawn with replacement and d*_b computed; the interval is the empirical 2.5th–97.5th percentile of the d* distribution.</w:t>
      </w:r>
    </w:p>
    <w:p>
      <w:pPr>
        <w:spacing w:after="120" w:before="40" w:line="288" w:lineRule="auto"/>
        <w:ind w:left="480"/>
      </w:pPr>
      <w:r>
        <w:rPr>
          <w:rFonts w:ascii="Cambria" w:cs="Cambria" w:eastAsia="Cambria" w:hAnsi="Cambria"/>
          <w:sz w:val="22"/>
          <w:szCs w:val="22"/>
        </w:rPr>
        <w:t xml:space="preserve">CI = [ d*₍.₀₂₅₎ ,  d*₍.₉₇₅₎ ]</w:t>
      </w:r>
    </w:p>
    <w:p>
      <w:pPr>
        <w:pStyle w:val="Heading2"/>
        <w:spacing w:after="100" w:before="240"/>
      </w:pPr>
      <w:r>
        <w:t xml:space="preserve">S2.8 Analysis of variance</w:t>
      </w:r>
    </w:p>
    <w:p>
      <w:pPr>
        <w:spacing w:after="40" w:before="120" w:line="300" w:lineRule="auto"/>
        <w:jc w:val="both"/>
      </w:pPr>
      <w:r>
        <w:rPr>
          <w:b/>
          <w:bCs/>
        </w:rPr>
        <w:t xml:space="preserve">Mixed-design F and partial η². </w:t>
      </w:r>
      <w:r>
        <w:t xml:space="preserve">Each term of the 2 (Condition) × 5 (Stage) mixed model is tested by the ratio of effect to error mean squares; partial η² gives the proportion of variance attributable to the term.</w:t>
      </w:r>
    </w:p>
    <w:p>
      <w:pPr>
        <w:spacing w:after="120" w:before="40" w:line="288" w:lineRule="auto"/>
        <w:ind w:left="480"/>
      </w:pPr>
      <w:r>
        <w:rPr>
          <w:rFonts w:ascii="Cambria" w:cs="Cambria" w:eastAsia="Cambria" w:hAnsi="Cambria"/>
          <w:sz w:val="22"/>
          <w:szCs w:val="22"/>
        </w:rPr>
        <w:t xml:space="preserve">F = MS_effect / MS_error ;   ηₚ² = SS_effect / ( SS_effect + SS_error )</w:t>
      </w:r>
    </w:p>
    <w:p>
      <w:pPr>
        <w:pStyle w:val="Heading1"/>
        <w:spacing w:after="140" w:before="300"/>
      </w:pPr>
      <w:r>
        <w:t xml:space="preserve">S3. Expanded confirmatory-factor results</w:t>
      </w:r>
    </w:p>
    <w:p>
      <w:pPr>
        <w:spacing w:after="140" w:line="300" w:lineRule="auto"/>
        <w:jc w:val="both"/>
      </w:pPr>
      <w:r>
        <w:t xml:space="preserve">The main text (§4.2.2) reports the fit-index summary and the decisive collinearity diagnostics. This section gives the full model-comparison statistics (Table S3.1) and consolidates the inter-factor correlation evidence that establishes non-separability (Table S3.2).</w:t>
      </w:r>
    </w:p>
    <w:p>
      <w:pPr>
        <w:spacing w:after="60" w:before="60"/>
      </w:pPr>
      <w:r>
        <w:rPr>
          <w:b/>
          <w:bCs/>
          <w:sz w:val="20"/>
          <w:szCs w:val="20"/>
        </w:rPr>
        <w:t xml:space="preserve">Table S3.1. Confirmatory model comparison (N = 250).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57"/>
        <w:gridCol w:w="776"/>
        <w:gridCol w:w="776"/>
        <w:gridCol w:w="776"/>
        <w:gridCol w:w="906"/>
        <w:gridCol w:w="863"/>
        <w:gridCol w:w="863"/>
        <w:gridCol w:w="2243"/>
      </w:tblGrid>
      <w:tr>
        <w:trPr>
          <w:tblHeader/>
        </w:trPr>
        <w:tc>
          <w:tcPr>
            <w:tcW w:type="dxa" w:w="2157"/>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left"/>
            </w:pPr>
            <w:r>
              <w:rPr>
                <w:b/>
                <w:bCs/>
                <w:color w:val="FFFFFF"/>
                <w:sz w:val="19"/>
                <w:szCs w:val="19"/>
              </w:rPr>
              <w:t xml:space="preserve">Model</w:t>
            </w:r>
          </w:p>
        </w:tc>
        <w:tc>
          <w:tcPr>
            <w:tcW w:type="dxa" w:w="776"/>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center"/>
            </w:pPr>
            <w:r>
              <w:rPr>
                <w:b/>
                <w:bCs/>
                <w:color w:val="FFFFFF"/>
                <w:sz w:val="19"/>
                <w:szCs w:val="19"/>
              </w:rPr>
              <w:t xml:space="preserve">χ²/df</w:t>
            </w:r>
          </w:p>
        </w:tc>
        <w:tc>
          <w:tcPr>
            <w:tcW w:type="dxa" w:w="776"/>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center"/>
            </w:pPr>
            <w:r>
              <w:rPr>
                <w:b/>
                <w:bCs/>
                <w:color w:val="FFFFFF"/>
                <w:sz w:val="19"/>
                <w:szCs w:val="19"/>
              </w:rPr>
              <w:t xml:space="preserve">CFI</w:t>
            </w:r>
          </w:p>
        </w:tc>
        <w:tc>
          <w:tcPr>
            <w:tcW w:type="dxa" w:w="776"/>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center"/>
            </w:pPr>
            <w:r>
              <w:rPr>
                <w:b/>
                <w:bCs/>
                <w:color w:val="FFFFFF"/>
                <w:sz w:val="19"/>
                <w:szCs w:val="19"/>
              </w:rPr>
              <w:t xml:space="preserve">TLI</w:t>
            </w:r>
          </w:p>
        </w:tc>
        <w:tc>
          <w:tcPr>
            <w:tcW w:type="dxa" w:w="906"/>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center"/>
            </w:pPr>
            <w:r>
              <w:rPr>
                <w:b/>
                <w:bCs/>
                <w:color w:val="FFFFFF"/>
                <w:sz w:val="19"/>
                <w:szCs w:val="19"/>
              </w:rPr>
              <w:t xml:space="preserve">RMSEA</w:t>
            </w:r>
          </w:p>
        </w:tc>
        <w:tc>
          <w:tcPr>
            <w:tcW w:type="dxa" w:w="863"/>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center"/>
            </w:pPr>
            <w:r>
              <w:rPr>
                <w:b/>
                <w:bCs/>
                <w:color w:val="FFFFFF"/>
                <w:sz w:val="19"/>
                <w:szCs w:val="19"/>
              </w:rPr>
              <w:t xml:space="preserve">AIC</w:t>
            </w:r>
          </w:p>
        </w:tc>
        <w:tc>
          <w:tcPr>
            <w:tcW w:type="dxa" w:w="863"/>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center"/>
            </w:pPr>
            <w:r>
              <w:rPr>
                <w:b/>
                <w:bCs/>
                <w:color w:val="FFFFFF"/>
                <w:sz w:val="19"/>
                <w:szCs w:val="19"/>
              </w:rPr>
              <w:t xml:space="preserve">BIC</w:t>
            </w:r>
          </w:p>
        </w:tc>
        <w:tc>
          <w:tcPr>
            <w:tcW w:type="dxa" w:w="2243"/>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center"/>
            </w:pPr>
            <w:r>
              <w:rPr>
                <w:b/>
                <w:bCs/>
                <w:color w:val="FFFFFF"/>
                <w:sz w:val="19"/>
                <w:szCs w:val="19"/>
              </w:rPr>
              <w:t xml:space="preserve">Decision</w:t>
            </w:r>
          </w:p>
        </w:tc>
      </w:tr>
      <w:tr>
        <w:tc>
          <w:tcPr>
            <w:tcW w:type="dxa" w:w="2157"/>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Five-factor correlated</w:t>
            </w:r>
          </w:p>
        </w:tc>
        <w:tc>
          <w:tcPr>
            <w:tcW w:type="dxa" w:w="776"/>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1.05</w:t>
            </w:r>
          </w:p>
        </w:tc>
        <w:tc>
          <w:tcPr>
            <w:tcW w:type="dxa" w:w="776"/>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0.991</w:t>
            </w:r>
          </w:p>
        </w:tc>
        <w:tc>
          <w:tcPr>
            <w:tcW w:type="dxa" w:w="776"/>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0.990</w:t>
            </w:r>
          </w:p>
        </w:tc>
        <w:tc>
          <w:tcPr>
            <w:tcW w:type="dxa" w:w="906"/>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0.015</w:t>
            </w:r>
          </w:p>
        </w:tc>
        <w:tc>
          <w:tcPr>
            <w:tcW w:type="dxa" w:w="863"/>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117.8</w:t>
            </w:r>
          </w:p>
        </w:tc>
        <w:tc>
          <w:tcPr>
            <w:tcW w:type="dxa" w:w="863"/>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329.1</w:t>
            </w:r>
          </w:p>
        </w:tc>
        <w:tc>
          <w:tcPr>
            <w:tcW w:type="dxa" w:w="2243"/>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Heywood cases; rejected</w:t>
            </w:r>
          </w:p>
        </w:tc>
      </w:tr>
      <w:tr>
        <w:tc>
          <w:tcPr>
            <w:tcW w:type="dxa" w:w="2157"/>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Unidimensional</w:t>
            </w:r>
          </w:p>
        </w:tc>
        <w:tc>
          <w:tcPr>
            <w:tcW w:type="dxa" w:w="776"/>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1.05</w:t>
            </w:r>
          </w:p>
        </w:tc>
        <w:tc>
          <w:tcPr>
            <w:tcW w:type="dxa" w:w="776"/>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0.992</w:t>
            </w:r>
          </w:p>
        </w:tc>
        <w:tc>
          <w:tcPr>
            <w:tcW w:type="dxa" w:w="776"/>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0.991</w:t>
            </w:r>
          </w:p>
        </w:tc>
        <w:tc>
          <w:tcPr>
            <w:tcW w:type="dxa" w:w="906"/>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0.014</w:t>
            </w:r>
          </w:p>
        </w:tc>
        <w:tc>
          <w:tcPr>
            <w:tcW w:type="dxa" w:w="863"/>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97.7</w:t>
            </w:r>
          </w:p>
        </w:tc>
        <w:tc>
          <w:tcPr>
            <w:tcW w:type="dxa" w:w="863"/>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273.8</w:t>
            </w:r>
          </w:p>
        </w:tc>
        <w:tc>
          <w:tcPr>
            <w:tcW w:type="dxa" w:w="2243"/>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Retained — lowest AIC and BIC</w:t>
            </w:r>
          </w:p>
        </w:tc>
      </w:tr>
      <w:tr>
        <w:tc>
          <w:tcPr>
            <w:tcW w:type="dxa" w:w="2157"/>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Higher-order (1 second-order factor)</w:t>
            </w:r>
          </w:p>
        </w:tc>
        <w:tc>
          <w:tcPr>
            <w:tcW w:type="dxa" w:w="776"/>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1.06</w:t>
            </w:r>
          </w:p>
        </w:tc>
        <w:tc>
          <w:tcPr>
            <w:tcW w:type="dxa" w:w="776"/>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0.990</w:t>
            </w:r>
          </w:p>
        </w:tc>
        <w:tc>
          <w:tcPr>
            <w:tcW w:type="dxa" w:w="776"/>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0.989</w:t>
            </w:r>
          </w:p>
        </w:tc>
        <w:tc>
          <w:tcPr>
            <w:tcW w:type="dxa" w:w="906"/>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0.016</w:t>
            </w:r>
          </w:p>
        </w:tc>
        <w:tc>
          <w:tcPr>
            <w:tcW w:type="dxa" w:w="863"/>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w:t>
            </w:r>
          </w:p>
        </w:tc>
        <w:tc>
          <w:tcPr>
            <w:tcW w:type="dxa" w:w="863"/>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w:t>
            </w:r>
          </w:p>
        </w:tc>
        <w:tc>
          <w:tcPr>
            <w:tcW w:type="dxa" w:w="2243"/>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center"/>
            </w:pPr>
            <w:r>
              <w:rPr>
                <w:b w:val="false"/>
                <w:bCs w:val="false"/>
                <w:color w:val="1A1A1A"/>
                <w:sz w:val="19"/>
                <w:szCs w:val="19"/>
              </w:rPr>
              <w:t xml:space="preserve">Equivalent global fit; not preferred</w:t>
            </w:r>
          </w:p>
        </w:tc>
      </w:tr>
    </w:tbl>
    <w:p>
      <w:pPr>
        <w:spacing w:after="160" w:before="60" w:line="276" w:lineRule="auto"/>
      </w:pPr>
      <w:r>
        <w:rPr>
          <w:b/>
          <w:bCs/>
          <w:i/>
          <w:iCs/>
          <w:color w:val="59636E"/>
          <w:sz w:val="20"/>
          <w:szCs w:val="20"/>
        </w:rPr>
        <w:t xml:space="preserve">Note. </w:t>
      </w:r>
      <w:r>
        <w:rPr>
          <w:i/>
          <w:iCs/>
          <w:color w:val="59636E"/>
          <w:sz w:val="20"/>
          <w:szCs w:val="20"/>
        </w:rPr>
        <w:t xml:space="preserve">All three models clear the Hu and Bentler global thresholds (CFI, TLI ≥ .95; RMSEA ≤ .06; χ²/df &lt; 3.0). The unidimensional model is favoured on both information criteria: ΔAIC = 20.1 and ΔBIC = 55.3 against the five-factor model — very strong evidence on Raftery’s scale [50] — and the five-factor model carries 25 additional free parameters that do not improve fit. Exact χ², degrees of freedom, free-parameter counts, and the higher-order information criteria are contained in the deposited semopy output (§S4.2).</w:t>
      </w:r>
    </w:p>
    <w:p>
      <w:pPr>
        <w:spacing w:after="60" w:before="60"/>
      </w:pPr>
      <w:r>
        <w:rPr>
          <w:b/>
          <w:bCs/>
          <w:sz w:val="20"/>
          <w:szCs w:val="20"/>
        </w:rPr>
        <w:t xml:space="preserve">Table S3.2. Inter-factor correlation diagnostics.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8"/>
        <w:gridCol w:w="3510"/>
        <w:gridCol w:w="3042"/>
      </w:tblGrid>
      <w:tr>
        <w:trPr>
          <w:tblHeader/>
        </w:trPr>
        <w:tc>
          <w:tcPr>
            <w:tcW w:type="dxa" w:w="2808"/>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left"/>
            </w:pPr>
            <w:r>
              <w:rPr>
                <w:b/>
                <w:bCs/>
                <w:color w:val="FFFFFF"/>
                <w:sz w:val="19"/>
                <w:szCs w:val="19"/>
              </w:rPr>
              <w:t xml:space="preserve">Diagnostic</w:t>
            </w:r>
          </w:p>
        </w:tc>
        <w:tc>
          <w:tcPr>
            <w:tcW w:type="dxa" w:w="3510"/>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left"/>
            </w:pPr>
            <w:r>
              <w:rPr>
                <w:b/>
                <w:bCs/>
                <w:color w:val="FFFFFF"/>
                <w:sz w:val="19"/>
                <w:szCs w:val="19"/>
              </w:rPr>
              <w:t xml:space="preserve">Result</w:t>
            </w:r>
          </w:p>
        </w:tc>
        <w:tc>
          <w:tcPr>
            <w:tcW w:type="dxa" w:w="3042"/>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left"/>
            </w:pPr>
            <w:r>
              <w:rPr>
                <w:b/>
                <w:bCs/>
                <w:color w:val="FFFFFF"/>
                <w:sz w:val="19"/>
                <w:szCs w:val="19"/>
              </w:rPr>
              <w:t xml:space="preserve">Implication</w:t>
            </w:r>
          </w:p>
        </w:tc>
      </w:tr>
      <w:tr>
        <w:tc>
          <w:tcPr>
            <w:tcW w:type="dxa" w:w="280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Observed-score subscale intercorrelations</w:t>
            </w:r>
          </w:p>
        </w:tc>
        <w:tc>
          <w:tcPr>
            <w:tcW w:type="dxa" w:w="3510"/>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r = .66–.76, mean ≈ .71 (all p &lt; .001)</w:t>
            </w:r>
          </w:p>
        </w:tc>
        <w:tc>
          <w:tcPr>
            <w:tcW w:type="dxa" w:w="3042"/>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High shared variance among subscales</w:t>
            </w:r>
          </w:p>
        </w:tc>
      </w:tr>
      <w:tr>
        <w:tc>
          <w:tcPr>
            <w:tcW w:type="dxa" w:w="280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Standardised latent inter-factor correlations (five-factor solution)</w:t>
            </w:r>
          </w:p>
        </w:tc>
        <w:tc>
          <w:tcPr>
            <w:tcW w:type="dxa" w:w="3510"/>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6 of 10 exceed 1.00 (Heywood cases); the remaining 4 lie in 0.95–1.00</w:t>
            </w:r>
          </w:p>
        </w:tc>
        <w:tc>
          <w:tcPr>
            <w:tcW w:type="dxa" w:w="3042"/>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Stage factors are not empirically separable</w:t>
            </w:r>
          </w:p>
        </w:tc>
      </w:tr>
      <w:tr>
        <w:tc>
          <w:tcPr>
            <w:tcW w:type="dxa" w:w="280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Unidimensional standardised loadings</w:t>
            </w:r>
          </w:p>
        </w:tc>
        <w:tc>
          <w:tcPr>
            <w:tcW w:type="dxa" w:w="3510"/>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0.44 (Y4) – 0.63 (M4), median 0.55 (all p &lt; .001)</w:t>
            </w:r>
          </w:p>
        </w:tc>
        <w:tc>
          <w:tcPr>
            <w:tcW w:type="dxa" w:w="3042"/>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9"/>
                <w:szCs w:val="19"/>
              </w:rPr>
              <w:t xml:space="preserve">All 25 items retained on a single factor</w:t>
            </w:r>
          </w:p>
        </w:tc>
      </w:tr>
    </w:tbl>
    <w:p>
      <w:pPr>
        <w:spacing w:after="160" w:before="60" w:line="276" w:lineRule="auto"/>
      </w:pPr>
      <w:r>
        <w:rPr>
          <w:b/>
          <w:bCs/>
          <w:i/>
          <w:iCs/>
          <w:color w:val="59636E"/>
          <w:sz w:val="20"/>
          <w:szCs w:val="20"/>
        </w:rPr>
        <w:t xml:space="preserve">Note. </w:t>
      </w:r>
      <w:r>
        <w:rPr>
          <w:i/>
          <w:iCs/>
          <w:color w:val="59636E"/>
          <w:sz w:val="20"/>
          <w:szCs w:val="20"/>
        </w:rPr>
        <w:t xml:space="preserve">A standardised inter-factor correlation above 1.00 is inadmissible for genuinely distinct latent variables; its appearance across six of the ten factor pairs, together with the four remaining pairs above 0.95 and observed-score intercorrelations averaging ≈ .71, indicates that the five theorised stages collapse onto a single embodied-aesthetic-experience construct. The complete numeric matrices (observed-score and standardised latent) are rendered in Figs 7–8 of the main article and deposited as comma-separated files in the repository (§S4.2).</w:t>
      </w:r>
    </w:p>
    <w:p>
      <w:pPr>
        <w:pStyle w:val="Heading1"/>
        <w:spacing w:after="140" w:before="300"/>
      </w:pPr>
      <w:r>
        <w:t xml:space="preserve">S4. Expert validation and deposited materials</w:t>
      </w:r>
    </w:p>
    <w:p>
      <w:pPr>
        <w:pStyle w:val="Heading2"/>
        <w:spacing w:after="100" w:before="240"/>
      </w:pPr>
      <w:r>
        <w:t xml:space="preserve">S4.1 Expert panel: composition, procedure and full commentary</w:t>
      </w:r>
    </w:p>
    <w:p>
      <w:pPr>
        <w:spacing w:after="140" w:line="300" w:lineRule="auto"/>
        <w:jc w:val="both"/>
      </w:pPr>
      <w:r>
        <w:rPr>
          <w:b/>
          <w:bCs/>
        </w:rPr>
        <w:t xml:space="preserve">Panel and indices. </w:t>
      </w:r>
      <w:r>
        <w:t xml:space="preserve">The panel comprised five experts spanning urban architecture and embodied cognition (Expert 1), architectural pedagogy, Indian aesthetics, heritage gaming and instructional design (Experts 2–5, anonymised). Both content-validity indices comfortably exceeded the 0.90 benchmark — S-CVI/Ave = 0.944 for relevance and 0.984 for clarity — and every item reached the excellent band (κ∗ &gt; 0.74): eighteen items attained κ∗ = 1.000 (unanimous endorsement) and seven attained κ∗ = 0.763 (four of five experts). At the subscale level, Yoga-Sthāna drew the highest combined ratings (M relevance = 4.12; M clarity = 4.16) and Anubhava-Śarīra the lowest while still clearing every threshold (M relevance = 3.76; M clarity = 3.80). Computing formulae and bands are in §S2.1; item-level indices appear in Table 2 of the main article.</w:t>
      </w:r>
    </w:p>
    <w:p>
      <w:pPr>
        <w:spacing w:after="140" w:line="300" w:lineRule="auto"/>
        <w:jc w:val="both"/>
      </w:pPr>
      <w:r>
        <w:rPr>
          <w:b/>
          <w:bCs/>
        </w:rPr>
        <w:t xml:space="preserve">Commentary on structure. </w:t>
      </w:r>
      <w:r>
        <w:t xml:space="preserve">Expert 1 endorsed the five-stage progression as logically ordered and empirically defensible. Expert 3 proposed an alternative ordering in which initial desire gives way to wonder before movement, but ultimately judged the present sequence well considered. Expert 2 cautioned against treating the stage boundaries as bright lines, since experiential blending across stages is natural — a caution later borne out by the factor-analytic result.</w:t>
      </w:r>
    </w:p>
    <w:p>
      <w:pPr>
        <w:spacing w:after="140" w:line="300" w:lineRule="auto"/>
        <w:jc w:val="both"/>
      </w:pPr>
      <w:r>
        <w:rPr>
          <w:b/>
          <w:bCs/>
        </w:rPr>
        <w:t xml:space="preserve">Item-level proposals. </w:t>
      </w:r>
      <w:r>
        <w:t xml:space="preserve">Five items attracted specific proposals: K5 (“linger”) read to one expert as contemplative dwelling more characteristic of Yoga-Sthāna than of desire; L5 (“breathing”) was placed by three of five experts in Stage 4 rather than Stage 2; the A3 anchor “Vestibular” was flagged as technically inaccurate for a sense of one’s own smallness, which is proprioceptive and postural; and Y2 (“body schema”) and Y4 (“physical, not just emotional”) were judged overly technical, with Y4 at risk of reinscribing the Cartesian split the scale is designed to transcend.</w:t>
      </w:r>
    </w:p>
    <w:p>
      <w:pPr>
        <w:spacing w:after="140" w:line="300" w:lineRule="auto"/>
        <w:jc w:val="both"/>
      </w:pPr>
      <w:r>
        <w:rPr>
          <w:b/>
          <w:bCs/>
        </w:rPr>
        <w:t xml:space="preserve">Missing channels and stage agreement. </w:t>
      </w:r>
      <w:r>
        <w:t xml:space="preserve">Four channels of embodiment were identified as absent: olfactory cueing, temporal sedimentation, the social or collective body, and deliberate proprioceptive disorientation. Perfect stage agreement across all five experts held on roughly 60% of items — a transparent indication that the stage boundaries are theoretically meaningful but not rigid. These observations are carried forward into the RSS v2 recommendations in Table 8 of the main article.</w:t>
      </w:r>
    </w:p>
    <w:p>
      <w:pPr>
        <w:pStyle w:val="Heading2"/>
        <w:spacing w:after="100" w:before="240"/>
      </w:pPr>
      <w:r>
        <w:t xml:space="preserve">S4.2 Deposited-file manifest</w:t>
      </w:r>
    </w:p>
    <w:p>
      <w:pPr>
        <w:spacing w:after="140" w:line="300" w:lineRule="auto"/>
        <w:jc w:val="both"/>
      </w:pPr>
      <w:r>
        <w:t xml:space="preserve">All data, instruments, protocols and analysis code are openly available in the Open Science Framework repository at </w:t>
      </w:r>
      <w:r>
        <w:rPr>
          <w:color w:val="2E5A87"/>
        </w:rPr>
        <w:t xml:space="preserve">https://osf.io/7gw6s/</w:t>
      </w:r>
      <w:r>
        <w:t xml:space="preserve"> under a Creative Commons Attribution 4.0 licence. Every statistic reported in the article is reproducible from the deposited raw data using the deposited scripts. Table S4.1 lists the deposited materials by category; filenames follow the repository’s organisation, and the live OSF view is the authoritative listing.</w:t>
      </w:r>
    </w:p>
    <w:p>
      <w:pPr>
        <w:spacing w:after="60" w:before="60"/>
      </w:pPr>
      <w:r>
        <w:rPr>
          <w:b/>
          <w:bCs/>
          <w:sz w:val="20"/>
          <w:szCs w:val="20"/>
        </w:rPr>
        <w:t xml:space="preserve">Table S4.1. Manifest of deposited materials.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8"/>
        <w:gridCol w:w="884"/>
        <w:gridCol w:w="5668"/>
      </w:tblGrid>
      <w:tr>
        <w:trPr>
          <w:tblHeader/>
        </w:trPr>
        <w:tc>
          <w:tcPr>
            <w:tcW w:type="dxa" w:w="2808"/>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left"/>
            </w:pPr>
            <w:r>
              <w:rPr>
                <w:b/>
                <w:bCs/>
                <w:color w:val="FFFFFF"/>
                <w:sz w:val="18"/>
                <w:szCs w:val="18"/>
              </w:rPr>
              <w:t xml:space="preserve">Path / file</w:t>
            </w:r>
          </w:p>
        </w:tc>
        <w:tc>
          <w:tcPr>
            <w:tcW w:type="dxa" w:w="884"/>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left"/>
            </w:pPr>
            <w:r>
              <w:rPr>
                <w:b/>
                <w:bCs/>
                <w:color w:val="FFFFFF"/>
                <w:sz w:val="18"/>
                <w:szCs w:val="18"/>
              </w:rPr>
              <w:t xml:space="preserve">Format</w:t>
            </w:r>
          </w:p>
        </w:tc>
        <w:tc>
          <w:tcPr>
            <w:tcW w:type="dxa" w:w="5668"/>
            <w:tcBorders>
              <w:top w:val="single" w:color="BBC6D2" w:sz="2"/>
              <w:left w:val="single" w:color="BBC6D2" w:sz="2"/>
              <w:bottom w:val="single" w:color="BBC6D2" w:sz="2"/>
              <w:right w:val="single" w:color="BBC6D2" w:sz="2"/>
            </w:tcBorders>
            <w:shd w:fill="2E5A87" w:val="clear"/>
            <w:tcMar>
              <w:top w:type="dxa" w:w="60"/>
              <w:left w:type="dxa" w:w="110"/>
              <w:bottom w:type="dxa" w:w="60"/>
              <w:right w:type="dxa" w:w="110"/>
            </w:tcMar>
            <w:vAlign w:val="center"/>
          </w:tcPr>
          <w:p>
            <w:pPr>
              <w:spacing w:after="0" w:line="264" w:lineRule="auto"/>
              <w:jc w:val="left"/>
            </w:pPr>
            <w:r>
              <w:rPr>
                <w:b/>
                <w:bCs/>
                <w:color w:val="FFFFFF"/>
                <w:sz w:val="18"/>
                <w:szCs w:val="18"/>
              </w:rPr>
              <w:t xml:space="preserve">Contents</w:t>
            </w:r>
          </w:p>
        </w:tc>
      </w:tr>
      <w:tr>
        <w:tc>
          <w:tcPr>
            <w:tcW w:type="dxa" w:w="280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/data/raw/rss_stage2_validation.csv</w:t>
            </w:r>
          </w:p>
        </w:tc>
        <w:tc>
          <w:tcPr>
            <w:tcW w:type="dxa" w:w="884"/>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CSV</w:t>
            </w:r>
          </w:p>
        </w:tc>
        <w:tc>
          <w:tcPr>
            <w:tcW w:type="dxa" w:w="566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Item-level responses, validation sample (N = 250, 5-point), with the prior-heritage-visit covariate.</w:t>
            </w:r>
          </w:p>
        </w:tc>
      </w:tr>
      <w:tr>
        <w:tc>
          <w:tcPr>
            <w:tcW w:type="dxa" w:w="280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/data/raw/rss_stage3_application.csv</w:t>
            </w:r>
          </w:p>
        </w:tc>
        <w:tc>
          <w:tcPr>
            <w:tcW w:type="dxa" w:w="884"/>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CSV</w:t>
            </w:r>
          </w:p>
        </w:tc>
        <w:tc>
          <w:tcPr>
            <w:tcW w:type="dxa" w:w="566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Item-level responses, application sample (N = 100, 7-point), with condition labels and randomisation-block identifiers.</w:t>
            </w:r>
          </w:p>
        </w:tc>
      </w:tr>
      <w:tr>
        <w:tc>
          <w:tcPr>
            <w:tcW w:type="dxa" w:w="280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/data/raw/expert_content_ratings.csv</w:t>
            </w:r>
          </w:p>
        </w:tc>
        <w:tc>
          <w:tcPr>
            <w:tcW w:type="dxa" w:w="884"/>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CSV</w:t>
            </w:r>
          </w:p>
        </w:tc>
        <w:tc>
          <w:tcPr>
            <w:tcW w:type="dxa" w:w="566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Five-expert relevance and clarity ratings, stage assignments and free-text comments.</w:t>
            </w:r>
          </w:p>
        </w:tc>
      </w:tr>
      <w:tr>
        <w:tc>
          <w:tcPr>
            <w:tcW w:type="dxa" w:w="280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/data/processed/rss_scores.csv</w:t>
            </w:r>
          </w:p>
        </w:tc>
        <w:tc>
          <w:tcPr>
            <w:tcW w:type="dxa" w:w="884"/>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CSV</w:t>
            </w:r>
          </w:p>
        </w:tc>
        <w:tc>
          <w:tcPr>
            <w:tcW w:type="dxa" w:w="566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Derived subscale and composite scores for both samples.</w:t>
            </w:r>
          </w:p>
        </w:tc>
      </w:tr>
      <w:tr>
        <w:tc>
          <w:tcPr>
            <w:tcW w:type="dxa" w:w="280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/codebook/RSS_codebook.xlsx</w:t>
            </w:r>
          </w:p>
        </w:tc>
        <w:tc>
          <w:tcPr>
            <w:tcW w:type="dxa" w:w="884"/>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XLSX</w:t>
            </w:r>
          </w:p>
        </w:tc>
        <w:tc>
          <w:tcPr>
            <w:tcW w:type="dxa" w:w="566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Variable names, full item text, response coding and somatic anchors.</w:t>
            </w:r>
          </w:p>
        </w:tc>
      </w:tr>
      <w:tr>
        <w:tc>
          <w:tcPr>
            <w:tcW w:type="dxa" w:w="280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/instrument/RSS_5point_validation.pdf</w:t>
            </w:r>
          </w:p>
        </w:tc>
        <w:tc>
          <w:tcPr>
            <w:tcW w:type="dxa" w:w="884"/>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PDF</w:t>
            </w:r>
          </w:p>
        </w:tc>
        <w:tc>
          <w:tcPr>
            <w:tcW w:type="dxa" w:w="566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The 25-item instrument and 5-point administration form (Stage 2).</w:t>
            </w:r>
          </w:p>
        </w:tc>
      </w:tr>
      <w:tr>
        <w:tc>
          <w:tcPr>
            <w:tcW w:type="dxa" w:w="280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/instrument/RSS_7point_application.pdf</w:t>
            </w:r>
          </w:p>
        </w:tc>
        <w:tc>
          <w:tcPr>
            <w:tcW w:type="dxa" w:w="884"/>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PDF</w:t>
            </w:r>
          </w:p>
        </w:tc>
        <w:tc>
          <w:tcPr>
            <w:tcW w:type="dxa" w:w="566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The 25-item instrument and 7-point administration form (Stage 3).</w:t>
            </w:r>
          </w:p>
        </w:tc>
      </w:tr>
      <w:tr>
        <w:tc>
          <w:tcPr>
            <w:tcW w:type="dxa" w:w="280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/protocols/administration_protocols.pdf</w:t>
            </w:r>
          </w:p>
        </w:tc>
        <w:tc>
          <w:tcPr>
            <w:tcW w:type="dxa" w:w="884"/>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PDF</w:t>
            </w:r>
          </w:p>
        </w:tc>
        <w:tc>
          <w:tcPr>
            <w:tcW w:type="dxa" w:w="566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Full three-stage administration protocol (corresponds to §S1).</w:t>
            </w:r>
          </w:p>
        </w:tc>
      </w:tr>
      <w:tr>
        <w:tc>
          <w:tcPr>
            <w:tcW w:type="dxa" w:w="280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/scripts/01_reliability.py</w:t>
            </w:r>
          </w:p>
        </w:tc>
        <w:tc>
          <w:tcPr>
            <w:tcW w:type="dxa" w:w="884"/>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Python</w:t>
            </w:r>
          </w:p>
        </w:tc>
        <w:tc>
          <w:tcPr>
            <w:tcW w:type="dxa" w:w="566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Cronbach’s α, Feldt–Woodruff confidence intervals, corrected item–total correlations.</w:t>
            </w:r>
          </w:p>
        </w:tc>
      </w:tr>
      <w:tr>
        <w:tc>
          <w:tcPr>
            <w:tcW w:type="dxa" w:w="280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/scripts/02_cfa_semopy.py</w:t>
            </w:r>
          </w:p>
        </w:tc>
        <w:tc>
          <w:tcPr>
            <w:tcW w:type="dxa" w:w="884"/>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Python</w:t>
            </w:r>
          </w:p>
        </w:tc>
        <w:tc>
          <w:tcPr>
            <w:tcW w:type="dxa" w:w="566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Three-model confirmatory factor analysis, fit indices, AIC/BIC, inter-factor correlation matrix.</w:t>
            </w:r>
          </w:p>
        </w:tc>
      </w:tr>
      <w:tr>
        <w:tc>
          <w:tcPr>
            <w:tcW w:type="dxa" w:w="280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/scripts/03_known_groups.py</w:t>
            </w:r>
          </w:p>
        </w:tc>
        <w:tc>
          <w:tcPr>
            <w:tcW w:type="dxa" w:w="884"/>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Python</w:t>
            </w:r>
          </w:p>
        </w:tc>
        <w:tc>
          <w:tcPr>
            <w:tcW w:type="dxa" w:w="566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Welch’s t, Cohen’s d, Mann–Whitney U, rank-biserial r, bootstrap confidence intervals.</w:t>
            </w:r>
          </w:p>
        </w:tc>
      </w:tr>
      <w:tr>
        <w:tc>
          <w:tcPr>
            <w:tcW w:type="dxa" w:w="280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/scripts/04_application_analysis.py</w:t>
            </w:r>
          </w:p>
        </w:tc>
        <w:tc>
          <w:tcPr>
            <w:tcW w:type="dxa" w:w="884"/>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Python</w:t>
            </w:r>
          </w:p>
        </w:tc>
        <w:tc>
          <w:tcPr>
            <w:tcW w:type="dxa" w:w="566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Welch’s t, 2 × 5 mixed ANOVA, item-level tests.</w:t>
            </w:r>
          </w:p>
        </w:tc>
      </w:tr>
      <w:tr>
        <w:tc>
          <w:tcPr>
            <w:tcW w:type="dxa" w:w="280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/scripts/05_figures.py</w:t>
            </w:r>
          </w:p>
        </w:tc>
        <w:tc>
          <w:tcPr>
            <w:tcW w:type="dxa" w:w="884"/>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Python</w:t>
            </w:r>
          </w:p>
        </w:tc>
        <w:tc>
          <w:tcPr>
            <w:tcW w:type="dxa" w:w="566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Generation of Figures 1 and 5–11.</w:t>
            </w:r>
          </w:p>
        </w:tc>
      </w:tr>
      <w:tr>
        <w:tc>
          <w:tcPr>
            <w:tcW w:type="dxa" w:w="280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/formulae/estimator_compendium.pdf</w:t>
            </w:r>
          </w:p>
        </w:tc>
        <w:tc>
          <w:tcPr>
            <w:tcW w:type="dxa" w:w="884"/>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PDF</w:t>
            </w:r>
          </w:p>
        </w:tc>
        <w:tc>
          <w:tcPr>
            <w:tcW w:type="dxa" w:w="566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Estimator definitions (corresponds to §S2).</w:t>
            </w:r>
          </w:p>
        </w:tc>
      </w:tr>
      <w:tr>
        <w:tc>
          <w:tcPr>
            <w:tcW w:type="dxa" w:w="280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/README.md</w:t>
            </w:r>
          </w:p>
        </w:tc>
        <w:tc>
          <w:tcPr>
            <w:tcW w:type="dxa" w:w="884"/>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Markdown</w:t>
            </w:r>
          </w:p>
        </w:tc>
        <w:tc>
          <w:tcPr>
            <w:tcW w:type="dxa" w:w="5668"/>
            <w:tcBorders>
              <w:top w:val="single" w:color="BBC6D2" w:sz="2"/>
              <w:left w:val="single" w:color="BBC6D2" w:sz="2"/>
              <w:bottom w:val="single" w:color="BBC6D2" w:sz="2"/>
              <w:right w:val="single" w:color="BBC6D2" w:sz="2"/>
            </w:tcBorders>
            <w:shd w:fill="FFFFFF"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Repository overview, script run order, and the computing environment (Python and semopy versions).</w:t>
            </w:r>
          </w:p>
        </w:tc>
      </w:tr>
      <w:tr>
        <w:tc>
          <w:tcPr>
            <w:tcW w:type="dxa" w:w="280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/LICENSE</w:t>
            </w:r>
          </w:p>
        </w:tc>
        <w:tc>
          <w:tcPr>
            <w:tcW w:type="dxa" w:w="884"/>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Text</w:t>
            </w:r>
          </w:p>
        </w:tc>
        <w:tc>
          <w:tcPr>
            <w:tcW w:type="dxa" w:w="5668"/>
            <w:tcBorders>
              <w:top w:val="single" w:color="BBC6D2" w:sz="2"/>
              <w:left w:val="single" w:color="BBC6D2" w:sz="2"/>
              <w:bottom w:val="single" w:color="BBC6D2" w:sz="2"/>
              <w:right w:val="single" w:color="BBC6D2" w:sz="2"/>
            </w:tcBorders>
            <w:shd w:fill="F5F8FB" w:val="clear"/>
            <w:tcMar>
              <w:top w:type="dxa" w:w="60"/>
              <w:left w:type="dxa" w:w="110"/>
              <w:bottom w:type="dxa" w:w="60"/>
              <w:right w:type="dxa" w:w="110"/>
            </w:tcMar>
            <w:vAlign w:val="center"/>
          </w:tcPr>
          <w:p>
            <w:pPr>
              <w:spacing w:after="0" w:line="264" w:lineRule="auto"/>
              <w:jc w:val="left"/>
            </w:pPr>
            <w:r>
              <w:rPr>
                <w:b w:val="false"/>
                <w:bCs w:val="false"/>
                <w:color w:val="1A1A1A"/>
                <w:sz w:val="18"/>
                <w:szCs w:val="18"/>
              </w:rPr>
              <w:t xml:space="preserve">Creative Commons Attribution 4.0 International licence.</w:t>
            </w:r>
          </w:p>
        </w:tc>
      </w:tr>
    </w:tbl>
    <w:p>
      <w:pPr>
        <w:spacing w:after="160" w:before="60" w:line="276" w:lineRule="auto"/>
      </w:pPr>
      <w:r>
        <w:rPr>
          <w:b/>
          <w:bCs/>
          <w:i/>
          <w:iCs/>
          <w:color w:val="59636E"/>
          <w:sz w:val="20"/>
          <w:szCs w:val="20"/>
        </w:rPr>
        <w:t xml:space="preserve">Note. </w:t>
      </w:r>
      <w:r>
        <w:rPr>
          <w:i/>
          <w:iCs/>
          <w:color w:val="59636E"/>
          <w:sz w:val="20"/>
          <w:szCs w:val="20"/>
        </w:rPr>
        <w:t xml:space="preserve">The repository deposit is anonymised for peer review; the view-only link in the article’s data-availability statement resolves to the same contents.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636E"/>
        <w:sz w:val="18"/>
        <w:szCs w:val="18"/>
      </w:rPr>
      <w:t xml:space="preserve">S</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7D6E5" w:sz="4" w:space="4"/>
      </w:pBdr>
      <w:spacing w:after="140" w:before="300"/>
      <w:outlineLvl w:val="0"/>
    </w:pPr>
    <w:rPr>
      <w:rFonts w:ascii="Arial" w:cs="Arial" w:eastAsia="Arial" w:hAnsi="Arial"/>
      <w:b/>
      <w:bCs/>
      <w:color w:val="2E5A87"/>
      <w:sz w:val="30"/>
      <w:szCs w:val="30"/>
    </w:rPr>
  </w:style>
  <w:style w:type="paragraph" w:styleId="Heading2">
    <w:name w:val="Heading 2"/>
    <w:basedOn w:val="Normal"/>
    <w:next w:val="Normal"/>
    <w:qFormat/>
    <w:pPr>
      <w:spacing w:after="100" w:before="240"/>
      <w:outlineLvl w:val="1"/>
    </w:pPr>
    <w:rPr>
      <w:rFonts w:ascii="Arial" w:cs="Arial" w:eastAsia="Arial" w:hAnsi="Arial"/>
      <w:b/>
      <w:bCs/>
      <w:color w:val="21456B"/>
      <w:sz w:val="24"/>
      <w:szCs w:val="24"/>
    </w:rPr>
  </w:style>
  <w:style w:type="paragraph" w:styleId="Heading3">
    <w:name w:val="Heading 3"/>
    <w:basedOn w:val="Normal"/>
    <w:next w:val="Normal"/>
    <w:qFormat/>
    <w:pPr>
      <w:spacing w:after="80" w:before="180"/>
      <w:outlineLvl w:val="2"/>
    </w:pPr>
    <w:rPr>
      <w:rFonts w:ascii="Arial" w:cs="Arial" w:eastAsia="Arial" w:hAnsi="Arial"/>
      <w:b/>
      <w:bCs/>
      <w:color w:val="33475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2026-06-28T18:24:56.801Z</dcterms:created>
  <dcterms:modified xsi:type="dcterms:W3CDTF">2026-06-28T18:24:56.801Z</dcterms:modified>
</cp:coreProperties>
</file>

<file path=docProps/custom.xml><?xml version="1.0" encoding="utf-8"?>
<Properties xmlns="http://schemas.openxmlformats.org/officeDocument/2006/custom-properties" xmlns:vt="http://schemas.openxmlformats.org/officeDocument/2006/docPropsVTypes"/>
</file>