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DFB8" w14:textId="77777777" w:rsidR="00EF6474" w:rsidRPr="00215E12" w:rsidRDefault="00EF6474" w:rsidP="00215E12">
      <w:pPr>
        <w:spacing w:line="480" w:lineRule="auto"/>
        <w:rPr>
          <w:rFonts w:ascii="Times New Roman" w:hAnsi="Times New Roman" w:cs="Times New Roman"/>
          <w:b/>
          <w:bCs/>
          <w:sz w:val="24"/>
          <w:szCs w:val="28"/>
        </w:rPr>
      </w:pPr>
      <w:r w:rsidRPr="00215E12">
        <w:rPr>
          <w:rFonts w:ascii="Times New Roman" w:hAnsi="Times New Roman" w:cs="Times New Roman"/>
          <w:b/>
          <w:bCs/>
          <w:sz w:val="24"/>
          <w:szCs w:val="28"/>
        </w:rPr>
        <w:t>1. Supplemental Methods</w:t>
      </w:r>
    </w:p>
    <w:p w14:paraId="620E5435" w14:textId="3B398008"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w:t>
      </w:r>
      <w:r w:rsidR="00E45474" w:rsidRPr="00215E12">
        <w:rPr>
          <w:rFonts w:ascii="Times New Roman" w:hAnsi="Times New Roman" w:cs="Times New Roman"/>
          <w:b/>
          <w:bCs/>
          <w:sz w:val="24"/>
          <w:szCs w:val="24"/>
        </w:rPr>
        <w:t>1 Cell Culture</w:t>
      </w:r>
      <w:r w:rsidR="00E45474" w:rsidRPr="00215E12">
        <w:rPr>
          <w:rFonts w:ascii="Times New Roman" w:hAnsi="Times New Roman" w:cs="Times New Roman"/>
          <w:sz w:val="24"/>
          <w:szCs w:val="24"/>
        </w:rPr>
        <w:t xml:space="preserve"> The human hepatocyte line (Huh7) and mouse hepatocyte line (AML12) used in this project were provided by the Liver Disease Center Laboratory of the Third Affiliated Hospital of Sun Yat-sen University. They were cultured in complete medium containing DMEM (Gibco, USA) + 10% fetal bovine serum (Gibco, USA). These cells were cultured in a constant temperature incubator at 37°C. Huh7 and AML12 cells in the logarithmic growth phase were induced with acetaminophen (APAP, 10 mM/20 mM) for 24 hours for subsequent experiments.</w:t>
      </w:r>
    </w:p>
    <w:p w14:paraId="5AC15037" w14:textId="77777777" w:rsidR="00E45474" w:rsidRPr="00215E12" w:rsidRDefault="00E45474" w:rsidP="00215E12">
      <w:pPr>
        <w:spacing w:line="480" w:lineRule="auto"/>
        <w:rPr>
          <w:rFonts w:ascii="Times New Roman" w:hAnsi="Times New Roman" w:cs="Times New Roman"/>
          <w:sz w:val="24"/>
          <w:szCs w:val="24"/>
        </w:rPr>
      </w:pPr>
      <w:r w:rsidRPr="00215E12">
        <w:rPr>
          <w:rFonts w:ascii="Times New Roman" w:hAnsi="Times New Roman" w:cs="Times New Roman"/>
          <w:sz w:val="24"/>
          <w:szCs w:val="24"/>
        </w:rPr>
        <w:t>The umbilical cord mesenchymal stem cells used in this project were obtained by the tissue block attachment method. Sterile umbilical cord tissues from normal full-term pregnancies were collected during cesarean sections, washed with PBS, and treated with 1% penicillin/streptomycin (P/S, Invitrogen, USA), after which the amniotic membrane and umbilical arteries/veins were removed. The umbilical cord Wharton's jelly was cut into small pieces with 3-5 mm side lengths, placed in 10 cm culture dishes, and the mesenchymal stem cell culture medium (NC0103.S, Yocon, China) was changed every 3-5 days. After 12-14 days, the adherent cells were digested and collected, and cultured using mesenchymal stem cell culture medium (NC0105.S, Yocon,China).</w:t>
      </w:r>
    </w:p>
    <w:p w14:paraId="452F3B73" w14:textId="1C5B4063"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1.2</w:t>
      </w:r>
      <w:r w:rsidR="00E45474" w:rsidRPr="00215E12">
        <w:rPr>
          <w:rFonts w:ascii="Times New Roman" w:hAnsi="Times New Roman" w:cs="Times New Roman"/>
          <w:b/>
          <w:bCs/>
          <w:sz w:val="24"/>
          <w:szCs w:val="24"/>
        </w:rPr>
        <w:t xml:space="preserve"> Cell Transfection</w:t>
      </w:r>
      <w:r w:rsidR="00E45474" w:rsidRPr="00215E12">
        <w:rPr>
          <w:rFonts w:ascii="Times New Roman" w:hAnsi="Times New Roman" w:cs="Times New Roman"/>
          <w:sz w:val="24"/>
          <w:szCs w:val="24"/>
        </w:rPr>
        <w:t xml:space="preserve"> Huh7 or AML12 cells (2×10^5/mL) were seeded into the wells of 6-well plates. Using Lipofectamine™ 3000 transfection reagent (L3000-015, ThermoFisher, USA) in Opti-MEM medium, cells were transfected with si-NLRC5 and si- NLRC5-NC (40 nM, 10 pmol/mL). The oligonucleotides used in this study were </w:t>
      </w:r>
      <w:r w:rsidR="00E45474" w:rsidRPr="00215E12">
        <w:rPr>
          <w:rFonts w:ascii="Times New Roman" w:hAnsi="Times New Roman" w:cs="Times New Roman"/>
          <w:sz w:val="24"/>
          <w:szCs w:val="24"/>
        </w:rPr>
        <w:lastRenderedPageBreak/>
        <w:t>synthesized by Sangon Biotech (Shanghai, China)  and are listed in Table 1. Forty-eight hours after transfection, cells were collected for quantitative real-time polymerase chain reaction (RT-qPCR) or protein analysis and subsequent experiments.</w:t>
      </w:r>
    </w:p>
    <w:tbl>
      <w:tblPr>
        <w:tblW w:w="8231" w:type="dxa"/>
        <w:tblLook w:val="04A0" w:firstRow="1" w:lastRow="0" w:firstColumn="1" w:lastColumn="0" w:noHBand="0" w:noVBand="1"/>
      </w:tblPr>
      <w:tblGrid>
        <w:gridCol w:w="1884"/>
        <w:gridCol w:w="1650"/>
        <w:gridCol w:w="4762"/>
      </w:tblGrid>
      <w:tr w:rsidR="00E45474" w:rsidRPr="00215E12" w14:paraId="70B5B9D1" w14:textId="77777777" w:rsidTr="0069599A">
        <w:trPr>
          <w:trHeight w:val="319"/>
        </w:trPr>
        <w:tc>
          <w:tcPr>
            <w:tcW w:w="1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89314" w14:textId="77777777" w:rsidR="00E45474" w:rsidRPr="00215E12" w:rsidRDefault="00E45474" w:rsidP="00215E12">
            <w:pPr>
              <w:widowControl/>
              <w:spacing w:line="480" w:lineRule="auto"/>
              <w:jc w:val="center"/>
              <w:rPr>
                <w:rFonts w:ascii="Times New Roman" w:eastAsia="等线" w:hAnsi="Times New Roman" w:cs="Times New Roman"/>
                <w:b/>
                <w:bCs/>
                <w:color w:val="000000"/>
                <w:kern w:val="0"/>
                <w:sz w:val="24"/>
                <w:szCs w:val="24"/>
                <w14:ligatures w14:val="none"/>
              </w:rPr>
            </w:pPr>
            <w:r w:rsidRPr="00215E12">
              <w:rPr>
                <w:rFonts w:ascii="Times New Roman" w:eastAsia="等线" w:hAnsi="Times New Roman" w:cs="Times New Roman"/>
                <w:b/>
                <w:bCs/>
                <w:color w:val="000000"/>
                <w:kern w:val="0"/>
                <w:sz w:val="24"/>
                <w:szCs w:val="24"/>
                <w14:ligatures w14:val="none"/>
              </w:rPr>
              <w:t>Genes</w:t>
            </w:r>
          </w:p>
        </w:tc>
        <w:tc>
          <w:tcPr>
            <w:tcW w:w="1734" w:type="dxa"/>
            <w:tcBorders>
              <w:top w:val="single" w:sz="4" w:space="0" w:color="auto"/>
              <w:left w:val="nil"/>
              <w:bottom w:val="single" w:sz="4" w:space="0" w:color="auto"/>
              <w:right w:val="single" w:sz="4" w:space="0" w:color="auto"/>
            </w:tcBorders>
            <w:shd w:val="clear" w:color="auto" w:fill="auto"/>
            <w:noWrap/>
            <w:vAlign w:val="center"/>
            <w:hideMark/>
          </w:tcPr>
          <w:p w14:paraId="23FF3A1D" w14:textId="77777777" w:rsidR="00E45474" w:rsidRPr="00215E12" w:rsidRDefault="00E45474" w:rsidP="00215E12">
            <w:pPr>
              <w:widowControl/>
              <w:spacing w:line="480" w:lineRule="auto"/>
              <w:jc w:val="center"/>
              <w:rPr>
                <w:rFonts w:ascii="Times New Roman" w:eastAsia="等线" w:hAnsi="Times New Roman" w:cs="Times New Roman"/>
                <w:b/>
                <w:bCs/>
                <w:color w:val="000000"/>
                <w:kern w:val="0"/>
                <w:sz w:val="24"/>
                <w:szCs w:val="24"/>
                <w14:ligatures w14:val="none"/>
              </w:rPr>
            </w:pPr>
            <w:r w:rsidRPr="00215E12">
              <w:rPr>
                <w:rFonts w:ascii="Times New Roman" w:eastAsia="等线" w:hAnsi="Times New Roman" w:cs="Times New Roman"/>
                <w:b/>
                <w:bCs/>
                <w:color w:val="000000"/>
                <w:kern w:val="0"/>
                <w:sz w:val="24"/>
                <w:szCs w:val="24"/>
                <w14:ligatures w14:val="none"/>
              </w:rPr>
              <w:t>siRNA names</w:t>
            </w:r>
          </w:p>
        </w:tc>
        <w:tc>
          <w:tcPr>
            <w:tcW w:w="4515" w:type="dxa"/>
            <w:tcBorders>
              <w:top w:val="single" w:sz="4" w:space="0" w:color="auto"/>
              <w:left w:val="nil"/>
              <w:bottom w:val="single" w:sz="4" w:space="0" w:color="auto"/>
              <w:right w:val="single" w:sz="4" w:space="0" w:color="auto"/>
            </w:tcBorders>
            <w:shd w:val="clear" w:color="auto" w:fill="auto"/>
            <w:noWrap/>
            <w:vAlign w:val="center"/>
            <w:hideMark/>
          </w:tcPr>
          <w:p w14:paraId="116527D4" w14:textId="77777777" w:rsidR="00E45474" w:rsidRPr="00215E12" w:rsidRDefault="00E45474" w:rsidP="00215E12">
            <w:pPr>
              <w:widowControl/>
              <w:spacing w:line="480" w:lineRule="auto"/>
              <w:jc w:val="center"/>
              <w:rPr>
                <w:rFonts w:ascii="Times New Roman" w:eastAsia="等线" w:hAnsi="Times New Roman" w:cs="Times New Roman"/>
                <w:b/>
                <w:bCs/>
                <w:color w:val="000000"/>
                <w:kern w:val="0"/>
                <w:sz w:val="24"/>
                <w:szCs w:val="24"/>
                <w14:ligatures w14:val="none"/>
              </w:rPr>
            </w:pPr>
            <w:r w:rsidRPr="00215E12">
              <w:rPr>
                <w:rFonts w:ascii="Times New Roman" w:eastAsia="等线" w:hAnsi="Times New Roman" w:cs="Times New Roman"/>
                <w:b/>
                <w:bCs/>
                <w:color w:val="000000"/>
                <w:kern w:val="0"/>
                <w:sz w:val="24"/>
                <w:szCs w:val="24"/>
                <w14:ligatures w14:val="none"/>
              </w:rPr>
              <w:t>Sequence (5'-3')</w:t>
            </w:r>
          </w:p>
        </w:tc>
      </w:tr>
      <w:tr w:rsidR="00E45474" w:rsidRPr="00215E12" w14:paraId="6F612E86" w14:textId="77777777" w:rsidTr="0069599A">
        <w:trPr>
          <w:trHeight w:val="329"/>
        </w:trPr>
        <w:tc>
          <w:tcPr>
            <w:tcW w:w="198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A683E9"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human-NLRC5</w:t>
            </w:r>
          </w:p>
        </w:tc>
        <w:tc>
          <w:tcPr>
            <w:tcW w:w="1734" w:type="dxa"/>
            <w:tcBorders>
              <w:top w:val="nil"/>
              <w:left w:val="nil"/>
              <w:bottom w:val="single" w:sz="4" w:space="0" w:color="auto"/>
              <w:right w:val="single" w:sz="4" w:space="0" w:color="auto"/>
            </w:tcBorders>
            <w:shd w:val="clear" w:color="auto" w:fill="auto"/>
            <w:noWrap/>
            <w:vAlign w:val="center"/>
            <w:hideMark/>
          </w:tcPr>
          <w:p w14:paraId="3D1F3439"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si-hNLRC5-1</w:t>
            </w:r>
          </w:p>
        </w:tc>
        <w:tc>
          <w:tcPr>
            <w:tcW w:w="4515" w:type="dxa"/>
            <w:tcBorders>
              <w:top w:val="nil"/>
              <w:left w:val="nil"/>
              <w:bottom w:val="single" w:sz="4" w:space="0" w:color="auto"/>
              <w:right w:val="single" w:sz="4" w:space="0" w:color="auto"/>
            </w:tcBorders>
            <w:shd w:val="clear" w:color="auto" w:fill="auto"/>
            <w:noWrap/>
            <w:vAlign w:val="bottom"/>
            <w:hideMark/>
          </w:tcPr>
          <w:p w14:paraId="7123397C" w14:textId="77777777" w:rsidR="00E45474" w:rsidRPr="00215E12" w:rsidRDefault="00E45474" w:rsidP="00215E12">
            <w:pPr>
              <w:widowControl/>
              <w:spacing w:line="480" w:lineRule="auto"/>
              <w:jc w:val="left"/>
              <w:rPr>
                <w:rFonts w:ascii="Times New Roman" w:eastAsia="等线" w:hAnsi="Times New Roman" w:cs="Times New Roman"/>
                <w:color w:val="1B1B1B"/>
                <w:kern w:val="0"/>
                <w:sz w:val="24"/>
                <w:szCs w:val="24"/>
                <w14:ligatures w14:val="none"/>
              </w:rPr>
            </w:pPr>
            <w:r w:rsidRPr="00215E12">
              <w:rPr>
                <w:rFonts w:ascii="Times New Roman" w:eastAsia="等线" w:hAnsi="Times New Roman" w:cs="Times New Roman"/>
                <w:color w:val="1B1B1B"/>
                <w:kern w:val="0"/>
                <w:sz w:val="24"/>
                <w:szCs w:val="24"/>
                <w14:ligatures w14:val="none"/>
              </w:rPr>
              <w:t>GGGACUGAGAGCUUUGUAUdTdT</w:t>
            </w:r>
          </w:p>
        </w:tc>
      </w:tr>
      <w:tr w:rsidR="00E45474" w:rsidRPr="00215E12" w14:paraId="78C00061" w14:textId="77777777" w:rsidTr="0069599A">
        <w:trPr>
          <w:trHeight w:val="329"/>
        </w:trPr>
        <w:tc>
          <w:tcPr>
            <w:tcW w:w="1982" w:type="dxa"/>
            <w:vMerge/>
            <w:tcBorders>
              <w:top w:val="nil"/>
              <w:left w:val="single" w:sz="4" w:space="0" w:color="auto"/>
              <w:bottom w:val="single" w:sz="4" w:space="0" w:color="auto"/>
              <w:right w:val="single" w:sz="4" w:space="0" w:color="auto"/>
            </w:tcBorders>
            <w:vAlign w:val="center"/>
            <w:hideMark/>
          </w:tcPr>
          <w:p w14:paraId="7E42BAD8"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p>
        </w:tc>
        <w:tc>
          <w:tcPr>
            <w:tcW w:w="1734" w:type="dxa"/>
            <w:tcBorders>
              <w:top w:val="nil"/>
              <w:left w:val="nil"/>
              <w:bottom w:val="single" w:sz="4" w:space="0" w:color="auto"/>
              <w:right w:val="single" w:sz="4" w:space="0" w:color="auto"/>
            </w:tcBorders>
            <w:shd w:val="clear" w:color="auto" w:fill="auto"/>
            <w:noWrap/>
            <w:vAlign w:val="center"/>
            <w:hideMark/>
          </w:tcPr>
          <w:p w14:paraId="6106ED86"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si-hNLRC5-2</w:t>
            </w:r>
          </w:p>
        </w:tc>
        <w:tc>
          <w:tcPr>
            <w:tcW w:w="4515" w:type="dxa"/>
            <w:tcBorders>
              <w:top w:val="nil"/>
              <w:left w:val="nil"/>
              <w:bottom w:val="single" w:sz="4" w:space="0" w:color="auto"/>
              <w:right w:val="single" w:sz="4" w:space="0" w:color="auto"/>
            </w:tcBorders>
            <w:shd w:val="clear" w:color="auto" w:fill="auto"/>
            <w:noWrap/>
            <w:vAlign w:val="bottom"/>
            <w:hideMark/>
          </w:tcPr>
          <w:p w14:paraId="61D30DA9" w14:textId="77777777" w:rsidR="00E45474" w:rsidRPr="00215E12" w:rsidRDefault="00E45474" w:rsidP="00215E12">
            <w:pPr>
              <w:widowControl/>
              <w:spacing w:line="480" w:lineRule="auto"/>
              <w:jc w:val="left"/>
              <w:rPr>
                <w:rFonts w:ascii="Times New Roman" w:eastAsia="等线" w:hAnsi="Times New Roman" w:cs="Times New Roman"/>
                <w:color w:val="1F1F1F"/>
                <w:kern w:val="0"/>
                <w:sz w:val="24"/>
                <w:szCs w:val="24"/>
                <w14:ligatures w14:val="none"/>
              </w:rPr>
            </w:pPr>
            <w:r w:rsidRPr="00215E12">
              <w:rPr>
                <w:rFonts w:ascii="Times New Roman" w:eastAsia="等线" w:hAnsi="Times New Roman" w:cs="Times New Roman"/>
                <w:color w:val="1F1F1F"/>
                <w:kern w:val="0"/>
                <w:sz w:val="24"/>
                <w:szCs w:val="24"/>
                <w14:ligatures w14:val="none"/>
              </w:rPr>
              <w:t>AAGAACGAGAGACUCUGCCAACUGCdTdT</w:t>
            </w:r>
          </w:p>
        </w:tc>
      </w:tr>
      <w:tr w:rsidR="00E45474" w:rsidRPr="00215E12" w14:paraId="67B04F39" w14:textId="77777777" w:rsidTr="0069599A">
        <w:trPr>
          <w:trHeight w:val="329"/>
        </w:trPr>
        <w:tc>
          <w:tcPr>
            <w:tcW w:w="1982" w:type="dxa"/>
            <w:vMerge/>
            <w:tcBorders>
              <w:top w:val="nil"/>
              <w:left w:val="single" w:sz="4" w:space="0" w:color="auto"/>
              <w:bottom w:val="single" w:sz="4" w:space="0" w:color="auto"/>
              <w:right w:val="single" w:sz="4" w:space="0" w:color="auto"/>
            </w:tcBorders>
            <w:vAlign w:val="center"/>
            <w:hideMark/>
          </w:tcPr>
          <w:p w14:paraId="78DB9055"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p>
        </w:tc>
        <w:tc>
          <w:tcPr>
            <w:tcW w:w="1734" w:type="dxa"/>
            <w:tcBorders>
              <w:top w:val="nil"/>
              <w:left w:val="nil"/>
              <w:bottom w:val="single" w:sz="4" w:space="0" w:color="auto"/>
              <w:right w:val="single" w:sz="4" w:space="0" w:color="auto"/>
            </w:tcBorders>
            <w:shd w:val="clear" w:color="auto" w:fill="auto"/>
            <w:noWrap/>
            <w:vAlign w:val="center"/>
            <w:hideMark/>
          </w:tcPr>
          <w:p w14:paraId="1A3CF9E7"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si-hNLRC5-NC</w:t>
            </w:r>
          </w:p>
        </w:tc>
        <w:tc>
          <w:tcPr>
            <w:tcW w:w="4515" w:type="dxa"/>
            <w:tcBorders>
              <w:top w:val="nil"/>
              <w:left w:val="nil"/>
              <w:bottom w:val="single" w:sz="4" w:space="0" w:color="auto"/>
              <w:right w:val="single" w:sz="4" w:space="0" w:color="auto"/>
            </w:tcBorders>
            <w:shd w:val="clear" w:color="auto" w:fill="auto"/>
            <w:noWrap/>
            <w:vAlign w:val="bottom"/>
            <w:hideMark/>
          </w:tcPr>
          <w:p w14:paraId="304BD17C" w14:textId="77777777" w:rsidR="00E45474" w:rsidRPr="00215E12" w:rsidRDefault="00E45474" w:rsidP="00215E12">
            <w:pPr>
              <w:widowControl/>
              <w:spacing w:line="480" w:lineRule="auto"/>
              <w:jc w:val="left"/>
              <w:rPr>
                <w:rFonts w:ascii="Times New Roman" w:eastAsia="等线" w:hAnsi="Times New Roman" w:cs="Times New Roman"/>
                <w:color w:val="1F1F1F"/>
                <w:kern w:val="0"/>
                <w:sz w:val="24"/>
                <w:szCs w:val="24"/>
                <w14:ligatures w14:val="none"/>
              </w:rPr>
            </w:pPr>
            <w:r w:rsidRPr="00215E12">
              <w:rPr>
                <w:rFonts w:ascii="Times New Roman" w:eastAsia="等线" w:hAnsi="Times New Roman" w:cs="Times New Roman"/>
                <w:color w:val="1F1F1F"/>
                <w:kern w:val="0"/>
                <w:sz w:val="24"/>
                <w:szCs w:val="24"/>
                <w14:ligatures w14:val="none"/>
              </w:rPr>
              <w:t>UACGAACCGGAGCUUAAGCCCAAdTdT</w:t>
            </w:r>
          </w:p>
        </w:tc>
      </w:tr>
      <w:tr w:rsidR="00E45474" w:rsidRPr="00215E12" w14:paraId="11F97AAA" w14:textId="77777777" w:rsidTr="0069599A">
        <w:trPr>
          <w:trHeight w:val="329"/>
        </w:trPr>
        <w:tc>
          <w:tcPr>
            <w:tcW w:w="198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DC1AFD"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mouse-NLRC5</w:t>
            </w:r>
          </w:p>
        </w:tc>
        <w:tc>
          <w:tcPr>
            <w:tcW w:w="1734" w:type="dxa"/>
            <w:tcBorders>
              <w:top w:val="nil"/>
              <w:left w:val="nil"/>
              <w:bottom w:val="single" w:sz="4" w:space="0" w:color="auto"/>
              <w:right w:val="single" w:sz="4" w:space="0" w:color="auto"/>
            </w:tcBorders>
            <w:shd w:val="clear" w:color="auto" w:fill="auto"/>
            <w:noWrap/>
            <w:vAlign w:val="center"/>
            <w:hideMark/>
          </w:tcPr>
          <w:p w14:paraId="24046196"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si-mNLRC5-1</w:t>
            </w:r>
          </w:p>
        </w:tc>
        <w:tc>
          <w:tcPr>
            <w:tcW w:w="4515" w:type="dxa"/>
            <w:tcBorders>
              <w:top w:val="nil"/>
              <w:left w:val="nil"/>
              <w:bottom w:val="single" w:sz="4" w:space="0" w:color="auto"/>
              <w:right w:val="single" w:sz="4" w:space="0" w:color="auto"/>
            </w:tcBorders>
            <w:shd w:val="clear" w:color="auto" w:fill="auto"/>
            <w:noWrap/>
            <w:vAlign w:val="bottom"/>
            <w:hideMark/>
          </w:tcPr>
          <w:p w14:paraId="57206CC4" w14:textId="77777777" w:rsidR="00E45474" w:rsidRPr="00215E12" w:rsidRDefault="00E45474" w:rsidP="00215E12">
            <w:pPr>
              <w:widowControl/>
              <w:spacing w:line="480" w:lineRule="auto"/>
              <w:jc w:val="left"/>
              <w:rPr>
                <w:rFonts w:ascii="Times New Roman" w:eastAsia="等线" w:hAnsi="Times New Roman" w:cs="Times New Roman"/>
                <w:color w:val="1F1F1F"/>
                <w:kern w:val="0"/>
                <w:sz w:val="24"/>
                <w:szCs w:val="24"/>
                <w14:ligatures w14:val="none"/>
              </w:rPr>
            </w:pPr>
            <w:r w:rsidRPr="00215E12">
              <w:rPr>
                <w:rFonts w:ascii="Times New Roman" w:eastAsia="等线" w:hAnsi="Times New Roman" w:cs="Times New Roman"/>
                <w:color w:val="1F1F1F"/>
                <w:kern w:val="0"/>
                <w:sz w:val="24"/>
                <w:szCs w:val="24"/>
                <w14:ligatures w14:val="none"/>
              </w:rPr>
              <w:t>AGGCTGGACTTCTCCATCAdTdT</w:t>
            </w:r>
          </w:p>
        </w:tc>
      </w:tr>
      <w:tr w:rsidR="00E45474" w:rsidRPr="00215E12" w14:paraId="4B13626D" w14:textId="77777777" w:rsidTr="0069599A">
        <w:trPr>
          <w:trHeight w:val="329"/>
        </w:trPr>
        <w:tc>
          <w:tcPr>
            <w:tcW w:w="1982" w:type="dxa"/>
            <w:vMerge/>
            <w:tcBorders>
              <w:top w:val="nil"/>
              <w:left w:val="single" w:sz="4" w:space="0" w:color="auto"/>
              <w:bottom w:val="single" w:sz="4" w:space="0" w:color="auto"/>
              <w:right w:val="single" w:sz="4" w:space="0" w:color="auto"/>
            </w:tcBorders>
            <w:vAlign w:val="center"/>
            <w:hideMark/>
          </w:tcPr>
          <w:p w14:paraId="2AE38EF8"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p>
        </w:tc>
        <w:tc>
          <w:tcPr>
            <w:tcW w:w="1734" w:type="dxa"/>
            <w:tcBorders>
              <w:top w:val="nil"/>
              <w:left w:val="nil"/>
              <w:bottom w:val="single" w:sz="4" w:space="0" w:color="auto"/>
              <w:right w:val="single" w:sz="4" w:space="0" w:color="auto"/>
            </w:tcBorders>
            <w:shd w:val="clear" w:color="auto" w:fill="auto"/>
            <w:noWrap/>
            <w:vAlign w:val="center"/>
            <w:hideMark/>
          </w:tcPr>
          <w:p w14:paraId="76F0974F"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si-mNLRC5-2</w:t>
            </w:r>
          </w:p>
        </w:tc>
        <w:tc>
          <w:tcPr>
            <w:tcW w:w="4515" w:type="dxa"/>
            <w:tcBorders>
              <w:top w:val="nil"/>
              <w:left w:val="nil"/>
              <w:bottom w:val="single" w:sz="4" w:space="0" w:color="auto"/>
              <w:right w:val="single" w:sz="4" w:space="0" w:color="auto"/>
            </w:tcBorders>
            <w:shd w:val="clear" w:color="auto" w:fill="auto"/>
            <w:noWrap/>
            <w:vAlign w:val="bottom"/>
            <w:hideMark/>
          </w:tcPr>
          <w:p w14:paraId="06E99C07" w14:textId="77777777" w:rsidR="00E45474" w:rsidRPr="00215E12" w:rsidRDefault="00E45474" w:rsidP="00215E12">
            <w:pPr>
              <w:widowControl/>
              <w:spacing w:line="480" w:lineRule="auto"/>
              <w:jc w:val="left"/>
              <w:rPr>
                <w:rFonts w:ascii="Times New Roman" w:eastAsia="等线" w:hAnsi="Times New Roman" w:cs="Times New Roman"/>
                <w:color w:val="1F1F1F"/>
                <w:kern w:val="0"/>
                <w:sz w:val="24"/>
                <w:szCs w:val="24"/>
                <w14:ligatures w14:val="none"/>
              </w:rPr>
            </w:pPr>
            <w:r w:rsidRPr="00215E12">
              <w:rPr>
                <w:rFonts w:ascii="Times New Roman" w:eastAsia="等线" w:hAnsi="Times New Roman" w:cs="Times New Roman"/>
                <w:color w:val="1F1F1F"/>
                <w:kern w:val="0"/>
                <w:sz w:val="24"/>
                <w:szCs w:val="24"/>
                <w14:ligatures w14:val="none"/>
              </w:rPr>
              <w:t>UCAAGUUAAAUUUCCUGAGUUCUGGdTdT</w:t>
            </w:r>
          </w:p>
        </w:tc>
      </w:tr>
      <w:tr w:rsidR="00E45474" w:rsidRPr="00215E12" w14:paraId="6659D28C" w14:textId="77777777" w:rsidTr="0069599A">
        <w:trPr>
          <w:trHeight w:val="329"/>
        </w:trPr>
        <w:tc>
          <w:tcPr>
            <w:tcW w:w="1982" w:type="dxa"/>
            <w:vMerge/>
            <w:tcBorders>
              <w:top w:val="nil"/>
              <w:left w:val="single" w:sz="4" w:space="0" w:color="auto"/>
              <w:bottom w:val="single" w:sz="4" w:space="0" w:color="auto"/>
              <w:right w:val="single" w:sz="4" w:space="0" w:color="auto"/>
            </w:tcBorders>
            <w:vAlign w:val="center"/>
            <w:hideMark/>
          </w:tcPr>
          <w:p w14:paraId="41B3DE0B"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p>
        </w:tc>
        <w:tc>
          <w:tcPr>
            <w:tcW w:w="1734" w:type="dxa"/>
            <w:tcBorders>
              <w:top w:val="nil"/>
              <w:left w:val="nil"/>
              <w:bottom w:val="single" w:sz="4" w:space="0" w:color="auto"/>
              <w:right w:val="single" w:sz="4" w:space="0" w:color="auto"/>
            </w:tcBorders>
            <w:shd w:val="clear" w:color="auto" w:fill="auto"/>
            <w:noWrap/>
            <w:vAlign w:val="center"/>
            <w:hideMark/>
          </w:tcPr>
          <w:p w14:paraId="2C5A1BCC"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si-mNLRC5-NC</w:t>
            </w:r>
          </w:p>
        </w:tc>
        <w:tc>
          <w:tcPr>
            <w:tcW w:w="4515" w:type="dxa"/>
            <w:tcBorders>
              <w:top w:val="nil"/>
              <w:left w:val="nil"/>
              <w:bottom w:val="single" w:sz="4" w:space="0" w:color="auto"/>
              <w:right w:val="single" w:sz="4" w:space="0" w:color="auto"/>
            </w:tcBorders>
            <w:shd w:val="clear" w:color="auto" w:fill="auto"/>
            <w:noWrap/>
            <w:vAlign w:val="bottom"/>
            <w:hideMark/>
          </w:tcPr>
          <w:p w14:paraId="17E925BF" w14:textId="77777777" w:rsidR="00E45474" w:rsidRPr="00215E12" w:rsidRDefault="00E45474" w:rsidP="00215E12">
            <w:pPr>
              <w:widowControl/>
              <w:spacing w:line="480" w:lineRule="auto"/>
              <w:jc w:val="left"/>
              <w:rPr>
                <w:rFonts w:ascii="Times New Roman" w:eastAsia="等线" w:hAnsi="Times New Roman" w:cs="Times New Roman"/>
                <w:color w:val="1F1F1F"/>
                <w:kern w:val="0"/>
                <w:sz w:val="24"/>
                <w:szCs w:val="24"/>
                <w14:ligatures w14:val="none"/>
              </w:rPr>
            </w:pPr>
            <w:r w:rsidRPr="00215E12">
              <w:rPr>
                <w:rFonts w:ascii="Times New Roman" w:eastAsia="等线" w:hAnsi="Times New Roman" w:cs="Times New Roman"/>
                <w:color w:val="1F1F1F"/>
                <w:kern w:val="0"/>
                <w:sz w:val="24"/>
                <w:szCs w:val="24"/>
                <w14:ligatures w14:val="none"/>
              </w:rPr>
              <w:t>UUGUAUCUCUUCGUUAUAGGGAAACdTdT</w:t>
            </w:r>
          </w:p>
        </w:tc>
      </w:tr>
    </w:tbl>
    <w:p w14:paraId="1EEF2D9D" w14:textId="77777777" w:rsidR="00E45474" w:rsidRPr="00215E12" w:rsidRDefault="00E45474" w:rsidP="00215E12">
      <w:pPr>
        <w:spacing w:line="480" w:lineRule="auto"/>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Table 1.List of siRNAs for miRNA target silencing in the study</w:t>
      </w:r>
    </w:p>
    <w:p w14:paraId="58B590F6" w14:textId="3905705A"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1.3</w:t>
      </w:r>
      <w:r w:rsidR="00E45474" w:rsidRPr="00215E12">
        <w:rPr>
          <w:rFonts w:ascii="Times New Roman" w:hAnsi="Times New Roman" w:cs="Times New Roman"/>
          <w:b/>
          <w:bCs/>
          <w:sz w:val="24"/>
          <w:szCs w:val="24"/>
        </w:rPr>
        <w:t xml:space="preserve"> Identification of MSC Surface Antibodies</w:t>
      </w:r>
      <w:r w:rsidR="00E45474" w:rsidRPr="00215E12">
        <w:rPr>
          <w:rFonts w:ascii="Times New Roman" w:hAnsi="Times New Roman" w:cs="Times New Roman"/>
          <w:sz w:val="24"/>
          <w:szCs w:val="24"/>
        </w:rPr>
        <w:t xml:space="preserve"> MSCs in the logarithmic growth phase were digested and collected, resuspended in pre-cooled phosphate-buffered saline (PBS), counted, and the cell density was adjusted to 1×10^6 cells/mL. 100 μL of cell suspension (approximately 1×10^5 cells) was aliquoted into each flow tube. According to the recommended dosage in the antibody instructions, corresponding fluorescence-labeled antibodies were added to each flow tube. The markers and antibodies (or dyes) tested in this experiment included: FITC-labeled anti-human CD24, CD19, CD45, </w:t>
      </w:r>
      <w:r w:rsidR="00E45474" w:rsidRPr="00215E12">
        <w:rPr>
          <w:rFonts w:ascii="Times New Roman" w:hAnsi="Times New Roman" w:cs="Times New Roman"/>
          <w:sz w:val="24"/>
          <w:szCs w:val="24"/>
        </w:rPr>
        <w:lastRenderedPageBreak/>
        <w:t>CD116, and CD34 antibodies; PE-labeled anti-human CD105, CD44, CD73, and CD90 antibodies; and PE-labeled anti-human HLA-DR antibody. Simultaneously, an unstained cell group was established as a blank control, and single-stained tubes labeled only with FITC or PE were used for fluorescence compensation adjustment. Cells were incubated with antibodies at 4°C in the dark for 30 minutes. After incubation, cells were washed twice with 2 mL PBS to remove unbound antibodies. Finally, cells were resuspended in 300 μL PBS and immediately detected using a flow cytometer, with results analyzed using FlowJo V10 software.</w:t>
      </w:r>
    </w:p>
    <w:p w14:paraId="23486848" w14:textId="66818D77"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1.4</w:t>
      </w:r>
      <w:r w:rsidR="00E45474" w:rsidRPr="00215E12">
        <w:rPr>
          <w:rFonts w:ascii="Times New Roman" w:hAnsi="Times New Roman" w:cs="Times New Roman"/>
          <w:b/>
          <w:bCs/>
          <w:sz w:val="24"/>
          <w:szCs w:val="24"/>
        </w:rPr>
        <w:t xml:space="preserve"> MSC Differentiation Experiment</w:t>
      </w:r>
      <w:r w:rsidR="00E45474" w:rsidRPr="00215E12">
        <w:rPr>
          <w:rFonts w:ascii="Times New Roman" w:hAnsi="Times New Roman" w:cs="Times New Roman"/>
          <w:sz w:val="24"/>
          <w:szCs w:val="24"/>
        </w:rPr>
        <w:t xml:space="preserve"> Commercial kits (Cyagen Biosciences, USA) were used to induce osteogenic, adipogenic, and chondrogenic differentiation of MSCs according to the manufacturer's instructions. Osteogenic differentiation was assessed by Alizarin Red S staining, adipogenic differentiation by Oil Red O staining, and chondrogenic differentiation by Alcian Blue staining. Staining intensity was analyzed to evaluate differentiation potential.</w:t>
      </w:r>
    </w:p>
    <w:p w14:paraId="2BD559CA" w14:textId="66CA4583"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1.5</w:t>
      </w:r>
      <w:r w:rsidR="00E45474" w:rsidRPr="00215E12">
        <w:rPr>
          <w:rFonts w:ascii="Times New Roman" w:hAnsi="Times New Roman" w:cs="Times New Roman"/>
          <w:b/>
          <w:bCs/>
          <w:sz w:val="24"/>
          <w:szCs w:val="24"/>
        </w:rPr>
        <w:t xml:space="preserve"> CCK8</w:t>
      </w:r>
      <w:r w:rsidR="00E45474" w:rsidRPr="00215E12">
        <w:rPr>
          <w:rFonts w:ascii="Times New Roman" w:hAnsi="Times New Roman" w:cs="Times New Roman"/>
          <w:sz w:val="24"/>
          <w:szCs w:val="24"/>
        </w:rPr>
        <w:t xml:space="preserve"> Approximately 1×10^4 cells were seeded into each well of a 96-well plate. Following the manufacturer's instructions, CCK8 reagent (APExBIO, USA) was added to the cells after the culture period to assess cell activity. The absorbance at 450 nm was then measured using a microplate reader (Synergy H1, BioTek, USA).</w:t>
      </w:r>
    </w:p>
    <w:p w14:paraId="32E266BC" w14:textId="42C8134C"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1.6</w:t>
      </w:r>
      <w:r w:rsidR="00E45474" w:rsidRPr="00215E12">
        <w:rPr>
          <w:rFonts w:ascii="Times New Roman" w:hAnsi="Times New Roman" w:cs="Times New Roman"/>
          <w:b/>
          <w:bCs/>
          <w:sz w:val="24"/>
          <w:szCs w:val="24"/>
        </w:rPr>
        <w:t xml:space="preserve"> TUNEL Staining</w:t>
      </w:r>
      <w:r w:rsidR="00E45474" w:rsidRPr="00215E12">
        <w:rPr>
          <w:rFonts w:ascii="Times New Roman" w:hAnsi="Times New Roman" w:cs="Times New Roman"/>
          <w:sz w:val="24"/>
          <w:szCs w:val="24"/>
        </w:rPr>
        <w:t xml:space="preserve"> Cells were treated with fixative for 30 minutes, followed by the addition of permeability buffer and incubation for another 5 minutes. Then, cells were incubated using the TUNEL method (Beyotime, China) for 1 hour, followed by analysis with a fluorescence microscope (Axio Observer 3, Carl Zeiss Microscopy, Germany).</w:t>
      </w:r>
    </w:p>
    <w:p w14:paraId="328C17A9" w14:textId="336D1FC1"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lastRenderedPageBreak/>
        <w:t>1.7</w:t>
      </w:r>
      <w:r w:rsidR="00E45474" w:rsidRPr="00215E12">
        <w:rPr>
          <w:rFonts w:ascii="Times New Roman" w:hAnsi="Times New Roman" w:cs="Times New Roman"/>
          <w:b/>
          <w:bCs/>
          <w:sz w:val="24"/>
          <w:szCs w:val="24"/>
        </w:rPr>
        <w:t xml:space="preserve"> RNA Sequencing (RNA-seq) and Bioinformatics Analysis</w:t>
      </w:r>
      <w:r w:rsidR="00E45474" w:rsidRPr="00215E12">
        <w:rPr>
          <w:rFonts w:ascii="Times New Roman" w:hAnsi="Times New Roman" w:cs="Times New Roman"/>
          <w:sz w:val="24"/>
          <w:szCs w:val="24"/>
        </w:rPr>
        <w:t xml:space="preserve"> Total RNA was extracted from Huh7 using Trizol reagent (Sigma, USA). RNA integrity was assessed using an Agilent 2100 Bioanalyzer. Sequencing libraries were prepared using the NEBNext Ultra II RNA Library Prep Kit (New England Biolabs, USA). Libraries were sequenced on the Illumina PE150 platform. In bioinformatics analysis, raw sequencing reads were quality-filtered using Trimmomatic. Clean sequencing data were aligned to the human reference genome (GRCh38) using HISAT2. Gene expression levels were quantified using featureCounts. Differential expression analysis was performed using the DESeq2 package in R. Genes with an adjusted P-value &lt; 0.05 and |log2(fold change)| &gt; 1 were considered differentially expressed genes. Gene Ontology (GO) and Kyoto Encyclopedia of Genes and Genomes (KEGG) pathway enrichment analyses were performed through the clusterProfiler package. The Benjamini-Hochberg method was used for multiple comparison correction of P-values to calculate the false discovery rate (FDR).</w:t>
      </w:r>
    </w:p>
    <w:p w14:paraId="43746E4F" w14:textId="22E0A52B"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1.8</w:t>
      </w:r>
      <w:r w:rsidR="00E45474" w:rsidRPr="00215E12">
        <w:rPr>
          <w:rFonts w:ascii="Times New Roman" w:hAnsi="Times New Roman" w:cs="Times New Roman"/>
          <w:b/>
          <w:bCs/>
          <w:sz w:val="24"/>
          <w:szCs w:val="24"/>
        </w:rPr>
        <w:t xml:space="preserve"> Luciferase Assay</w:t>
      </w:r>
      <w:r w:rsidR="00E45474" w:rsidRPr="00215E12">
        <w:rPr>
          <w:rFonts w:ascii="Times New Roman" w:hAnsi="Times New Roman" w:cs="Times New Roman"/>
          <w:sz w:val="24"/>
          <w:szCs w:val="24"/>
        </w:rPr>
        <w:t xml:space="preserve"> Wild-type (NLRC5-WT) and mutant-type (NLRC5-MUT) dual-luciferase plasmids were constructed by Sangon Biotech (Shanghai) Co., Ltd. HEK293T cells were seeded in 24-well plates at 40% confluence and co-transfected with 500 ng of NLRC5-WT or NLRC5-MUT plasmid and 50 nM miR-378a-5p mimic or control mimic (GenePharma, Shanghai, China) using Lipofectamine 2000 (52,887, Invitrogen). 24 hours after transfection, luciferase activity was determined using a dual-luciferase reporter assay system (E1910, Promega) according to the manufacturer's protocol. Firefly luciferase activity was normalized to Renilla luciferase activity as an </w:t>
      </w:r>
      <w:r w:rsidR="00E45474" w:rsidRPr="00215E12">
        <w:rPr>
          <w:rFonts w:ascii="Times New Roman" w:hAnsi="Times New Roman" w:cs="Times New Roman"/>
          <w:sz w:val="24"/>
          <w:szCs w:val="24"/>
        </w:rPr>
        <w:lastRenderedPageBreak/>
        <w:t>internal control. Data are expressed as the mean ± standard deviation of three independent experiments.</w:t>
      </w:r>
    </w:p>
    <w:p w14:paraId="141BCD2B" w14:textId="3D07EFB2"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1.9</w:t>
      </w:r>
      <w:r w:rsidR="00E45474" w:rsidRPr="00215E12">
        <w:rPr>
          <w:rFonts w:ascii="Times New Roman" w:hAnsi="Times New Roman" w:cs="Times New Roman"/>
          <w:b/>
          <w:bCs/>
          <w:sz w:val="24"/>
          <w:szCs w:val="24"/>
        </w:rPr>
        <w:t xml:space="preserve"> Serum/Liver Tissue Biochemistry</w:t>
      </w:r>
      <w:r w:rsidR="00E45474" w:rsidRPr="00215E12">
        <w:rPr>
          <w:rFonts w:ascii="Times New Roman" w:hAnsi="Times New Roman" w:cs="Times New Roman"/>
          <w:sz w:val="24"/>
          <w:szCs w:val="24"/>
        </w:rPr>
        <w:t xml:space="preserve"> For whole blood samples, centrifugation (3,000 rpm, 15 minutes, 2-8°C) was performed after being kept at room temperature (RT) for 2 hours. To avoid degradation caused by multiple freeze-thaw cycles, the supernatant was aliquoted and stored at -80°C before further processing. Before testing, the material was centrifuged again to eliminate any precipitate. Alanine aminotransferase (ALT) was detected using an ALT detection kit (R21814-100T, YuanYe, China), and aspartate aminotransferase (AST) was detected using an AST activity detection kit (R41133-48T, YuanYe, China). For liver tissue, after being removed from the -80°C freezer and thawed, it was homogenized at 4°C, and then the hydroxyproline (HYP) content detection kit (AC10115-50T/48S, Acmec, China) was used.</w:t>
      </w:r>
    </w:p>
    <w:p w14:paraId="099AB734" w14:textId="21F294DC"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1.10</w:t>
      </w:r>
      <w:r w:rsidR="00E45474" w:rsidRPr="00215E12">
        <w:rPr>
          <w:rFonts w:ascii="Times New Roman" w:hAnsi="Times New Roman" w:cs="Times New Roman"/>
          <w:b/>
          <w:bCs/>
          <w:sz w:val="24"/>
          <w:szCs w:val="24"/>
        </w:rPr>
        <w:t xml:space="preserve"> RNA Isolation and qRT-PCR</w:t>
      </w:r>
      <w:r w:rsidR="00E45474" w:rsidRPr="00215E12">
        <w:rPr>
          <w:rFonts w:ascii="Times New Roman" w:hAnsi="Times New Roman" w:cs="Times New Roman"/>
          <w:sz w:val="24"/>
          <w:szCs w:val="24"/>
        </w:rPr>
        <w:t xml:space="preserve"> Total RNA was extracted using Trizol reagent (Invitrogen). For mRNA qRT-PCR, cDNA was synthesized using the PrimeScript RT Reagent Kit (Vazyme, China). Then, qRT-PCR was performed using SYBR Green Master Mix (Vazyme) and gene-specific primers. Quantification was performed with GAPDH as an internal control, and the relative expression level of each gene was calculated using the 2</w:t>
      </w:r>
      <w:r w:rsidR="00E45474" w:rsidRPr="00215E12">
        <w:rPr>
          <w:rFonts w:ascii="Times New Roman" w:hAnsi="Times New Roman" w:cs="Times New Roman"/>
          <w:sz w:val="24"/>
          <w:szCs w:val="24"/>
          <w:vertAlign w:val="superscript"/>
        </w:rPr>
        <w:t>-ΔΔCt</w:t>
      </w:r>
      <w:r w:rsidR="00E45474" w:rsidRPr="00215E12">
        <w:rPr>
          <w:rFonts w:ascii="Times New Roman" w:hAnsi="Times New Roman" w:cs="Times New Roman"/>
          <w:sz w:val="24"/>
          <w:szCs w:val="24"/>
        </w:rPr>
        <w:t xml:space="preserve"> method. Values are expressed as fold changes . qRT-PCR was performed using SYBR Green Master Mix, miRNA-specific forward primers, and universal reverse primers. All primer sequences are listed in Table 2.</w:t>
      </w:r>
    </w:p>
    <w:tbl>
      <w:tblPr>
        <w:tblW w:w="8267" w:type="dxa"/>
        <w:tblLook w:val="04A0" w:firstRow="1" w:lastRow="0" w:firstColumn="1" w:lastColumn="0" w:noHBand="0" w:noVBand="1"/>
      </w:tblPr>
      <w:tblGrid>
        <w:gridCol w:w="1372"/>
        <w:gridCol w:w="3440"/>
        <w:gridCol w:w="3484"/>
      </w:tblGrid>
      <w:tr w:rsidR="00E45474" w:rsidRPr="00215E12" w14:paraId="014544BA" w14:textId="77777777" w:rsidTr="0069599A">
        <w:trPr>
          <w:trHeight w:val="453"/>
        </w:trPr>
        <w:tc>
          <w:tcPr>
            <w:tcW w:w="15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2EB6F" w14:textId="77777777" w:rsidR="00E45474" w:rsidRPr="00215E12" w:rsidRDefault="00E45474" w:rsidP="00215E12">
            <w:pPr>
              <w:widowControl/>
              <w:spacing w:line="480" w:lineRule="auto"/>
              <w:jc w:val="center"/>
              <w:rPr>
                <w:rFonts w:ascii="Times New Roman" w:eastAsia="等线" w:hAnsi="Times New Roman" w:cs="Times New Roman"/>
                <w:b/>
                <w:bCs/>
                <w:color w:val="000000"/>
                <w:kern w:val="0"/>
                <w:sz w:val="24"/>
                <w:szCs w:val="24"/>
                <w14:ligatures w14:val="none"/>
              </w:rPr>
            </w:pPr>
            <w:r w:rsidRPr="00215E12">
              <w:rPr>
                <w:rFonts w:ascii="Times New Roman" w:eastAsia="等线" w:hAnsi="Times New Roman" w:cs="Times New Roman"/>
                <w:b/>
                <w:bCs/>
                <w:color w:val="000000"/>
                <w:kern w:val="0"/>
                <w:sz w:val="24"/>
                <w:szCs w:val="24"/>
                <w14:ligatures w14:val="none"/>
              </w:rPr>
              <w:t>Genes</w:t>
            </w:r>
          </w:p>
        </w:tc>
        <w:tc>
          <w:tcPr>
            <w:tcW w:w="3323" w:type="dxa"/>
            <w:tcBorders>
              <w:top w:val="single" w:sz="4" w:space="0" w:color="auto"/>
              <w:left w:val="nil"/>
              <w:bottom w:val="single" w:sz="4" w:space="0" w:color="auto"/>
              <w:right w:val="single" w:sz="4" w:space="0" w:color="auto"/>
            </w:tcBorders>
            <w:shd w:val="clear" w:color="auto" w:fill="auto"/>
            <w:noWrap/>
            <w:vAlign w:val="bottom"/>
            <w:hideMark/>
          </w:tcPr>
          <w:p w14:paraId="46BEB4E0" w14:textId="77777777" w:rsidR="00E45474" w:rsidRPr="00215E12" w:rsidRDefault="00E45474" w:rsidP="00215E12">
            <w:pPr>
              <w:widowControl/>
              <w:spacing w:line="480" w:lineRule="auto"/>
              <w:jc w:val="center"/>
              <w:rPr>
                <w:rFonts w:ascii="Times New Roman" w:eastAsia="等线" w:hAnsi="Times New Roman" w:cs="Times New Roman"/>
                <w:b/>
                <w:bCs/>
                <w:color w:val="000000"/>
                <w:kern w:val="0"/>
                <w:sz w:val="24"/>
                <w:szCs w:val="24"/>
                <w14:ligatures w14:val="none"/>
              </w:rPr>
            </w:pPr>
            <w:r w:rsidRPr="00215E12">
              <w:rPr>
                <w:rFonts w:ascii="Times New Roman" w:eastAsia="等线" w:hAnsi="Times New Roman" w:cs="Times New Roman"/>
                <w:b/>
                <w:bCs/>
                <w:color w:val="000000"/>
                <w:kern w:val="0"/>
                <w:sz w:val="24"/>
                <w:szCs w:val="24"/>
                <w14:ligatures w14:val="none"/>
              </w:rPr>
              <w:t>Forward sequence</w:t>
            </w:r>
          </w:p>
        </w:tc>
        <w:tc>
          <w:tcPr>
            <w:tcW w:w="3351" w:type="dxa"/>
            <w:tcBorders>
              <w:top w:val="single" w:sz="4" w:space="0" w:color="auto"/>
              <w:left w:val="nil"/>
              <w:bottom w:val="single" w:sz="4" w:space="0" w:color="auto"/>
              <w:right w:val="single" w:sz="4" w:space="0" w:color="auto"/>
            </w:tcBorders>
            <w:shd w:val="clear" w:color="auto" w:fill="auto"/>
            <w:noWrap/>
            <w:vAlign w:val="bottom"/>
            <w:hideMark/>
          </w:tcPr>
          <w:p w14:paraId="1D2DCE05" w14:textId="77777777" w:rsidR="00E45474" w:rsidRPr="00215E12" w:rsidRDefault="00E45474" w:rsidP="00215E12">
            <w:pPr>
              <w:widowControl/>
              <w:spacing w:line="480" w:lineRule="auto"/>
              <w:jc w:val="center"/>
              <w:rPr>
                <w:rFonts w:ascii="Times New Roman" w:eastAsia="等线" w:hAnsi="Times New Roman" w:cs="Times New Roman"/>
                <w:b/>
                <w:bCs/>
                <w:color w:val="000000"/>
                <w:kern w:val="0"/>
                <w:sz w:val="24"/>
                <w:szCs w:val="24"/>
                <w14:ligatures w14:val="none"/>
              </w:rPr>
            </w:pPr>
            <w:r w:rsidRPr="00215E12">
              <w:rPr>
                <w:rFonts w:ascii="Times New Roman" w:eastAsia="等线" w:hAnsi="Times New Roman" w:cs="Times New Roman"/>
                <w:b/>
                <w:bCs/>
                <w:color w:val="000000"/>
                <w:kern w:val="0"/>
                <w:sz w:val="24"/>
                <w:szCs w:val="24"/>
                <w14:ligatures w14:val="none"/>
              </w:rPr>
              <w:t>Reverse sequence</w:t>
            </w:r>
          </w:p>
        </w:tc>
      </w:tr>
      <w:tr w:rsidR="00E45474" w:rsidRPr="00215E12" w14:paraId="4EA6CCA2" w14:textId="77777777" w:rsidTr="0069599A">
        <w:trPr>
          <w:trHeight w:val="453"/>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596A3BCE"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lastRenderedPageBreak/>
              <w:t>GAPDH</w:t>
            </w:r>
          </w:p>
        </w:tc>
        <w:tc>
          <w:tcPr>
            <w:tcW w:w="3323" w:type="dxa"/>
            <w:tcBorders>
              <w:top w:val="nil"/>
              <w:left w:val="nil"/>
              <w:bottom w:val="single" w:sz="4" w:space="0" w:color="auto"/>
              <w:right w:val="single" w:sz="4" w:space="0" w:color="auto"/>
            </w:tcBorders>
            <w:shd w:val="clear" w:color="auto" w:fill="auto"/>
            <w:noWrap/>
            <w:vAlign w:val="bottom"/>
            <w:hideMark/>
          </w:tcPr>
          <w:p w14:paraId="5B853C6E"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GTCTCCTCTGACTTCAACAGCG</w:t>
            </w:r>
          </w:p>
        </w:tc>
        <w:tc>
          <w:tcPr>
            <w:tcW w:w="3351" w:type="dxa"/>
            <w:tcBorders>
              <w:top w:val="nil"/>
              <w:left w:val="nil"/>
              <w:bottom w:val="single" w:sz="4" w:space="0" w:color="auto"/>
              <w:right w:val="single" w:sz="4" w:space="0" w:color="auto"/>
            </w:tcBorders>
            <w:shd w:val="clear" w:color="auto" w:fill="auto"/>
            <w:noWrap/>
            <w:vAlign w:val="bottom"/>
            <w:hideMark/>
          </w:tcPr>
          <w:p w14:paraId="216C312A"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ACCACCCTGTTGCTGTAGCCAA</w:t>
            </w:r>
          </w:p>
        </w:tc>
      </w:tr>
      <w:tr w:rsidR="00E45474" w:rsidRPr="00215E12" w14:paraId="37863F7B" w14:textId="77777777" w:rsidTr="0069599A">
        <w:trPr>
          <w:trHeight w:val="453"/>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70053B6A"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U6</w:t>
            </w:r>
          </w:p>
        </w:tc>
        <w:tc>
          <w:tcPr>
            <w:tcW w:w="3323" w:type="dxa"/>
            <w:tcBorders>
              <w:top w:val="nil"/>
              <w:left w:val="nil"/>
              <w:bottom w:val="single" w:sz="4" w:space="0" w:color="auto"/>
              <w:right w:val="single" w:sz="4" w:space="0" w:color="auto"/>
            </w:tcBorders>
            <w:shd w:val="clear" w:color="auto" w:fill="auto"/>
            <w:noWrap/>
            <w:vAlign w:val="bottom"/>
            <w:hideMark/>
          </w:tcPr>
          <w:p w14:paraId="13C5462D"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CTCGCTTCGGCAGCACAT</w:t>
            </w:r>
          </w:p>
        </w:tc>
        <w:tc>
          <w:tcPr>
            <w:tcW w:w="3351" w:type="dxa"/>
            <w:tcBorders>
              <w:top w:val="nil"/>
              <w:left w:val="nil"/>
              <w:bottom w:val="single" w:sz="4" w:space="0" w:color="auto"/>
              <w:right w:val="single" w:sz="4" w:space="0" w:color="auto"/>
            </w:tcBorders>
            <w:shd w:val="clear" w:color="auto" w:fill="auto"/>
            <w:noWrap/>
            <w:vAlign w:val="bottom"/>
            <w:hideMark/>
          </w:tcPr>
          <w:p w14:paraId="1221D8C9"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TTTGCGTGTCATCCTTGCG</w:t>
            </w:r>
          </w:p>
        </w:tc>
      </w:tr>
      <w:tr w:rsidR="00E45474" w:rsidRPr="00215E12" w14:paraId="25F48E24" w14:textId="77777777" w:rsidTr="0069599A">
        <w:trPr>
          <w:trHeight w:val="453"/>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343E2ED2"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Ms-NLRC5</w:t>
            </w:r>
          </w:p>
        </w:tc>
        <w:tc>
          <w:tcPr>
            <w:tcW w:w="3323" w:type="dxa"/>
            <w:tcBorders>
              <w:top w:val="nil"/>
              <w:left w:val="nil"/>
              <w:bottom w:val="single" w:sz="4" w:space="0" w:color="auto"/>
              <w:right w:val="single" w:sz="4" w:space="0" w:color="auto"/>
            </w:tcBorders>
            <w:shd w:val="clear" w:color="auto" w:fill="auto"/>
            <w:noWrap/>
            <w:vAlign w:val="bottom"/>
            <w:hideMark/>
          </w:tcPr>
          <w:p w14:paraId="5096FFA9"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TCAGCCCAGAACAAGTATCC</w:t>
            </w:r>
          </w:p>
        </w:tc>
        <w:tc>
          <w:tcPr>
            <w:tcW w:w="3351" w:type="dxa"/>
            <w:tcBorders>
              <w:top w:val="nil"/>
              <w:left w:val="nil"/>
              <w:bottom w:val="single" w:sz="4" w:space="0" w:color="auto"/>
              <w:right w:val="single" w:sz="4" w:space="0" w:color="auto"/>
            </w:tcBorders>
            <w:shd w:val="clear" w:color="auto" w:fill="auto"/>
            <w:noWrap/>
            <w:vAlign w:val="bottom"/>
            <w:hideMark/>
          </w:tcPr>
          <w:p w14:paraId="4BDADA46"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TGGGCACAGAC-TTCCATTAG</w:t>
            </w:r>
          </w:p>
        </w:tc>
      </w:tr>
      <w:tr w:rsidR="00E45474" w:rsidRPr="00215E12" w14:paraId="7229D216" w14:textId="77777777" w:rsidTr="0069599A">
        <w:trPr>
          <w:trHeight w:val="453"/>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31FDC555"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Ms-TNF-α</w:t>
            </w:r>
          </w:p>
        </w:tc>
        <w:tc>
          <w:tcPr>
            <w:tcW w:w="3323" w:type="dxa"/>
            <w:tcBorders>
              <w:top w:val="nil"/>
              <w:left w:val="nil"/>
              <w:bottom w:val="single" w:sz="4" w:space="0" w:color="auto"/>
              <w:right w:val="single" w:sz="4" w:space="0" w:color="auto"/>
            </w:tcBorders>
            <w:shd w:val="clear" w:color="auto" w:fill="auto"/>
            <w:noWrap/>
            <w:vAlign w:val="bottom"/>
            <w:hideMark/>
          </w:tcPr>
          <w:p w14:paraId="6F8827F1"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GGTGCCTATGTCTCAGCCTCTT</w:t>
            </w:r>
          </w:p>
        </w:tc>
        <w:tc>
          <w:tcPr>
            <w:tcW w:w="3351" w:type="dxa"/>
            <w:tcBorders>
              <w:top w:val="nil"/>
              <w:left w:val="nil"/>
              <w:bottom w:val="single" w:sz="4" w:space="0" w:color="auto"/>
              <w:right w:val="single" w:sz="4" w:space="0" w:color="auto"/>
            </w:tcBorders>
            <w:shd w:val="clear" w:color="auto" w:fill="auto"/>
            <w:noWrap/>
            <w:vAlign w:val="bottom"/>
            <w:hideMark/>
          </w:tcPr>
          <w:p w14:paraId="55712F20"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GCCATAGAACTGATGAGAGGGAG</w:t>
            </w:r>
          </w:p>
        </w:tc>
      </w:tr>
      <w:tr w:rsidR="00E45474" w:rsidRPr="00215E12" w14:paraId="6ADB810B" w14:textId="77777777" w:rsidTr="0069599A">
        <w:trPr>
          <w:trHeight w:val="453"/>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496D92AC"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Ms-IL-18</w:t>
            </w:r>
          </w:p>
        </w:tc>
        <w:tc>
          <w:tcPr>
            <w:tcW w:w="3323" w:type="dxa"/>
            <w:tcBorders>
              <w:top w:val="nil"/>
              <w:left w:val="nil"/>
              <w:bottom w:val="single" w:sz="4" w:space="0" w:color="auto"/>
              <w:right w:val="single" w:sz="4" w:space="0" w:color="auto"/>
            </w:tcBorders>
            <w:shd w:val="clear" w:color="auto" w:fill="auto"/>
            <w:noWrap/>
            <w:vAlign w:val="bottom"/>
            <w:hideMark/>
          </w:tcPr>
          <w:p w14:paraId="0BA0B3EB"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GACAGCCTGTGTTCGAGGATATG</w:t>
            </w:r>
          </w:p>
        </w:tc>
        <w:tc>
          <w:tcPr>
            <w:tcW w:w="3351" w:type="dxa"/>
            <w:tcBorders>
              <w:top w:val="nil"/>
              <w:left w:val="nil"/>
              <w:bottom w:val="single" w:sz="4" w:space="0" w:color="auto"/>
              <w:right w:val="single" w:sz="4" w:space="0" w:color="auto"/>
            </w:tcBorders>
            <w:shd w:val="clear" w:color="auto" w:fill="auto"/>
            <w:noWrap/>
            <w:vAlign w:val="bottom"/>
            <w:hideMark/>
          </w:tcPr>
          <w:p w14:paraId="2F22F346"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TGTTCTTACAGGAGAGGGTAGAC</w:t>
            </w:r>
          </w:p>
        </w:tc>
      </w:tr>
      <w:tr w:rsidR="00E45474" w:rsidRPr="00215E12" w14:paraId="04664521" w14:textId="77777777" w:rsidTr="0069599A">
        <w:trPr>
          <w:trHeight w:val="453"/>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01F2812E"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Ms-IL-1β</w:t>
            </w:r>
          </w:p>
        </w:tc>
        <w:tc>
          <w:tcPr>
            <w:tcW w:w="3323" w:type="dxa"/>
            <w:tcBorders>
              <w:top w:val="nil"/>
              <w:left w:val="nil"/>
              <w:bottom w:val="single" w:sz="4" w:space="0" w:color="auto"/>
              <w:right w:val="single" w:sz="4" w:space="0" w:color="auto"/>
            </w:tcBorders>
            <w:shd w:val="clear" w:color="auto" w:fill="auto"/>
            <w:noWrap/>
            <w:vAlign w:val="bottom"/>
            <w:hideMark/>
          </w:tcPr>
          <w:p w14:paraId="4F5270B1"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TGGACCTTCCAGGATGAGGACA</w:t>
            </w:r>
          </w:p>
        </w:tc>
        <w:tc>
          <w:tcPr>
            <w:tcW w:w="3351" w:type="dxa"/>
            <w:tcBorders>
              <w:top w:val="nil"/>
              <w:left w:val="nil"/>
              <w:bottom w:val="single" w:sz="4" w:space="0" w:color="auto"/>
              <w:right w:val="single" w:sz="4" w:space="0" w:color="auto"/>
            </w:tcBorders>
            <w:shd w:val="clear" w:color="auto" w:fill="auto"/>
            <w:noWrap/>
            <w:vAlign w:val="bottom"/>
            <w:hideMark/>
          </w:tcPr>
          <w:p w14:paraId="28BA0BDF"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GTTCATCTCGGAGCCTGTAGTG</w:t>
            </w:r>
          </w:p>
        </w:tc>
      </w:tr>
      <w:tr w:rsidR="00E45474" w:rsidRPr="00215E12" w14:paraId="260CB706" w14:textId="77777777" w:rsidTr="0069599A">
        <w:trPr>
          <w:trHeight w:val="453"/>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6276B1AB"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Ms-CXCL1</w:t>
            </w:r>
          </w:p>
        </w:tc>
        <w:tc>
          <w:tcPr>
            <w:tcW w:w="3323" w:type="dxa"/>
            <w:tcBorders>
              <w:top w:val="nil"/>
              <w:left w:val="nil"/>
              <w:bottom w:val="single" w:sz="4" w:space="0" w:color="auto"/>
              <w:right w:val="single" w:sz="4" w:space="0" w:color="auto"/>
            </w:tcBorders>
            <w:shd w:val="clear" w:color="auto" w:fill="auto"/>
            <w:noWrap/>
            <w:vAlign w:val="bottom"/>
            <w:hideMark/>
          </w:tcPr>
          <w:p w14:paraId="7E8ACD2D"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TCCAGAGCTTGAAGGTGTTGCC</w:t>
            </w:r>
          </w:p>
        </w:tc>
        <w:tc>
          <w:tcPr>
            <w:tcW w:w="3351" w:type="dxa"/>
            <w:tcBorders>
              <w:top w:val="nil"/>
              <w:left w:val="nil"/>
              <w:bottom w:val="single" w:sz="4" w:space="0" w:color="auto"/>
              <w:right w:val="single" w:sz="4" w:space="0" w:color="auto"/>
            </w:tcBorders>
            <w:shd w:val="clear" w:color="auto" w:fill="auto"/>
            <w:noWrap/>
            <w:vAlign w:val="bottom"/>
            <w:hideMark/>
          </w:tcPr>
          <w:p w14:paraId="2DEE324E"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AACCAAGGGAGCTTCAGGGTCA</w:t>
            </w:r>
          </w:p>
        </w:tc>
      </w:tr>
      <w:tr w:rsidR="00E45474" w:rsidRPr="00215E12" w14:paraId="1D317A76" w14:textId="77777777" w:rsidTr="0069599A">
        <w:trPr>
          <w:trHeight w:val="453"/>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50D62F1B"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Ms-CCL2</w:t>
            </w:r>
          </w:p>
        </w:tc>
        <w:tc>
          <w:tcPr>
            <w:tcW w:w="3323" w:type="dxa"/>
            <w:tcBorders>
              <w:top w:val="nil"/>
              <w:left w:val="nil"/>
              <w:bottom w:val="single" w:sz="4" w:space="0" w:color="auto"/>
              <w:right w:val="single" w:sz="4" w:space="0" w:color="auto"/>
            </w:tcBorders>
            <w:shd w:val="clear" w:color="auto" w:fill="auto"/>
            <w:noWrap/>
            <w:vAlign w:val="bottom"/>
            <w:hideMark/>
          </w:tcPr>
          <w:p w14:paraId="43D9F50D"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GCTACAAGAGGATCACCAGCAG</w:t>
            </w:r>
          </w:p>
        </w:tc>
        <w:tc>
          <w:tcPr>
            <w:tcW w:w="3351" w:type="dxa"/>
            <w:tcBorders>
              <w:top w:val="nil"/>
              <w:left w:val="nil"/>
              <w:bottom w:val="single" w:sz="4" w:space="0" w:color="auto"/>
              <w:right w:val="single" w:sz="4" w:space="0" w:color="auto"/>
            </w:tcBorders>
            <w:shd w:val="clear" w:color="auto" w:fill="auto"/>
            <w:noWrap/>
            <w:vAlign w:val="bottom"/>
            <w:hideMark/>
          </w:tcPr>
          <w:p w14:paraId="1B9AD030"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GTCTGGACCCATTCCTTCTTGG</w:t>
            </w:r>
          </w:p>
        </w:tc>
      </w:tr>
      <w:tr w:rsidR="00E45474" w:rsidRPr="00215E12" w14:paraId="487D2931" w14:textId="77777777" w:rsidTr="0069599A">
        <w:trPr>
          <w:trHeight w:val="453"/>
        </w:trPr>
        <w:tc>
          <w:tcPr>
            <w:tcW w:w="1593" w:type="dxa"/>
            <w:tcBorders>
              <w:top w:val="nil"/>
              <w:left w:val="single" w:sz="4" w:space="0" w:color="auto"/>
              <w:bottom w:val="single" w:sz="4" w:space="0" w:color="auto"/>
              <w:right w:val="single" w:sz="4" w:space="0" w:color="auto"/>
            </w:tcBorders>
            <w:shd w:val="clear" w:color="auto" w:fill="auto"/>
            <w:noWrap/>
            <w:vAlign w:val="center"/>
            <w:hideMark/>
          </w:tcPr>
          <w:p w14:paraId="0E33BD1D"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Ms-IL-16</w:t>
            </w:r>
          </w:p>
        </w:tc>
        <w:tc>
          <w:tcPr>
            <w:tcW w:w="3323" w:type="dxa"/>
            <w:tcBorders>
              <w:top w:val="nil"/>
              <w:left w:val="nil"/>
              <w:bottom w:val="single" w:sz="4" w:space="0" w:color="auto"/>
              <w:right w:val="single" w:sz="4" w:space="0" w:color="auto"/>
            </w:tcBorders>
            <w:shd w:val="clear" w:color="auto" w:fill="auto"/>
            <w:noWrap/>
            <w:vAlign w:val="bottom"/>
            <w:hideMark/>
          </w:tcPr>
          <w:p w14:paraId="71EAB682"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CACGCAGACTTCATCCTCCACA</w:t>
            </w:r>
          </w:p>
        </w:tc>
        <w:tc>
          <w:tcPr>
            <w:tcW w:w="3351" w:type="dxa"/>
            <w:tcBorders>
              <w:top w:val="nil"/>
              <w:left w:val="nil"/>
              <w:bottom w:val="single" w:sz="4" w:space="0" w:color="auto"/>
              <w:right w:val="single" w:sz="4" w:space="0" w:color="auto"/>
            </w:tcBorders>
            <w:shd w:val="clear" w:color="auto" w:fill="auto"/>
            <w:noWrap/>
            <w:vAlign w:val="bottom"/>
            <w:hideMark/>
          </w:tcPr>
          <w:p w14:paraId="5468832D"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AGCTATAGTCCATCCGTGCCTG</w:t>
            </w:r>
          </w:p>
        </w:tc>
      </w:tr>
      <w:tr w:rsidR="00E45474" w:rsidRPr="00215E12" w14:paraId="1840D75E" w14:textId="77777777" w:rsidTr="0069599A">
        <w:trPr>
          <w:trHeight w:val="453"/>
        </w:trPr>
        <w:tc>
          <w:tcPr>
            <w:tcW w:w="1593" w:type="dxa"/>
            <w:tcBorders>
              <w:top w:val="nil"/>
              <w:left w:val="single" w:sz="4" w:space="0" w:color="auto"/>
              <w:bottom w:val="single" w:sz="4" w:space="0" w:color="auto"/>
              <w:right w:val="single" w:sz="4" w:space="0" w:color="auto"/>
            </w:tcBorders>
            <w:shd w:val="clear" w:color="auto" w:fill="auto"/>
            <w:noWrap/>
            <w:vAlign w:val="center"/>
            <w:hideMark/>
          </w:tcPr>
          <w:p w14:paraId="04A22076"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Hu-NLRC5</w:t>
            </w:r>
          </w:p>
        </w:tc>
        <w:tc>
          <w:tcPr>
            <w:tcW w:w="3323" w:type="dxa"/>
            <w:tcBorders>
              <w:top w:val="nil"/>
              <w:left w:val="nil"/>
              <w:bottom w:val="single" w:sz="4" w:space="0" w:color="auto"/>
              <w:right w:val="single" w:sz="4" w:space="0" w:color="auto"/>
            </w:tcBorders>
            <w:shd w:val="clear" w:color="auto" w:fill="auto"/>
            <w:noWrap/>
            <w:vAlign w:val="bottom"/>
            <w:hideMark/>
          </w:tcPr>
          <w:p w14:paraId="5AC3F24F"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TGGGAAGACACTCAGGCTAA</w:t>
            </w:r>
          </w:p>
        </w:tc>
        <w:tc>
          <w:tcPr>
            <w:tcW w:w="3351" w:type="dxa"/>
            <w:tcBorders>
              <w:top w:val="nil"/>
              <w:left w:val="nil"/>
              <w:bottom w:val="single" w:sz="4" w:space="0" w:color="auto"/>
              <w:right w:val="single" w:sz="4" w:space="0" w:color="auto"/>
            </w:tcBorders>
            <w:shd w:val="clear" w:color="auto" w:fill="auto"/>
            <w:noWrap/>
            <w:vAlign w:val="bottom"/>
            <w:hideMark/>
          </w:tcPr>
          <w:p w14:paraId="2A339751"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ATCATCGTCCTCACAGAGGTT</w:t>
            </w:r>
          </w:p>
        </w:tc>
      </w:tr>
      <w:tr w:rsidR="00E45474" w:rsidRPr="00215E12" w14:paraId="3F3E21C9" w14:textId="77777777" w:rsidTr="0069599A">
        <w:trPr>
          <w:trHeight w:val="453"/>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0A92FBEE"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Hu-TNF-α</w:t>
            </w:r>
          </w:p>
        </w:tc>
        <w:tc>
          <w:tcPr>
            <w:tcW w:w="3323" w:type="dxa"/>
            <w:tcBorders>
              <w:top w:val="nil"/>
              <w:left w:val="nil"/>
              <w:bottom w:val="single" w:sz="4" w:space="0" w:color="auto"/>
              <w:right w:val="single" w:sz="4" w:space="0" w:color="auto"/>
            </w:tcBorders>
            <w:shd w:val="clear" w:color="auto" w:fill="auto"/>
            <w:noWrap/>
            <w:vAlign w:val="bottom"/>
            <w:hideMark/>
          </w:tcPr>
          <w:p w14:paraId="43D79794"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CTCTTCTGCCTGCTGCACTTTG</w:t>
            </w:r>
          </w:p>
        </w:tc>
        <w:tc>
          <w:tcPr>
            <w:tcW w:w="3351" w:type="dxa"/>
            <w:tcBorders>
              <w:top w:val="nil"/>
              <w:left w:val="nil"/>
              <w:bottom w:val="single" w:sz="4" w:space="0" w:color="auto"/>
              <w:right w:val="single" w:sz="4" w:space="0" w:color="auto"/>
            </w:tcBorders>
            <w:shd w:val="clear" w:color="auto" w:fill="auto"/>
            <w:noWrap/>
            <w:vAlign w:val="bottom"/>
            <w:hideMark/>
          </w:tcPr>
          <w:p w14:paraId="40DED27F"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ATGGGCTACAGGCTTGTCACTC</w:t>
            </w:r>
          </w:p>
        </w:tc>
      </w:tr>
      <w:tr w:rsidR="00E45474" w:rsidRPr="00215E12" w14:paraId="2C95619E" w14:textId="77777777" w:rsidTr="0069599A">
        <w:trPr>
          <w:trHeight w:val="453"/>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4DA2F914"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lastRenderedPageBreak/>
              <w:t>Hu-IL-18</w:t>
            </w:r>
          </w:p>
        </w:tc>
        <w:tc>
          <w:tcPr>
            <w:tcW w:w="3323" w:type="dxa"/>
            <w:tcBorders>
              <w:top w:val="nil"/>
              <w:left w:val="nil"/>
              <w:bottom w:val="single" w:sz="4" w:space="0" w:color="auto"/>
              <w:right w:val="single" w:sz="4" w:space="0" w:color="auto"/>
            </w:tcBorders>
            <w:shd w:val="clear" w:color="auto" w:fill="auto"/>
            <w:noWrap/>
            <w:vAlign w:val="bottom"/>
            <w:hideMark/>
          </w:tcPr>
          <w:p w14:paraId="003A6509"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GATAGCCAGCCTAGAGGTATGG</w:t>
            </w:r>
          </w:p>
        </w:tc>
        <w:tc>
          <w:tcPr>
            <w:tcW w:w="3351" w:type="dxa"/>
            <w:tcBorders>
              <w:top w:val="nil"/>
              <w:left w:val="nil"/>
              <w:bottom w:val="single" w:sz="4" w:space="0" w:color="auto"/>
              <w:right w:val="single" w:sz="4" w:space="0" w:color="auto"/>
            </w:tcBorders>
            <w:shd w:val="clear" w:color="auto" w:fill="auto"/>
            <w:noWrap/>
            <w:vAlign w:val="bottom"/>
            <w:hideMark/>
          </w:tcPr>
          <w:p w14:paraId="5B42CBE8"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CCTTGATGTTATCAGGAGGATTCA</w:t>
            </w:r>
          </w:p>
        </w:tc>
      </w:tr>
      <w:tr w:rsidR="00E45474" w:rsidRPr="00215E12" w14:paraId="410E4EF3" w14:textId="77777777" w:rsidTr="0069599A">
        <w:trPr>
          <w:trHeight w:val="453"/>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79CEC68F"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Hu-IL-1β</w:t>
            </w:r>
          </w:p>
        </w:tc>
        <w:tc>
          <w:tcPr>
            <w:tcW w:w="3323" w:type="dxa"/>
            <w:tcBorders>
              <w:top w:val="nil"/>
              <w:left w:val="nil"/>
              <w:bottom w:val="single" w:sz="4" w:space="0" w:color="auto"/>
              <w:right w:val="single" w:sz="4" w:space="0" w:color="auto"/>
            </w:tcBorders>
            <w:shd w:val="clear" w:color="auto" w:fill="auto"/>
            <w:noWrap/>
            <w:vAlign w:val="bottom"/>
            <w:hideMark/>
          </w:tcPr>
          <w:p w14:paraId="0CA445D4"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CCACAGACCTTCCAGGAGAATG</w:t>
            </w:r>
          </w:p>
        </w:tc>
        <w:tc>
          <w:tcPr>
            <w:tcW w:w="3351" w:type="dxa"/>
            <w:tcBorders>
              <w:top w:val="nil"/>
              <w:left w:val="nil"/>
              <w:bottom w:val="single" w:sz="4" w:space="0" w:color="auto"/>
              <w:right w:val="single" w:sz="4" w:space="0" w:color="auto"/>
            </w:tcBorders>
            <w:shd w:val="clear" w:color="auto" w:fill="auto"/>
            <w:noWrap/>
            <w:vAlign w:val="bottom"/>
            <w:hideMark/>
          </w:tcPr>
          <w:p w14:paraId="15177C75"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GTGCAGTTCAGTGATCGTACAGG</w:t>
            </w:r>
          </w:p>
        </w:tc>
      </w:tr>
      <w:tr w:rsidR="00E45474" w:rsidRPr="00215E12" w14:paraId="69414CEE" w14:textId="77777777" w:rsidTr="0069599A">
        <w:trPr>
          <w:trHeight w:val="453"/>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5CF78DD4"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Hu-CXCL1</w:t>
            </w:r>
          </w:p>
        </w:tc>
        <w:tc>
          <w:tcPr>
            <w:tcW w:w="3323" w:type="dxa"/>
            <w:tcBorders>
              <w:top w:val="nil"/>
              <w:left w:val="nil"/>
              <w:bottom w:val="single" w:sz="4" w:space="0" w:color="auto"/>
              <w:right w:val="single" w:sz="4" w:space="0" w:color="auto"/>
            </w:tcBorders>
            <w:shd w:val="clear" w:color="auto" w:fill="auto"/>
            <w:noWrap/>
            <w:vAlign w:val="bottom"/>
            <w:hideMark/>
          </w:tcPr>
          <w:p w14:paraId="2008D7C8"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AGCTTGCCTCAATCCTGCATCC</w:t>
            </w:r>
          </w:p>
        </w:tc>
        <w:tc>
          <w:tcPr>
            <w:tcW w:w="3351" w:type="dxa"/>
            <w:tcBorders>
              <w:top w:val="nil"/>
              <w:left w:val="nil"/>
              <w:bottom w:val="single" w:sz="4" w:space="0" w:color="auto"/>
              <w:right w:val="single" w:sz="4" w:space="0" w:color="auto"/>
            </w:tcBorders>
            <w:shd w:val="clear" w:color="auto" w:fill="auto"/>
            <w:noWrap/>
            <w:vAlign w:val="bottom"/>
            <w:hideMark/>
          </w:tcPr>
          <w:p w14:paraId="0E4ADE5D"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TCCTTCAGGAACAGCCACCAGT</w:t>
            </w:r>
          </w:p>
        </w:tc>
      </w:tr>
      <w:tr w:rsidR="00E45474" w:rsidRPr="00215E12" w14:paraId="29C44C7B" w14:textId="77777777" w:rsidTr="0069599A">
        <w:trPr>
          <w:trHeight w:val="453"/>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09313AAE"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Hu-CCL2</w:t>
            </w:r>
          </w:p>
        </w:tc>
        <w:tc>
          <w:tcPr>
            <w:tcW w:w="3323" w:type="dxa"/>
            <w:tcBorders>
              <w:top w:val="nil"/>
              <w:left w:val="nil"/>
              <w:bottom w:val="single" w:sz="4" w:space="0" w:color="auto"/>
              <w:right w:val="single" w:sz="4" w:space="0" w:color="auto"/>
            </w:tcBorders>
            <w:shd w:val="clear" w:color="auto" w:fill="auto"/>
            <w:noWrap/>
            <w:vAlign w:val="bottom"/>
            <w:hideMark/>
          </w:tcPr>
          <w:p w14:paraId="40A4CE1F"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AGAATCACCAGCAGCAAGTGTCC</w:t>
            </w:r>
          </w:p>
        </w:tc>
        <w:tc>
          <w:tcPr>
            <w:tcW w:w="3351" w:type="dxa"/>
            <w:tcBorders>
              <w:top w:val="nil"/>
              <w:left w:val="nil"/>
              <w:bottom w:val="single" w:sz="4" w:space="0" w:color="auto"/>
              <w:right w:val="single" w:sz="4" w:space="0" w:color="auto"/>
            </w:tcBorders>
            <w:shd w:val="clear" w:color="auto" w:fill="auto"/>
            <w:noWrap/>
            <w:vAlign w:val="bottom"/>
            <w:hideMark/>
          </w:tcPr>
          <w:p w14:paraId="0D845BD9"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TCCTGAACCCACTTCTGCTTGG</w:t>
            </w:r>
          </w:p>
        </w:tc>
      </w:tr>
      <w:tr w:rsidR="00E45474" w:rsidRPr="00215E12" w14:paraId="74FD5BA7" w14:textId="77777777" w:rsidTr="0069599A">
        <w:trPr>
          <w:trHeight w:val="453"/>
        </w:trPr>
        <w:tc>
          <w:tcPr>
            <w:tcW w:w="1593" w:type="dxa"/>
            <w:tcBorders>
              <w:top w:val="nil"/>
              <w:left w:val="single" w:sz="4" w:space="0" w:color="auto"/>
              <w:bottom w:val="single" w:sz="4" w:space="0" w:color="auto"/>
              <w:right w:val="single" w:sz="4" w:space="0" w:color="auto"/>
            </w:tcBorders>
            <w:shd w:val="clear" w:color="auto" w:fill="auto"/>
            <w:noWrap/>
            <w:vAlign w:val="bottom"/>
            <w:hideMark/>
          </w:tcPr>
          <w:p w14:paraId="6AB6CA72" w14:textId="77777777" w:rsidR="00E45474" w:rsidRPr="00215E12" w:rsidRDefault="00E45474" w:rsidP="00215E12">
            <w:pPr>
              <w:widowControl/>
              <w:spacing w:line="480" w:lineRule="auto"/>
              <w:jc w:val="center"/>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Hu-IL-8</w:t>
            </w:r>
          </w:p>
        </w:tc>
        <w:tc>
          <w:tcPr>
            <w:tcW w:w="3323" w:type="dxa"/>
            <w:tcBorders>
              <w:top w:val="nil"/>
              <w:left w:val="nil"/>
              <w:bottom w:val="single" w:sz="4" w:space="0" w:color="auto"/>
              <w:right w:val="single" w:sz="4" w:space="0" w:color="auto"/>
            </w:tcBorders>
            <w:shd w:val="clear" w:color="auto" w:fill="auto"/>
            <w:noWrap/>
            <w:vAlign w:val="bottom"/>
            <w:hideMark/>
          </w:tcPr>
          <w:p w14:paraId="0181675C"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GAGAGTGATTGAGAGTGGACCAC</w:t>
            </w:r>
          </w:p>
        </w:tc>
        <w:tc>
          <w:tcPr>
            <w:tcW w:w="3351" w:type="dxa"/>
            <w:tcBorders>
              <w:top w:val="nil"/>
              <w:left w:val="nil"/>
              <w:bottom w:val="single" w:sz="4" w:space="0" w:color="auto"/>
              <w:right w:val="single" w:sz="4" w:space="0" w:color="auto"/>
            </w:tcBorders>
            <w:shd w:val="clear" w:color="auto" w:fill="auto"/>
            <w:noWrap/>
            <w:vAlign w:val="bottom"/>
            <w:hideMark/>
          </w:tcPr>
          <w:p w14:paraId="5C66F622" w14:textId="77777777" w:rsidR="00E45474" w:rsidRPr="00215E12" w:rsidRDefault="00E45474" w:rsidP="00215E12">
            <w:pPr>
              <w:widowControl/>
              <w:spacing w:line="480" w:lineRule="auto"/>
              <w:jc w:val="left"/>
              <w:rPr>
                <w:rFonts w:ascii="Times New Roman" w:eastAsia="等线" w:hAnsi="Times New Roman" w:cs="Times New Roman"/>
                <w:color w:val="000000"/>
                <w:kern w:val="0"/>
                <w:sz w:val="24"/>
                <w:szCs w:val="24"/>
                <w14:ligatures w14:val="none"/>
              </w:rPr>
            </w:pPr>
            <w:r w:rsidRPr="00215E12">
              <w:rPr>
                <w:rFonts w:ascii="Times New Roman" w:eastAsia="等线" w:hAnsi="Times New Roman" w:cs="Times New Roman"/>
                <w:color w:val="000000"/>
                <w:kern w:val="0"/>
                <w:sz w:val="24"/>
                <w:szCs w:val="24"/>
                <w14:ligatures w14:val="none"/>
              </w:rPr>
              <w:t>CACAACCCTCTGCACCCAGTTT</w:t>
            </w:r>
          </w:p>
        </w:tc>
      </w:tr>
    </w:tbl>
    <w:p w14:paraId="36B21127" w14:textId="77777777" w:rsidR="00E45474" w:rsidRPr="00215E12" w:rsidRDefault="00E45474" w:rsidP="00215E12">
      <w:pPr>
        <w:spacing w:line="480" w:lineRule="auto"/>
        <w:rPr>
          <w:rFonts w:ascii="Times New Roman" w:hAnsi="Times New Roman" w:cs="Times New Roman"/>
          <w:b/>
          <w:bCs/>
          <w:sz w:val="24"/>
          <w:szCs w:val="24"/>
        </w:rPr>
      </w:pPr>
      <w:r w:rsidRPr="00215E12">
        <w:rPr>
          <w:rFonts w:ascii="Times New Roman" w:eastAsia="等线" w:hAnsi="Times New Roman" w:cs="Times New Roman"/>
          <w:color w:val="000000"/>
          <w:kern w:val="0"/>
          <w:sz w:val="24"/>
          <w:szCs w:val="24"/>
          <w14:ligatures w14:val="none"/>
        </w:rPr>
        <w:t>Table2.Primers used for the amplification of transcripts by qPCR</w:t>
      </w:r>
    </w:p>
    <w:p w14:paraId="6848C5D4" w14:textId="506DF621"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1.11</w:t>
      </w:r>
      <w:r w:rsidR="00E45474" w:rsidRPr="00215E12">
        <w:rPr>
          <w:rFonts w:ascii="Times New Roman" w:hAnsi="Times New Roman" w:cs="Times New Roman"/>
          <w:b/>
          <w:bCs/>
          <w:sz w:val="24"/>
          <w:szCs w:val="24"/>
        </w:rPr>
        <w:t xml:space="preserve"> Western Blot Analysis</w:t>
      </w:r>
      <w:r w:rsidR="00E45474" w:rsidRPr="00215E12">
        <w:rPr>
          <w:rFonts w:ascii="Times New Roman" w:hAnsi="Times New Roman" w:cs="Times New Roman"/>
          <w:sz w:val="24"/>
          <w:szCs w:val="24"/>
        </w:rPr>
        <w:t xml:space="preserve"> Total protein concentration was determined using a BCA protein assay kit (KGB2101, Key-GEN). Western blotting experiments were performed according to the protocol described below. Briefly, protein samples were separated by SDS-polyacrylamide gel electrophoresis, transferred to polyvinylidene fluoride membranes, blocked with 5% BSA for 1 hour at room temperature, and then incubated overnight at 4°C with primary antibodies. Primary antibodies included anti-GSDMD (ER1901-37, HuaBio, China), anti-GSDME (HA723251, HuaBio, China), anti-Cleaved-Caspase-1 (AF4005, Affinity, China), anti-Cleaved-Caspase-3 (AF7022, Affinity, China), anti-Cleaved-Caspase 7 (AF4023, Affinity, China), anti-MLKL (ET1601-25, HuaBio, China), anti-phospho-MLKL (HA724063, HuaBio, China), anti-phospho-MLKL (ET1705-51, HuaBio, China), anti-NLRC5 (DF13672, Affinity, </w:t>
      </w:r>
      <w:r w:rsidR="00E45474" w:rsidRPr="00215E12">
        <w:rPr>
          <w:rFonts w:ascii="Times New Roman" w:hAnsi="Times New Roman" w:cs="Times New Roman"/>
          <w:sz w:val="24"/>
          <w:szCs w:val="24"/>
        </w:rPr>
        <w:lastRenderedPageBreak/>
        <w:t>China), and anti-GAPDH (81640–5-RR, Proteintech, China). All antibodies were diluted according to the concentrations recommended on the official websites. After washing with Tris-buffered saline (TBS) containing 0.1% Tween-20, they were incubated with species-related peroxidase-conjugated secondary antibodies for 1 hour at room temperature. Protein bands were detected using Signal Fire Elite ECL Reagent (12757, CST) and an imaging system (Tanon 5200CE). Analysis was performed using ImageJ software.</w:t>
      </w:r>
    </w:p>
    <w:p w14:paraId="4ADA4CDA" w14:textId="30B4B9E4"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1.12</w:t>
      </w:r>
      <w:r w:rsidR="00E45474" w:rsidRPr="00215E12">
        <w:rPr>
          <w:rFonts w:ascii="Times New Roman" w:hAnsi="Times New Roman" w:cs="Times New Roman"/>
          <w:b/>
          <w:bCs/>
          <w:sz w:val="24"/>
          <w:szCs w:val="24"/>
        </w:rPr>
        <w:t xml:space="preserve"> H&amp;E Staining</w:t>
      </w:r>
      <w:r w:rsidR="00E45474" w:rsidRPr="00215E12">
        <w:rPr>
          <w:rFonts w:ascii="Times New Roman" w:hAnsi="Times New Roman" w:cs="Times New Roman"/>
          <w:sz w:val="24"/>
          <w:szCs w:val="24"/>
        </w:rPr>
        <w:t xml:space="preserve"> Mouse liver tissues were fixed with 4% paraformaldehyde, embedded in paraffin, and sectioned. H&amp;E staining was performed to assess tissue structure and collagen fibers. Morphological changes and collagen content were observed using a microscope (Nikon 80i, Tochigi, Japan).</w:t>
      </w:r>
    </w:p>
    <w:p w14:paraId="33C3242F" w14:textId="194310FD"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1.13</w:t>
      </w:r>
      <w:r w:rsidR="00E45474" w:rsidRPr="00215E12">
        <w:rPr>
          <w:rFonts w:ascii="Times New Roman" w:hAnsi="Times New Roman" w:cs="Times New Roman"/>
          <w:b/>
          <w:bCs/>
          <w:sz w:val="24"/>
          <w:szCs w:val="24"/>
        </w:rPr>
        <w:t xml:space="preserve"> Immunohistochemistry and Immunofluorescence Staining</w:t>
      </w:r>
      <w:r w:rsidR="00E45474" w:rsidRPr="00215E12">
        <w:rPr>
          <w:rFonts w:ascii="Times New Roman" w:hAnsi="Times New Roman" w:cs="Times New Roman"/>
          <w:sz w:val="24"/>
          <w:szCs w:val="24"/>
        </w:rPr>
        <w:t xml:space="preserve"> Mouse liver tissues were fixed with 4% PFA. Paraffin-embedded sections (5 μm) were prepared for staining. Routine procedures included using xylene to remove paraffin and penetrate tissue, followed by a gradient alcohol series for dehydration and xylene removal. Tissue specimens were blocked in 5% bovine serum albumin (BSA) for 1 hour and probed with primary antibodies overnight at 4°C. Primary antibodies used were: anti-CD3 (GB150004, Servicebio, China) and anti-F4/80 (GB113373, Servicebio, China). After primary antibody incubation, sections and cells were washed and incubated with secondary antibodies (K5007, DAKO) at room temperature for 1 h. Histological staining was performed on the sections, and the immune reaction was observed with 3,3′-diaminobenzidine (DAB) (G1212-200 T, Servicebio, China), followed by </w:t>
      </w:r>
      <w:r w:rsidR="00E45474" w:rsidRPr="00215E12">
        <w:rPr>
          <w:rFonts w:ascii="Times New Roman" w:hAnsi="Times New Roman" w:cs="Times New Roman"/>
          <w:sz w:val="24"/>
          <w:szCs w:val="24"/>
        </w:rPr>
        <w:lastRenderedPageBreak/>
        <w:t>counterstaining with hematoxylin.</w:t>
      </w:r>
    </w:p>
    <w:p w14:paraId="604FE282" w14:textId="77777777" w:rsidR="00E45474" w:rsidRPr="00215E12" w:rsidRDefault="00E45474" w:rsidP="00215E12">
      <w:pPr>
        <w:spacing w:line="480" w:lineRule="auto"/>
        <w:rPr>
          <w:rFonts w:ascii="Times New Roman" w:hAnsi="Times New Roman" w:cs="Times New Roman"/>
          <w:sz w:val="24"/>
          <w:szCs w:val="24"/>
        </w:rPr>
      </w:pPr>
      <w:r w:rsidRPr="00215E12">
        <w:rPr>
          <w:rFonts w:ascii="Times New Roman" w:hAnsi="Times New Roman" w:cs="Times New Roman"/>
          <w:sz w:val="24"/>
          <w:szCs w:val="24"/>
        </w:rPr>
        <w:t>When performing immunofluorescence staining, sections and cells were washed and then incubated with suitable Alexa Fluor-conjugated secondary antibodies (ThermoFisher) for 1 hour at room temperature. Sections and cells were rinsed again and nuclei were counterstained with DAPI. Images were captured using a confocal microscope (LSM 880, Zeiss) and analyzed using ImageJ software.</w:t>
      </w:r>
    </w:p>
    <w:p w14:paraId="73B18158" w14:textId="1C9E4D39"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1.14</w:t>
      </w:r>
      <w:r w:rsidR="00E45474" w:rsidRPr="00215E12">
        <w:rPr>
          <w:rFonts w:ascii="Times New Roman" w:hAnsi="Times New Roman" w:cs="Times New Roman"/>
          <w:b/>
          <w:bCs/>
          <w:sz w:val="24"/>
          <w:szCs w:val="24"/>
        </w:rPr>
        <w:t xml:space="preserve"> Transmission Electron Microscopy (TEM) &amp; Scanning Electron Microscopy (SEM)</w:t>
      </w:r>
      <w:r w:rsidR="00E45474" w:rsidRPr="00215E12">
        <w:rPr>
          <w:rFonts w:ascii="Times New Roman" w:hAnsi="Times New Roman" w:cs="Times New Roman"/>
          <w:sz w:val="24"/>
          <w:szCs w:val="24"/>
        </w:rPr>
        <w:t xml:space="preserve"> The liver tissue was cut into 1 mm³ pieces. Liver tissue and Huh7 hepatocytes were fixed in 4% glutaraldehyde (Servicebio, China) at 4°C for 2 h, washed with 0.1 mol/L phosphate buffer, and then fixed in 1% osmium tetroxide. The tissue and cells were dehydrated in gradient acetone and then infiltrated, embedded, and polymerized. The processed specimens were cut into ultrathin sections with a thickness of ≈70 nm, double stained with uranium lead, and subsequently observed under a transmission electron microscope. For scanning electron microscopy (SEM), larger blocks were taken after perfusion fixation, kept in 4% cold glutaraldehyde, processed for SEM, and then examined using a scanning electron microscope.</w:t>
      </w:r>
    </w:p>
    <w:p w14:paraId="7BBC114A" w14:textId="171D53FA"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1.15</w:t>
      </w:r>
      <w:r w:rsidR="00E45474" w:rsidRPr="00215E12">
        <w:rPr>
          <w:rFonts w:ascii="Times New Roman" w:hAnsi="Times New Roman" w:cs="Times New Roman"/>
          <w:b/>
          <w:bCs/>
          <w:sz w:val="24"/>
          <w:szCs w:val="24"/>
        </w:rPr>
        <w:t xml:space="preserve"> EdU Staining</w:t>
      </w:r>
      <w:r w:rsidR="00E45474" w:rsidRPr="00215E12">
        <w:rPr>
          <w:rFonts w:ascii="Times New Roman" w:hAnsi="Times New Roman" w:cs="Times New Roman"/>
          <w:sz w:val="24"/>
          <w:szCs w:val="24"/>
        </w:rPr>
        <w:t xml:space="preserve"> Huh7 or AML12 cells were seeded in 6-well plates. When the cell fusion rate reached about 80%, appropriate concentrations of APAP were added for 24 hours of stimulation. The APAP-containing medium was removed, and EdU staining was performed according to the Click-iT EdU-555 Kit (Servicebio, China) protocol. After completion, observation was conducted with a fluorescence microscope and analysis was performed using ImageJ software.</w:t>
      </w:r>
    </w:p>
    <w:p w14:paraId="78F03BB1" w14:textId="51C0FEC4"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lastRenderedPageBreak/>
        <w:t>1.16</w:t>
      </w:r>
      <w:r w:rsidR="00E45474" w:rsidRPr="00215E12">
        <w:rPr>
          <w:rFonts w:ascii="Times New Roman" w:hAnsi="Times New Roman" w:cs="Times New Roman"/>
          <w:b/>
          <w:bCs/>
          <w:sz w:val="24"/>
          <w:szCs w:val="24"/>
        </w:rPr>
        <w:t xml:space="preserve"> PI Staining</w:t>
      </w:r>
      <w:r w:rsidR="00E45474" w:rsidRPr="00215E12">
        <w:rPr>
          <w:rFonts w:ascii="Times New Roman" w:hAnsi="Times New Roman" w:cs="Times New Roman"/>
          <w:sz w:val="24"/>
          <w:szCs w:val="24"/>
        </w:rPr>
        <w:t xml:space="preserve"> Huh7 or AML12 cells were seeded in 6-well plates. When the cell fusion rate reached about 80%, appropriate concentrations of APAP were added for 24 hours of stimulation. The APAP-containing medium was removed, and cells were incubated with 5 µg/mL PI dye (Servicebio, China) for 15 minutes at room temperature in the dark. After counterstaining with DAPI, observation was conducted with a fluorescence microscope and analysis was performed using ImageJ software.</w:t>
      </w:r>
    </w:p>
    <w:p w14:paraId="332EE039" w14:textId="6E1712E8"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1.17</w:t>
      </w:r>
      <w:r w:rsidR="00E45474" w:rsidRPr="00215E12">
        <w:rPr>
          <w:rFonts w:ascii="Times New Roman" w:hAnsi="Times New Roman" w:cs="Times New Roman"/>
          <w:b/>
          <w:bCs/>
          <w:sz w:val="24"/>
          <w:szCs w:val="24"/>
        </w:rPr>
        <w:t xml:space="preserve"> JC-1 Staining</w:t>
      </w:r>
      <w:r w:rsidR="00E45474" w:rsidRPr="00215E12">
        <w:rPr>
          <w:rFonts w:ascii="Times New Roman" w:hAnsi="Times New Roman" w:cs="Times New Roman"/>
          <w:sz w:val="24"/>
          <w:szCs w:val="24"/>
        </w:rPr>
        <w:t xml:space="preserve"> JC-1 (Cat. No.: J125134, Aladdin, Shanghai, China) staining was used to analyze mitochondrial membranes. Huh7 or AML12 cells were seeded in 6-well plates. When the cell fusion rate reached about 80%, appropriate concentrations of APAP were added for 24 hours of stimulation. The APAP-containing medium was removed, and staining was performed with JC-1 for 20 minutes at 37°C in the dark. After washing with fresh medium, observation was conducted with a fluorescence microscope and analysis was performed using ImageJ software.</w:t>
      </w:r>
    </w:p>
    <w:p w14:paraId="285CCC57" w14:textId="40E52F5D" w:rsidR="00E45474"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1.18</w:t>
      </w:r>
      <w:r w:rsidR="00E45474" w:rsidRPr="00215E12">
        <w:rPr>
          <w:rFonts w:ascii="Times New Roman" w:hAnsi="Times New Roman" w:cs="Times New Roman"/>
          <w:b/>
          <w:bCs/>
          <w:sz w:val="24"/>
          <w:szCs w:val="24"/>
        </w:rPr>
        <w:t xml:space="preserve"> MitoSox Staining</w:t>
      </w:r>
      <w:r w:rsidR="00E45474" w:rsidRPr="00215E12">
        <w:rPr>
          <w:rFonts w:ascii="Times New Roman" w:hAnsi="Times New Roman" w:cs="Times New Roman"/>
          <w:sz w:val="24"/>
          <w:szCs w:val="24"/>
        </w:rPr>
        <w:t xml:space="preserve"> Huh7 or AML12 cells were seeded in 6-well plates. When the cell fusion rate reached about 80%, appropriate concentrations of APAP were added for 24 hours of stimulation. The APAP-containing medium was removed, and MitoSOX Red (Servicebio, China) was used for incubation in the dark for 20 minutes. Subsequently, cells were digested, washed, and resuspended in 300 μL PBS, and immediately detected using flow cytometry. FlowJo V10 software was used for result analysis.</w:t>
      </w:r>
    </w:p>
    <w:p w14:paraId="36740541" w14:textId="433570CE" w:rsidR="00FA31C9" w:rsidRPr="00215E12"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t>1.19</w:t>
      </w:r>
      <w:r w:rsidR="00FA31C9" w:rsidRPr="00215E12">
        <w:rPr>
          <w:rFonts w:ascii="Times New Roman" w:hAnsi="Times New Roman" w:cs="Times New Roman"/>
          <w:b/>
          <w:bCs/>
          <w:sz w:val="24"/>
          <w:szCs w:val="24"/>
        </w:rPr>
        <w:t xml:space="preserve"> Macrophage Migration Ability Test</w:t>
      </w:r>
      <w:r w:rsidR="00FA31C9" w:rsidRPr="00215E12">
        <w:rPr>
          <w:rFonts w:ascii="Times New Roman" w:hAnsi="Times New Roman" w:cs="Times New Roman"/>
          <w:sz w:val="24"/>
          <w:szCs w:val="24"/>
        </w:rPr>
        <w:t xml:space="preserve"> C57BL/6 male mice aged 6-8 weeks were taken, anesthetized, and euthanized by cervical dislocation, then placed in 75% alcohol </w:t>
      </w:r>
      <w:r w:rsidR="00FA31C9" w:rsidRPr="00215E12">
        <w:rPr>
          <w:rFonts w:ascii="Times New Roman" w:hAnsi="Times New Roman" w:cs="Times New Roman"/>
          <w:sz w:val="24"/>
          <w:szCs w:val="24"/>
        </w:rPr>
        <w:lastRenderedPageBreak/>
        <w:t>for 5 minutes of disinfection. Bilateral femurs and tibias were separated under sterile conditions, and attached muscles were removed. The ends of the bones were cut open, and the bone marrow cavity was flushed with DMEM high-glucose medium containing 10% FBS and 1% P/S until the bones turned white. The flushing fluid was collected, filtered through a 70 μm cell strainer, and centrifuged at 1500 rpm for 5 minutes. The supernatant was discarded, and ACK lysis buffer was added for 2 minutes to remove red blood cells, followed by washing with PBS and centrifugation. The obtained bone marrow cells were resuspended in DMEM complete medium containing 50 ng/mL M-CSF and seeded in culture dishes. They were cultured in an incubator at 37°C with 5% CO2. After 24 hours, non-adherent cells were collected and transferred to new dishes for continued culture. On the 4th day, fresh medium containing M-CSF was added. By the 7th day, the cells exhibited typical macrophage morphology, having differentiated into mature BMDMs, and were ready for subsequent experiments. Huh7 cells were seeded in the lower chamber of a 24-well plate. When the cell fusion rate reached about 80%, appropriate concentrations of APAP were added for 24 hours of stimulation. The APAP-containing medium was removed, medium (15% FBS + 1% P/S) was added, and then Transwell inserts were placed. Next, medium containing 1×10^5 macrophages (10% FBS + 1% P/S) was added to the upper chamber. After 24 hours, the Transwell inserts were removed, and the migrated and invaded cells were fixed with 4% paraformaldehyde for 15 minutes. Cells on the upper side of the membrane were removed, and the remaining cells were stained with 1% crystal violet. Photos were taken with an optical microscope, and the number of cells in each field was counted.</w:t>
      </w:r>
    </w:p>
    <w:p w14:paraId="73F9152E" w14:textId="0D8226B7" w:rsidR="00086350" w:rsidRPr="00C576C5" w:rsidRDefault="00B10199" w:rsidP="00215E12">
      <w:pPr>
        <w:spacing w:line="480" w:lineRule="auto"/>
        <w:rPr>
          <w:rFonts w:ascii="Times New Roman" w:hAnsi="Times New Roman" w:cs="Times New Roman"/>
          <w:sz w:val="24"/>
          <w:szCs w:val="24"/>
        </w:rPr>
      </w:pPr>
      <w:r w:rsidRPr="00215E12">
        <w:rPr>
          <w:rFonts w:ascii="Times New Roman" w:hAnsi="Times New Roman" w:cs="Times New Roman"/>
          <w:b/>
          <w:bCs/>
          <w:sz w:val="24"/>
          <w:szCs w:val="24"/>
        </w:rPr>
        <w:lastRenderedPageBreak/>
        <w:t>1.20</w:t>
      </w:r>
      <w:r w:rsidR="00FA31C9" w:rsidRPr="00215E12">
        <w:rPr>
          <w:rFonts w:ascii="Times New Roman" w:hAnsi="Times New Roman" w:cs="Times New Roman"/>
          <w:b/>
          <w:bCs/>
          <w:sz w:val="24"/>
          <w:szCs w:val="24"/>
        </w:rPr>
        <w:t xml:space="preserve"> T Cell Proliferation Experiment</w:t>
      </w:r>
      <w:r w:rsidR="00FA31C9" w:rsidRPr="00215E12">
        <w:rPr>
          <w:rFonts w:ascii="Times New Roman" w:hAnsi="Times New Roman" w:cs="Times New Roman"/>
          <w:sz w:val="24"/>
          <w:szCs w:val="24"/>
        </w:rPr>
        <w:t xml:space="preserve"> C57BL/6 mice aged 6-8 weeks were taken, and spleens were removed under sterile conditions. Spleens were gently ground on a 70 μm cell strainer and flushed with cold PBS containing 2% FBS to prepare a single-cell suspension. After centrifugation (1500 rpm, 5 minutes), ACK lysis buffer was added for 2 minutes to remove red blood cells, followed by washing with PBS and resuspension. High-purity CD3+ T cells were obtained by sorting using the EasySep™ Mouse T Cell Isolation Kit (STEMCELL Technologies). Cells were resuspended in PBS, CFSE working solution was added and mixed thoroughly, and then incubated at 37°C in the dark for 10-20 minutes. 5 volumes of cold complete medium containing 10% FBS were added and kept on ice for 5 minutes to terminate the staining reaction. After centrifugation (1500 rpm, 5 minutes), the supernatant was discarded, and cells were washed twice with complete medium to thoroughly remove free CFSE. Huh7 cells were seeded in the lower chamber of a 24-well plate. When the cell fusion rate reached about 80%, appropriate concentrations of APAP were added for 24 hours of stimulation. The APAP-containing medium was removed, the aforementioned treated primary T cells were added, and anti-CD3 and CD28 activation was provided. After 72 hours, T cells were collected for flow cytometry detection.</w:t>
      </w:r>
    </w:p>
    <w:p w14:paraId="7FADFDDB" w14:textId="7433F015" w:rsidR="00086350" w:rsidRDefault="00086350" w:rsidP="00C576C5">
      <w:pPr>
        <w:spacing w:line="480" w:lineRule="auto"/>
        <w:rPr>
          <w:rFonts w:ascii="Times New Roman" w:hAnsi="Times New Roman" w:cs="Times New Roman"/>
          <w:b/>
          <w:bCs/>
          <w:sz w:val="24"/>
          <w:szCs w:val="28"/>
        </w:rPr>
      </w:pPr>
      <w:r w:rsidRPr="00215E12">
        <w:rPr>
          <w:rFonts w:ascii="Times New Roman" w:hAnsi="Times New Roman" w:cs="Times New Roman"/>
          <w:b/>
          <w:bCs/>
          <w:sz w:val="24"/>
          <w:szCs w:val="28"/>
        </w:rPr>
        <w:t>2</w:t>
      </w:r>
      <w:r w:rsidR="00EF6474" w:rsidRPr="00215E12">
        <w:rPr>
          <w:rFonts w:ascii="Times New Roman" w:hAnsi="Times New Roman" w:cs="Times New Roman"/>
          <w:b/>
          <w:bCs/>
          <w:sz w:val="24"/>
          <w:szCs w:val="28"/>
        </w:rPr>
        <w:t xml:space="preserve">. Supplemental </w:t>
      </w:r>
      <w:r w:rsidRPr="00215E12">
        <w:rPr>
          <w:rFonts w:ascii="Times New Roman" w:hAnsi="Times New Roman" w:cs="Times New Roman"/>
          <w:b/>
          <w:bCs/>
          <w:sz w:val="24"/>
          <w:szCs w:val="28"/>
        </w:rPr>
        <w:t xml:space="preserve">Figures </w:t>
      </w:r>
      <w:r w:rsidR="003D38D3">
        <w:rPr>
          <w:rFonts w:ascii="Times New Roman" w:hAnsi="Times New Roman" w:cs="Times New Roman" w:hint="eastAsia"/>
          <w:b/>
          <w:bCs/>
          <w:sz w:val="24"/>
          <w:szCs w:val="28"/>
        </w:rPr>
        <w:t xml:space="preserve">and </w:t>
      </w:r>
      <w:r w:rsidRPr="00215E12">
        <w:rPr>
          <w:rFonts w:ascii="Times New Roman" w:hAnsi="Times New Roman" w:cs="Times New Roman"/>
          <w:b/>
          <w:bCs/>
          <w:sz w:val="24"/>
          <w:szCs w:val="28"/>
        </w:rPr>
        <w:t>Legends</w:t>
      </w:r>
    </w:p>
    <w:p w14:paraId="4B3167A8" w14:textId="0F9E99F5" w:rsidR="003D38D3" w:rsidRPr="00215E12" w:rsidRDefault="003D38D3" w:rsidP="00C576C5">
      <w:pPr>
        <w:spacing w:line="480" w:lineRule="auto"/>
        <w:rPr>
          <w:rFonts w:ascii="Times New Roman" w:hAnsi="Times New Roman" w:cs="Times New Roman"/>
          <w:b/>
          <w:bCs/>
          <w:sz w:val="24"/>
          <w:szCs w:val="28"/>
        </w:rPr>
      </w:pPr>
      <w:r>
        <w:rPr>
          <w:rFonts w:ascii="Times New Roman" w:hAnsi="Times New Roman" w:cs="Times New Roman"/>
          <w:b/>
          <w:bCs/>
          <w:noProof/>
          <w:sz w:val="24"/>
          <w:szCs w:val="28"/>
        </w:rPr>
        <w:lastRenderedPageBreak/>
        <w:drawing>
          <wp:inline distT="0" distB="0" distL="0" distR="0" wp14:anchorId="4AE759F6" wp14:editId="156E4E51">
            <wp:extent cx="4317365" cy="5764530"/>
            <wp:effectExtent l="0" t="0" r="698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7365" cy="5764530"/>
                    </a:xfrm>
                    <a:prstGeom prst="rect">
                      <a:avLst/>
                    </a:prstGeom>
                    <a:noFill/>
                    <a:ln>
                      <a:noFill/>
                    </a:ln>
                  </pic:spPr>
                </pic:pic>
              </a:graphicData>
            </a:graphic>
          </wp:inline>
        </w:drawing>
      </w:r>
    </w:p>
    <w:p w14:paraId="576B3314" w14:textId="77777777" w:rsidR="004407F7" w:rsidRPr="00215E12" w:rsidRDefault="004407F7" w:rsidP="00215E12">
      <w:pPr>
        <w:spacing w:line="480" w:lineRule="auto"/>
        <w:rPr>
          <w:rFonts w:ascii="Times New Roman" w:hAnsi="Times New Roman" w:cs="Times New Roman"/>
          <w:b/>
          <w:bCs/>
          <w:sz w:val="24"/>
          <w:szCs w:val="28"/>
        </w:rPr>
      </w:pPr>
      <w:r w:rsidRPr="00215E12">
        <w:rPr>
          <w:rFonts w:ascii="Times New Roman" w:hAnsi="Times New Roman" w:cs="Times New Roman"/>
          <w:b/>
          <w:bCs/>
          <w:sz w:val="24"/>
          <w:szCs w:val="28"/>
        </w:rPr>
        <w:t>Supplementary Figure 1. Identification of Mesenchymal Stem Cells (MSCs) and the extraction and characterization of apoptotic vesicles (ApoVs).</w:t>
      </w:r>
    </w:p>
    <w:p w14:paraId="46937C94"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(A) Flow cytometry detection of MSC surface marker expression. This includes negative markers such as CD24, CD19, CD45, CD116, and CD34, as well as positive markers such as CD105, CD44, CD73, CD90, and HLA-DR.</w:t>
      </w:r>
    </w:p>
    <w:p w14:paraId="231F0C57"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 xml:space="preserve">(B) Identification of the tri-lineage differentiation potential of MSCs. From left to right: Alizarin Red staining (osteogenic differentiation), Oil Red O staining (adipogenic </w:t>
      </w:r>
      <w:r w:rsidRPr="00215E12">
        <w:rPr>
          <w:rFonts w:ascii="Times New Roman" w:hAnsi="Times New Roman" w:cs="Times New Roman"/>
          <w:sz w:val="24"/>
          <w:szCs w:val="28"/>
        </w:rPr>
        <w:lastRenderedPageBreak/>
        <w:t>differentiation), and Alcian Blue staining (chondrogenic differentiation). Scale bar = 100 μm.</w:t>
      </w:r>
    </w:p>
    <w:p w14:paraId="79291F86"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(C) Schematic diagram of the experimental workflow for inducing MSC apoptosis using staurosporine (STS) and extracting apoptotic vesicles (ApoVs).</w:t>
      </w:r>
    </w:p>
    <w:p w14:paraId="39AB412E"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(D) Morphological changes of normal MSCs (NC-MSC) and STS-induced apoptotic MSCs (STS-MSC) observed under an optical microscope. Scale bar = 100 μm.</w:t>
      </w:r>
    </w:p>
    <w:p w14:paraId="79F051F5"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(E) Fluorescence staining to observe the nuclei and apoptotic morphology of NC-MSC and STS-MSC. Scale bar = 100 μm.</w:t>
      </w:r>
    </w:p>
    <w:p w14:paraId="13851274"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(F) Western blot analysis of the expression levels of marker proteins (e.g., CD63, Caspase-3, Cleaved-Caspase-3, CD9, etc.) in MSCs and ApoVs.</w:t>
      </w:r>
    </w:p>
    <w:p w14:paraId="732195B9"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(G) Particle size distribution of ApoVs detected by Nanoparticle Tracking Analysis (NTA).</w:t>
      </w:r>
    </w:p>
    <w:p w14:paraId="64349BF5" w14:textId="77777777" w:rsidR="003D38D3"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(H) Morphology of ApoVs observed under a transmission electron microscope (TEM).</w:t>
      </w:r>
    </w:p>
    <w:p w14:paraId="0F812B48" w14:textId="000F40C6" w:rsidR="00750E0D" w:rsidRPr="00C576C5" w:rsidRDefault="003D38D3" w:rsidP="00215E12">
      <w:pPr>
        <w:spacing w:line="480" w:lineRule="auto"/>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5444E2B9" wp14:editId="6BF79DD1">
            <wp:extent cx="4317365" cy="5764530"/>
            <wp:effectExtent l="0" t="0" r="698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17365" cy="5764530"/>
                    </a:xfrm>
                    <a:prstGeom prst="rect">
                      <a:avLst/>
                    </a:prstGeom>
                    <a:noFill/>
                    <a:ln>
                      <a:noFill/>
                    </a:ln>
                  </pic:spPr>
                </pic:pic>
              </a:graphicData>
            </a:graphic>
          </wp:inline>
        </w:drawing>
      </w:r>
    </w:p>
    <w:p w14:paraId="153FA116" w14:textId="77777777" w:rsidR="004407F7" w:rsidRPr="00215E12" w:rsidRDefault="004407F7" w:rsidP="00215E12">
      <w:pPr>
        <w:spacing w:line="480" w:lineRule="auto"/>
        <w:rPr>
          <w:rFonts w:ascii="Times New Roman" w:hAnsi="Times New Roman" w:cs="Times New Roman"/>
          <w:b/>
          <w:bCs/>
          <w:sz w:val="24"/>
          <w:szCs w:val="28"/>
        </w:rPr>
      </w:pPr>
      <w:r w:rsidRPr="00215E12">
        <w:rPr>
          <w:rFonts w:ascii="Times New Roman" w:hAnsi="Times New Roman" w:cs="Times New Roman"/>
          <w:b/>
          <w:bCs/>
          <w:sz w:val="24"/>
          <w:szCs w:val="28"/>
        </w:rPr>
        <w:t>Supplementary Figure 2. Acetaminophen (APAP)-induced cell injury and related protein expression.</w:t>
      </w:r>
    </w:p>
    <w:p w14:paraId="451380AA"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(A, B) Bar graphs showing the relative fluorescence area of TUNEL staining under different treatment groups to evaluate the level of cell apoptosis.</w:t>
      </w:r>
    </w:p>
    <w:p w14:paraId="765060B2" w14:textId="77777777" w:rsidR="003D38D3"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 xml:space="preserve">(C) Western blot analysis and band densitometry quantification showing the relative expression levels of pyroptosis- and apoptosis-related proteins (GSDMD-N, GSDME-N, Cleaved-Caspase-1, Cleaved-Caspase-3, Cleaved-Caspase-7, etc.) in each group </w:t>
      </w:r>
      <w:r w:rsidRPr="00215E12">
        <w:rPr>
          <w:rFonts w:ascii="Times New Roman" w:hAnsi="Times New Roman" w:cs="Times New Roman"/>
          <w:sz w:val="24"/>
          <w:szCs w:val="28"/>
        </w:rPr>
        <w:lastRenderedPageBreak/>
        <w:t>(NC, APAP stimulation group, ApoV treatment group).</w:t>
      </w:r>
    </w:p>
    <w:p w14:paraId="785757B5" w14:textId="7FABA11A" w:rsidR="00750E0D" w:rsidRPr="00C576C5" w:rsidRDefault="003D38D3" w:rsidP="00215E12">
      <w:pPr>
        <w:spacing w:line="480" w:lineRule="auto"/>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39925B73" wp14:editId="384FE457">
            <wp:extent cx="4317365" cy="5764530"/>
            <wp:effectExtent l="0" t="0" r="698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17365" cy="5764530"/>
                    </a:xfrm>
                    <a:prstGeom prst="rect">
                      <a:avLst/>
                    </a:prstGeom>
                    <a:noFill/>
                    <a:ln>
                      <a:noFill/>
                    </a:ln>
                  </pic:spPr>
                </pic:pic>
              </a:graphicData>
            </a:graphic>
          </wp:inline>
        </w:drawing>
      </w:r>
    </w:p>
    <w:p w14:paraId="2DA81E31" w14:textId="77777777" w:rsidR="004407F7" w:rsidRPr="00215E12" w:rsidRDefault="004407F7" w:rsidP="00215E12">
      <w:pPr>
        <w:spacing w:line="480" w:lineRule="auto"/>
        <w:rPr>
          <w:rFonts w:ascii="Times New Roman" w:hAnsi="Times New Roman" w:cs="Times New Roman"/>
          <w:b/>
          <w:bCs/>
          <w:sz w:val="24"/>
          <w:szCs w:val="28"/>
        </w:rPr>
      </w:pPr>
      <w:r w:rsidRPr="00215E12">
        <w:rPr>
          <w:rFonts w:ascii="Times New Roman" w:hAnsi="Times New Roman" w:cs="Times New Roman"/>
          <w:b/>
          <w:bCs/>
          <w:sz w:val="24"/>
          <w:szCs w:val="28"/>
        </w:rPr>
        <w:t>Supplementary Figure 3. Protective effect of ApoVs on the survival, proliferation, and death of APAP-induced hepatocytes (Huh7/AML12).</w:t>
      </w:r>
    </w:p>
    <w:p w14:paraId="259B15D8"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(A) CCK8 assay detecting the effect of different concentrations of APAP (0-40 mM) stimulation on cell viability.</w:t>
      </w:r>
    </w:p>
    <w:p w14:paraId="49A1C35B"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(B, C) CCK8 assay detecting the cell viability (OD450 absorbance) of AML12 cells in the normal control group (NC), APAP model group, and ApoV treatment group.</w:t>
      </w:r>
    </w:p>
    <w:p w14:paraId="5DD04343"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lastRenderedPageBreak/>
        <w:t>(D) EdU staining area of Huh7 cells in the normal control group (NC), APAP model group, and ApoV treatment group.</w:t>
      </w:r>
    </w:p>
    <w:p w14:paraId="19B14CF1"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(E) TUNEL staining area of Huh7 cells in the normal control group (NC), APAP model group, and ApoV treatment group.</w:t>
      </w:r>
    </w:p>
    <w:p w14:paraId="41E166BC"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(F) Representative images of EdU staining and fluorescence microscopy of AML12 cells to evaluate cell proliferation capacity under different treatment groups. The bar graph shows the relative EdU-positive area statistics.</w:t>
      </w:r>
    </w:p>
    <w:p w14:paraId="7F2F0213"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(G) Representative images of TUNEL staining and relative area quantification analysis of AML12 cells to evaluate APAP-induced cell apoptosis and the ameliorating effect of ApoVs.</w:t>
      </w:r>
    </w:p>
    <w:p w14:paraId="496F938E"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(H) Relative area statistics of PI (propidium iodide) staining to evaluate cell necrosis/membrane permeability changes.</w:t>
      </w:r>
    </w:p>
    <w:p w14:paraId="4F661963" w14:textId="6CAABAAC" w:rsidR="00750E0D"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(I) JC-1 staining showing the level of mitochondrial damage.</w:t>
      </w:r>
    </w:p>
    <w:p w14:paraId="795DA838" w14:textId="55DB9ADB" w:rsidR="003D38D3" w:rsidRPr="00C576C5" w:rsidRDefault="003D38D3" w:rsidP="00215E12">
      <w:pPr>
        <w:spacing w:line="480" w:lineRule="auto"/>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723FAC49" wp14:editId="1A8D42FF">
            <wp:extent cx="4317365" cy="5764530"/>
            <wp:effectExtent l="0" t="0" r="6985"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7365" cy="5764530"/>
                    </a:xfrm>
                    <a:prstGeom prst="rect">
                      <a:avLst/>
                    </a:prstGeom>
                    <a:noFill/>
                    <a:ln>
                      <a:noFill/>
                    </a:ln>
                  </pic:spPr>
                </pic:pic>
              </a:graphicData>
            </a:graphic>
          </wp:inline>
        </w:drawing>
      </w:r>
    </w:p>
    <w:p w14:paraId="289981B0" w14:textId="77777777" w:rsidR="004407F7" w:rsidRPr="00215E12" w:rsidRDefault="004407F7" w:rsidP="00215E12">
      <w:pPr>
        <w:spacing w:line="480" w:lineRule="auto"/>
        <w:rPr>
          <w:rFonts w:ascii="Times New Roman" w:hAnsi="Times New Roman" w:cs="Times New Roman"/>
          <w:b/>
          <w:bCs/>
          <w:sz w:val="24"/>
          <w:szCs w:val="28"/>
        </w:rPr>
      </w:pPr>
      <w:r w:rsidRPr="00215E12">
        <w:rPr>
          <w:rFonts w:ascii="Times New Roman" w:hAnsi="Times New Roman" w:cs="Times New Roman"/>
          <w:b/>
          <w:bCs/>
          <w:sz w:val="24"/>
          <w:szCs w:val="28"/>
        </w:rPr>
        <w:t>Supplementary Figure 4. ApoVs inhibit APAP-induced pro-inflammatory cytokine expression.</w:t>
      </w:r>
    </w:p>
    <w:p w14:paraId="241113B5"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(A) qRT-PCR detection of the relative mRNA expression levels of various pro-inflammatory cytokines and chemokines, including TNF-α, IL-18, IL-1β, CXCL1, CCL2, and IL-16, in mouse liver tissues among different treatment groups (NC, APAP, ApoV).</w:t>
      </w:r>
    </w:p>
    <w:p w14:paraId="3E2DC745"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(B) qRT-PCR detection of the relative mRNA expression levels of various pro-</w:t>
      </w:r>
      <w:r w:rsidRPr="00215E12">
        <w:rPr>
          <w:rFonts w:ascii="Times New Roman" w:hAnsi="Times New Roman" w:cs="Times New Roman"/>
          <w:sz w:val="24"/>
          <w:szCs w:val="28"/>
        </w:rPr>
        <w:lastRenderedPageBreak/>
        <w:t xml:space="preserve">inflammatory cytokines and chemokines, including TNF-α, IL-18, IL-1β, CXCL1, CCL2, and IL-8, in </w:t>
      </w:r>
      <w:r w:rsidRPr="00215E12">
        <w:rPr>
          <w:rFonts w:ascii="Times New Roman" w:hAnsi="Times New Roman" w:cs="Times New Roman"/>
          <w:i/>
          <w:iCs/>
          <w:sz w:val="24"/>
          <w:szCs w:val="28"/>
        </w:rPr>
        <w:t>in vitro</w:t>
      </w:r>
      <w:r w:rsidRPr="00215E12">
        <w:rPr>
          <w:rFonts w:ascii="Times New Roman" w:hAnsi="Times New Roman" w:cs="Times New Roman"/>
          <w:sz w:val="24"/>
          <w:szCs w:val="28"/>
        </w:rPr>
        <w:t xml:space="preserve"> hepatocytes among different treatment groups (NC, APAP, ApoV).</w:t>
      </w:r>
    </w:p>
    <w:p w14:paraId="47822459" w14:textId="5A4D48B9" w:rsidR="00750E0D"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(C) Quantitative analysis of the proliferation of CD3+, CD4+, and CD8+ T cells in each group (NC, APAP group, and NLRC5 knockdown group) using CFSE staining.</w:t>
      </w:r>
    </w:p>
    <w:p w14:paraId="427D329B" w14:textId="585ECDB1" w:rsidR="001C1359" w:rsidRDefault="000E673F" w:rsidP="00215E12">
      <w:pPr>
        <w:spacing w:line="480" w:lineRule="auto"/>
        <w:rPr>
          <w:rFonts w:ascii="Times New Roman" w:hAnsi="Times New Roman" w:cs="Times New Roman"/>
          <w:sz w:val="24"/>
          <w:szCs w:val="28"/>
        </w:rPr>
      </w:pPr>
      <w:r>
        <w:rPr>
          <w:noProof/>
        </w:rPr>
        <w:drawing>
          <wp:inline distT="0" distB="0" distL="0" distR="0" wp14:anchorId="586F0A93" wp14:editId="3A47A37B">
            <wp:extent cx="4317365" cy="5764530"/>
            <wp:effectExtent l="0" t="0" r="6985"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17365" cy="5764530"/>
                    </a:xfrm>
                    <a:prstGeom prst="rect">
                      <a:avLst/>
                    </a:prstGeom>
                    <a:noFill/>
                    <a:ln>
                      <a:noFill/>
                    </a:ln>
                  </pic:spPr>
                </pic:pic>
              </a:graphicData>
            </a:graphic>
          </wp:inline>
        </w:drawing>
      </w:r>
    </w:p>
    <w:p w14:paraId="3F6ACC36" w14:textId="0B8D30E8" w:rsidR="001C1359" w:rsidRPr="00A62DC6" w:rsidRDefault="001C1359" w:rsidP="001C1359">
      <w:pPr>
        <w:spacing w:line="480" w:lineRule="auto"/>
        <w:rPr>
          <w:rFonts w:ascii="Times New Roman" w:hAnsi="Times New Roman" w:cs="Times New Roman"/>
          <w:b/>
          <w:bCs/>
          <w:sz w:val="24"/>
          <w:szCs w:val="24"/>
        </w:rPr>
      </w:pPr>
      <w:r w:rsidRPr="00215E12">
        <w:rPr>
          <w:rFonts w:ascii="Times New Roman" w:hAnsi="Times New Roman" w:cs="Times New Roman"/>
          <w:b/>
          <w:bCs/>
          <w:sz w:val="24"/>
          <w:szCs w:val="28"/>
        </w:rPr>
        <w:t xml:space="preserve">Supplementary Figure </w:t>
      </w:r>
      <w:r>
        <w:rPr>
          <w:rFonts w:ascii="Times New Roman" w:hAnsi="Times New Roman" w:cs="Times New Roman" w:hint="eastAsia"/>
          <w:b/>
          <w:bCs/>
          <w:sz w:val="24"/>
          <w:szCs w:val="28"/>
        </w:rPr>
        <w:t>5</w:t>
      </w:r>
      <w:r w:rsidRPr="00A62DC6">
        <w:rPr>
          <w:rFonts w:ascii="Times New Roman" w:hAnsi="Times New Roman" w:cs="Times New Roman"/>
          <w:b/>
          <w:bCs/>
          <w:sz w:val="24"/>
          <w:szCs w:val="24"/>
        </w:rPr>
        <w:t>. Identification of PANoptosome Formation in Human Liver Tissue Specimens from Drug-Induced Liver Injury (DILI).</w:t>
      </w:r>
    </w:p>
    <w:p w14:paraId="7F291339" w14:textId="77777777" w:rsidR="001C1359" w:rsidRPr="00A62DC6" w:rsidRDefault="001C1359" w:rsidP="001C1359">
      <w:pPr>
        <w:spacing w:line="480" w:lineRule="auto"/>
        <w:rPr>
          <w:rFonts w:ascii="Times New Roman" w:hAnsi="Times New Roman" w:cs="Times New Roman"/>
          <w:sz w:val="24"/>
          <w:szCs w:val="24"/>
        </w:rPr>
      </w:pPr>
      <w:r w:rsidRPr="00A62DC6">
        <w:rPr>
          <w:rFonts w:ascii="Times New Roman" w:hAnsi="Times New Roman" w:cs="Times New Roman"/>
          <w:b/>
          <w:bCs/>
          <w:sz w:val="24"/>
          <w:szCs w:val="24"/>
        </w:rPr>
        <w:lastRenderedPageBreak/>
        <w:t>(A)</w:t>
      </w:r>
      <w:r w:rsidRPr="00A62DC6">
        <w:rPr>
          <w:rFonts w:ascii="Times New Roman" w:hAnsi="Times New Roman" w:cs="Times New Roman"/>
          <w:sz w:val="24"/>
          <w:szCs w:val="24"/>
        </w:rPr>
        <w:t xml:space="preserve"> Representative H&amp;E staining images comparing liver sections from the Control group and the DILI group. Scale bars: 200 μm (top) and 50 μm (bottom).</w:t>
      </w:r>
    </w:p>
    <w:p w14:paraId="65D36937" w14:textId="77777777" w:rsidR="001C1359" w:rsidRPr="00A62DC6" w:rsidRDefault="001C1359" w:rsidP="001C1359">
      <w:pPr>
        <w:spacing w:line="480" w:lineRule="auto"/>
        <w:rPr>
          <w:rFonts w:ascii="Times New Roman" w:hAnsi="Times New Roman" w:cs="Times New Roman"/>
          <w:sz w:val="24"/>
          <w:szCs w:val="24"/>
        </w:rPr>
      </w:pPr>
      <w:r w:rsidRPr="00A62DC6">
        <w:rPr>
          <w:rFonts w:ascii="Times New Roman" w:hAnsi="Times New Roman" w:cs="Times New Roman"/>
          <w:b/>
          <w:bCs/>
          <w:sz w:val="24"/>
          <w:szCs w:val="24"/>
        </w:rPr>
        <w:t>(B)</w:t>
      </w:r>
      <w:r w:rsidRPr="00A62DC6">
        <w:rPr>
          <w:rFonts w:ascii="Times New Roman" w:hAnsi="Times New Roman" w:cs="Times New Roman"/>
          <w:sz w:val="24"/>
          <w:szCs w:val="24"/>
        </w:rPr>
        <w:t xml:space="preserve"> Representative TUNEL staining images comparing liver sections from the Control group and the DILI group. Scale bar: 100 μm.</w:t>
      </w:r>
    </w:p>
    <w:p w14:paraId="5ACB0445" w14:textId="74820672" w:rsidR="001C1359" w:rsidRPr="001C1359" w:rsidRDefault="001C1359" w:rsidP="00215E12">
      <w:pPr>
        <w:spacing w:line="480" w:lineRule="auto"/>
        <w:rPr>
          <w:rFonts w:ascii="Times New Roman" w:hAnsi="Times New Roman" w:cs="Times New Roman" w:hint="eastAsia"/>
          <w:sz w:val="24"/>
          <w:szCs w:val="24"/>
        </w:rPr>
      </w:pPr>
      <w:r w:rsidRPr="00A62DC6">
        <w:rPr>
          <w:rFonts w:ascii="Times New Roman" w:hAnsi="Times New Roman" w:cs="Times New Roman"/>
          <w:b/>
          <w:bCs/>
          <w:sz w:val="24"/>
          <w:szCs w:val="24"/>
        </w:rPr>
        <w:t>(C)</w:t>
      </w:r>
      <w:r w:rsidRPr="00A62DC6">
        <w:rPr>
          <w:rFonts w:ascii="Times New Roman" w:hAnsi="Times New Roman" w:cs="Times New Roman"/>
          <w:sz w:val="24"/>
          <w:szCs w:val="24"/>
        </w:rPr>
        <w:t xml:space="preserve"> Representative immunofluorescence staining of liver sections from the DILI group, showing RIPK3 (green), ASC (red), Caspase-8 (yellow), and DAPI (blue). Scale bar: 5 μm.</w:t>
      </w:r>
    </w:p>
    <w:p w14:paraId="5D70A495" w14:textId="2B3FFFA2" w:rsidR="003D38D3" w:rsidRPr="00C576C5" w:rsidRDefault="003D38D3" w:rsidP="00215E12">
      <w:pPr>
        <w:spacing w:line="480" w:lineRule="auto"/>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4CFBC14D" wp14:editId="534BB5E0">
            <wp:extent cx="4317365" cy="5764530"/>
            <wp:effectExtent l="0" t="0" r="6985"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7365" cy="5764530"/>
                    </a:xfrm>
                    <a:prstGeom prst="rect">
                      <a:avLst/>
                    </a:prstGeom>
                    <a:noFill/>
                    <a:ln>
                      <a:noFill/>
                    </a:ln>
                  </pic:spPr>
                </pic:pic>
              </a:graphicData>
            </a:graphic>
          </wp:inline>
        </w:drawing>
      </w:r>
    </w:p>
    <w:p w14:paraId="6F06CD7E" w14:textId="4111A568" w:rsidR="004407F7" w:rsidRPr="00215E12" w:rsidRDefault="004407F7" w:rsidP="00215E12">
      <w:pPr>
        <w:spacing w:line="480" w:lineRule="auto"/>
        <w:rPr>
          <w:rFonts w:ascii="Times New Roman" w:hAnsi="Times New Roman" w:cs="Times New Roman"/>
          <w:b/>
          <w:bCs/>
          <w:sz w:val="24"/>
          <w:szCs w:val="28"/>
        </w:rPr>
      </w:pPr>
      <w:r w:rsidRPr="00215E12">
        <w:rPr>
          <w:rFonts w:ascii="Times New Roman" w:hAnsi="Times New Roman" w:cs="Times New Roman"/>
          <w:b/>
          <w:bCs/>
          <w:sz w:val="24"/>
          <w:szCs w:val="28"/>
        </w:rPr>
        <w:lastRenderedPageBreak/>
        <w:t xml:space="preserve">Supplementary Figure </w:t>
      </w:r>
      <w:r w:rsidR="001C1359">
        <w:rPr>
          <w:rFonts w:ascii="Times New Roman" w:hAnsi="Times New Roman" w:cs="Times New Roman" w:hint="eastAsia"/>
          <w:b/>
          <w:bCs/>
          <w:sz w:val="24"/>
          <w:szCs w:val="28"/>
        </w:rPr>
        <w:t>6</w:t>
      </w:r>
      <w:r w:rsidRPr="00215E12">
        <w:rPr>
          <w:rFonts w:ascii="Times New Roman" w:hAnsi="Times New Roman" w:cs="Times New Roman"/>
          <w:b/>
          <w:bCs/>
          <w:sz w:val="24"/>
          <w:szCs w:val="28"/>
        </w:rPr>
        <w:t>. Effects of APAP and NLRC5 knockdown on mitochondrial function and T cell proliferation.</w:t>
      </w:r>
    </w:p>
    <w:p w14:paraId="730653B4"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(A) Statistical analysis of the TUNEL staining area under different treatment groups.</w:t>
      </w:r>
    </w:p>
    <w:p w14:paraId="54C62730"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(B) Quantitative analysis of the relative fluorescence area of PI staining to evaluate cell death.</w:t>
      </w:r>
    </w:p>
    <w:p w14:paraId="50DA2D96"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(C) Quantitative analysis of the relative fluorescence area of JC-1 staining to evaluate changes in cell mitochondrial membrane potential.</w:t>
      </w:r>
    </w:p>
    <w:p w14:paraId="4D14707E" w14:textId="2B2E9023" w:rsidR="00750E0D" w:rsidRDefault="004407F7" w:rsidP="00C576C5">
      <w:pPr>
        <w:spacing w:line="480" w:lineRule="auto"/>
        <w:rPr>
          <w:rFonts w:ascii="Times New Roman" w:hAnsi="Times New Roman" w:cs="Times New Roman"/>
          <w:sz w:val="24"/>
          <w:szCs w:val="28"/>
        </w:rPr>
      </w:pPr>
      <w:r w:rsidRPr="00215E12">
        <w:rPr>
          <w:rFonts w:ascii="Times New Roman" w:hAnsi="Times New Roman" w:cs="Times New Roman"/>
          <w:sz w:val="24"/>
          <w:szCs w:val="28"/>
        </w:rPr>
        <w:t>(D) Detection of the proliferation capacity of primary CD3+, CD4+, and CD8+ T cells in different groups (NC, APAP, NLRC5-) under a co-culture system using CFSE staining combined with flow cytometry. The right panel shows the quantitative statistics of relative expression in different T cell subpopulations.</w:t>
      </w:r>
    </w:p>
    <w:p w14:paraId="3D34868E" w14:textId="4E579B85" w:rsidR="003D38D3" w:rsidRPr="00C576C5" w:rsidRDefault="003D38D3" w:rsidP="00C576C5">
      <w:pPr>
        <w:spacing w:line="480" w:lineRule="auto"/>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2B19FEEB" wp14:editId="7E851A37">
            <wp:extent cx="4317365" cy="5764530"/>
            <wp:effectExtent l="0" t="0" r="6985"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17365" cy="5764530"/>
                    </a:xfrm>
                    <a:prstGeom prst="rect">
                      <a:avLst/>
                    </a:prstGeom>
                    <a:noFill/>
                    <a:ln>
                      <a:noFill/>
                    </a:ln>
                  </pic:spPr>
                </pic:pic>
              </a:graphicData>
            </a:graphic>
          </wp:inline>
        </w:drawing>
      </w:r>
    </w:p>
    <w:p w14:paraId="34693399" w14:textId="6887E0F0" w:rsidR="004407F7" w:rsidRPr="00215E12" w:rsidRDefault="004407F7" w:rsidP="00215E12">
      <w:pPr>
        <w:spacing w:line="480" w:lineRule="auto"/>
        <w:rPr>
          <w:rFonts w:ascii="Times New Roman" w:hAnsi="Times New Roman" w:cs="Times New Roman"/>
          <w:b/>
          <w:bCs/>
          <w:sz w:val="24"/>
          <w:szCs w:val="28"/>
        </w:rPr>
      </w:pPr>
      <w:r w:rsidRPr="00215E12">
        <w:rPr>
          <w:rFonts w:ascii="Times New Roman" w:hAnsi="Times New Roman" w:cs="Times New Roman"/>
          <w:b/>
          <w:bCs/>
          <w:sz w:val="24"/>
          <w:szCs w:val="28"/>
        </w:rPr>
        <w:t xml:space="preserve">Supplementary Figure </w:t>
      </w:r>
      <w:r w:rsidR="001C1359">
        <w:rPr>
          <w:rFonts w:ascii="Times New Roman" w:hAnsi="Times New Roman" w:cs="Times New Roman" w:hint="eastAsia"/>
          <w:b/>
          <w:bCs/>
          <w:sz w:val="24"/>
          <w:szCs w:val="28"/>
        </w:rPr>
        <w:t>7</w:t>
      </w:r>
      <w:r w:rsidRPr="00215E12">
        <w:rPr>
          <w:rFonts w:ascii="Times New Roman" w:hAnsi="Times New Roman" w:cs="Times New Roman"/>
          <w:b/>
          <w:bCs/>
          <w:sz w:val="24"/>
          <w:szCs w:val="28"/>
        </w:rPr>
        <w:t>. Effects of macrophage migration and miR-</w:t>
      </w:r>
      <w:r w:rsidR="00890AB8">
        <w:rPr>
          <w:rFonts w:ascii="Times New Roman" w:hAnsi="Times New Roman" w:cs="Times New Roman" w:hint="eastAsia"/>
          <w:b/>
          <w:bCs/>
          <w:sz w:val="24"/>
          <w:szCs w:val="28"/>
        </w:rPr>
        <w:t>378a</w:t>
      </w:r>
      <w:r w:rsidRPr="00215E12">
        <w:rPr>
          <w:rFonts w:ascii="Times New Roman" w:hAnsi="Times New Roman" w:cs="Times New Roman"/>
          <w:b/>
          <w:bCs/>
          <w:sz w:val="24"/>
          <w:szCs w:val="28"/>
        </w:rPr>
        <w:t>-5p on T cell proliferation and inflammation.</w:t>
      </w:r>
    </w:p>
    <w:p w14:paraId="42ED4102" w14:textId="6764E93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(A) Representative images and quantitative counting of the Transwell assay (crystal violet staining), showing the effects of different treatment groups (APAP, mimic NC, mimic miR-</w:t>
      </w:r>
      <w:r w:rsidR="00890AB8">
        <w:rPr>
          <w:rFonts w:ascii="Times New Roman" w:hAnsi="Times New Roman" w:cs="Times New Roman" w:hint="eastAsia"/>
          <w:sz w:val="24"/>
          <w:szCs w:val="28"/>
        </w:rPr>
        <w:t>378a</w:t>
      </w:r>
      <w:r w:rsidRPr="00215E12">
        <w:rPr>
          <w:rFonts w:ascii="Times New Roman" w:hAnsi="Times New Roman" w:cs="Times New Roman"/>
          <w:sz w:val="24"/>
          <w:szCs w:val="28"/>
        </w:rPr>
        <w:t>-5p, inhibitor miR-</w:t>
      </w:r>
      <w:r w:rsidR="00890AB8">
        <w:rPr>
          <w:rFonts w:ascii="Times New Roman" w:hAnsi="Times New Roman" w:cs="Times New Roman" w:hint="eastAsia"/>
          <w:sz w:val="24"/>
          <w:szCs w:val="28"/>
        </w:rPr>
        <w:t>378a</w:t>
      </w:r>
      <w:r w:rsidRPr="00215E12">
        <w:rPr>
          <w:rFonts w:ascii="Times New Roman" w:hAnsi="Times New Roman" w:cs="Times New Roman"/>
          <w:sz w:val="24"/>
          <w:szCs w:val="28"/>
        </w:rPr>
        <w:t>-5p) on macrophage migration and invasion capabilities.</w:t>
      </w:r>
    </w:p>
    <w:p w14:paraId="22E3CE0F"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 xml:space="preserve">(B) CFSE staining combined with flow cytometry to detect the proliferation of CD3+, </w:t>
      </w:r>
      <w:r w:rsidRPr="00215E12">
        <w:rPr>
          <w:rFonts w:ascii="Times New Roman" w:hAnsi="Times New Roman" w:cs="Times New Roman"/>
          <w:sz w:val="24"/>
          <w:szCs w:val="28"/>
        </w:rPr>
        <w:lastRenderedPageBreak/>
        <w:t>CD4+, and CD8+ T cells in each group. The right panel shows the statistical analysis.</w:t>
      </w:r>
    </w:p>
    <w:p w14:paraId="59BB0175" w14:textId="55A5BDF8" w:rsidR="00750E0D"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(C) qRT-PCR detection of the mRNA expression levels of pro-inflammatory cytokines (TNF-α, IL-18, IL-1β, CXCL1, CCL2, IL-16) in cells of each group after transfection with miR-</w:t>
      </w:r>
      <w:r w:rsidR="00890AB8">
        <w:rPr>
          <w:rFonts w:ascii="Times New Roman" w:hAnsi="Times New Roman" w:cs="Times New Roman" w:hint="eastAsia"/>
          <w:sz w:val="24"/>
          <w:szCs w:val="28"/>
        </w:rPr>
        <w:t>378a</w:t>
      </w:r>
      <w:r w:rsidRPr="00215E12">
        <w:rPr>
          <w:rFonts w:ascii="Times New Roman" w:hAnsi="Times New Roman" w:cs="Times New Roman"/>
          <w:sz w:val="24"/>
          <w:szCs w:val="28"/>
        </w:rPr>
        <w:t>-5p mimic or inhibitor.</w:t>
      </w:r>
    </w:p>
    <w:p w14:paraId="0E9CB91B" w14:textId="1173C444" w:rsidR="003D38D3" w:rsidRPr="00C576C5" w:rsidRDefault="003D38D3" w:rsidP="00215E12">
      <w:pPr>
        <w:spacing w:line="480" w:lineRule="auto"/>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02B45382" wp14:editId="47ED87F2">
            <wp:extent cx="4317365" cy="5764530"/>
            <wp:effectExtent l="0" t="0" r="6985"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17365" cy="5764530"/>
                    </a:xfrm>
                    <a:prstGeom prst="rect">
                      <a:avLst/>
                    </a:prstGeom>
                    <a:noFill/>
                    <a:ln>
                      <a:noFill/>
                    </a:ln>
                  </pic:spPr>
                </pic:pic>
              </a:graphicData>
            </a:graphic>
          </wp:inline>
        </w:drawing>
      </w:r>
    </w:p>
    <w:p w14:paraId="27C0DF9A" w14:textId="599226A6" w:rsidR="004407F7" w:rsidRPr="00215E12" w:rsidRDefault="004407F7" w:rsidP="00215E12">
      <w:pPr>
        <w:spacing w:line="480" w:lineRule="auto"/>
        <w:rPr>
          <w:rFonts w:ascii="Times New Roman" w:hAnsi="Times New Roman" w:cs="Times New Roman"/>
          <w:b/>
          <w:bCs/>
          <w:sz w:val="24"/>
          <w:szCs w:val="28"/>
        </w:rPr>
      </w:pPr>
      <w:r w:rsidRPr="00215E12">
        <w:rPr>
          <w:rFonts w:ascii="Times New Roman" w:hAnsi="Times New Roman" w:cs="Times New Roman"/>
          <w:b/>
          <w:bCs/>
          <w:sz w:val="24"/>
          <w:szCs w:val="28"/>
        </w:rPr>
        <w:t xml:space="preserve">Supplementary Figure </w:t>
      </w:r>
      <w:r w:rsidR="001C1359">
        <w:rPr>
          <w:rFonts w:ascii="Times New Roman" w:hAnsi="Times New Roman" w:cs="Times New Roman" w:hint="eastAsia"/>
          <w:b/>
          <w:bCs/>
          <w:sz w:val="24"/>
          <w:szCs w:val="28"/>
        </w:rPr>
        <w:t>8</w:t>
      </w:r>
      <w:r w:rsidRPr="00215E12">
        <w:rPr>
          <w:rFonts w:ascii="Times New Roman" w:hAnsi="Times New Roman" w:cs="Times New Roman"/>
          <w:b/>
          <w:bCs/>
          <w:sz w:val="24"/>
          <w:szCs w:val="28"/>
        </w:rPr>
        <w:t>. Prediction of miRNAs targeting NLRC5 and validation by luciferase reporter assay.</w:t>
      </w:r>
    </w:p>
    <w:p w14:paraId="2D4EE698"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 xml:space="preserve">(A) Venn diagram showing potential targeting miRNAs predicted by intersecting ApoV </w:t>
      </w:r>
      <w:r w:rsidRPr="00215E12">
        <w:rPr>
          <w:rFonts w:ascii="Times New Roman" w:hAnsi="Times New Roman" w:cs="Times New Roman"/>
          <w:sz w:val="24"/>
          <w:szCs w:val="28"/>
        </w:rPr>
        <w:lastRenderedPageBreak/>
        <w:t>sequencing results with Targetscan and miRDB databases.</w:t>
      </w:r>
    </w:p>
    <w:p w14:paraId="46F13248" w14:textId="77777777" w:rsidR="004407F7" w:rsidRPr="00215E12"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(B) Dual-luciferase reporter assay validation: relative luciferase activity was detected after co-transfecting wild-type (NLRC5-WT) or mutant (NLRC5-MUT) plasmids with miR-378a-5p mimic.</w:t>
      </w:r>
    </w:p>
    <w:p w14:paraId="7E682952" w14:textId="5275A6A3" w:rsidR="004407F7" w:rsidRPr="00C576C5" w:rsidRDefault="004407F7" w:rsidP="00215E12">
      <w:pPr>
        <w:spacing w:line="480" w:lineRule="auto"/>
        <w:rPr>
          <w:rFonts w:ascii="Times New Roman" w:hAnsi="Times New Roman" w:cs="Times New Roman"/>
          <w:sz w:val="24"/>
          <w:szCs w:val="28"/>
        </w:rPr>
      </w:pPr>
      <w:r w:rsidRPr="00215E12">
        <w:rPr>
          <w:rFonts w:ascii="Times New Roman" w:hAnsi="Times New Roman" w:cs="Times New Roman"/>
          <w:sz w:val="24"/>
          <w:szCs w:val="28"/>
        </w:rPr>
        <w:t>(C) Sequence alignment of predicted binding sites between miR-378a-5p and human (Human NLRC5 3'UTR) and mouse (Mouse NLRC5 3'UTR) target genes, along with the constructed mutant (Mutant NLRC5 3'UTR) sequence presentation.</w:t>
      </w:r>
    </w:p>
    <w:sectPr w:rsidR="004407F7" w:rsidRPr="00C576C5" w:rsidSect="00C576C5">
      <w:footerReference w:type="default" r:id="rId16"/>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A25D7" w14:textId="77777777" w:rsidR="001176C8" w:rsidRDefault="001176C8" w:rsidP="00E45474">
      <w:pPr>
        <w:rPr>
          <w:rFonts w:hint="eastAsia"/>
        </w:rPr>
      </w:pPr>
      <w:r>
        <w:separator/>
      </w:r>
    </w:p>
  </w:endnote>
  <w:endnote w:type="continuationSeparator" w:id="0">
    <w:p w14:paraId="02F80D52" w14:textId="77777777" w:rsidR="001176C8" w:rsidRDefault="001176C8" w:rsidP="00E4547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011283"/>
      <w:docPartObj>
        <w:docPartGallery w:val="Page Numbers (Bottom of Page)"/>
        <w:docPartUnique/>
      </w:docPartObj>
    </w:sdtPr>
    <w:sdtContent>
      <w:p w14:paraId="5AD8646D" w14:textId="05CFA1B0" w:rsidR="00C576C5" w:rsidRDefault="00C576C5">
        <w:pPr>
          <w:pStyle w:val="af0"/>
          <w:jc w:val="center"/>
          <w:rPr>
            <w:rFonts w:hint="eastAsia"/>
          </w:rPr>
        </w:pPr>
        <w:r>
          <w:fldChar w:fldCharType="begin"/>
        </w:r>
        <w:r>
          <w:instrText>PAGE   \* MERGEFORMAT</w:instrText>
        </w:r>
        <w:r>
          <w:fldChar w:fldCharType="separate"/>
        </w:r>
        <w:r>
          <w:rPr>
            <w:lang w:val="zh-CN"/>
          </w:rPr>
          <w:t>2</w:t>
        </w:r>
        <w:r>
          <w:fldChar w:fldCharType="end"/>
        </w:r>
      </w:p>
    </w:sdtContent>
  </w:sdt>
  <w:p w14:paraId="3F3D38EB" w14:textId="77777777" w:rsidR="00C576C5" w:rsidRDefault="00C576C5">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25B5E" w14:textId="77777777" w:rsidR="001176C8" w:rsidRDefault="001176C8" w:rsidP="00E45474">
      <w:pPr>
        <w:rPr>
          <w:rFonts w:hint="eastAsia"/>
        </w:rPr>
      </w:pPr>
      <w:r>
        <w:separator/>
      </w:r>
    </w:p>
  </w:footnote>
  <w:footnote w:type="continuationSeparator" w:id="0">
    <w:p w14:paraId="793925CA" w14:textId="77777777" w:rsidR="001176C8" w:rsidRDefault="001176C8" w:rsidP="00E4547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92A68"/>
    <w:multiLevelType w:val="multilevel"/>
    <w:tmpl w:val="FF1A5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D87A8D"/>
    <w:multiLevelType w:val="multilevel"/>
    <w:tmpl w:val="7A1E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E35B81"/>
    <w:multiLevelType w:val="multilevel"/>
    <w:tmpl w:val="74BA9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D40AFA"/>
    <w:multiLevelType w:val="multilevel"/>
    <w:tmpl w:val="7694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0A0218"/>
    <w:multiLevelType w:val="multilevel"/>
    <w:tmpl w:val="1EE0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3C3CF9"/>
    <w:multiLevelType w:val="multilevel"/>
    <w:tmpl w:val="BD2A7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B87C17"/>
    <w:multiLevelType w:val="multilevel"/>
    <w:tmpl w:val="976C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9153590">
    <w:abstractNumId w:val="4"/>
  </w:num>
  <w:num w:numId="2" w16cid:durableId="928581142">
    <w:abstractNumId w:val="0"/>
  </w:num>
  <w:num w:numId="3" w16cid:durableId="1719669442">
    <w:abstractNumId w:val="6"/>
  </w:num>
  <w:num w:numId="4" w16cid:durableId="1616793595">
    <w:abstractNumId w:val="3"/>
  </w:num>
  <w:num w:numId="5" w16cid:durableId="208685938">
    <w:abstractNumId w:val="1"/>
  </w:num>
  <w:num w:numId="6" w16cid:durableId="352465572">
    <w:abstractNumId w:val="2"/>
  </w:num>
  <w:num w:numId="7" w16cid:durableId="15550004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E34"/>
    <w:rsid w:val="00086350"/>
    <w:rsid w:val="000E673F"/>
    <w:rsid w:val="001176C8"/>
    <w:rsid w:val="0014028B"/>
    <w:rsid w:val="001C1359"/>
    <w:rsid w:val="001F6ABC"/>
    <w:rsid w:val="00215E12"/>
    <w:rsid w:val="00231626"/>
    <w:rsid w:val="002B47F0"/>
    <w:rsid w:val="002B54CA"/>
    <w:rsid w:val="003911F1"/>
    <w:rsid w:val="003D38D3"/>
    <w:rsid w:val="003E6AB7"/>
    <w:rsid w:val="004407F7"/>
    <w:rsid w:val="004A466C"/>
    <w:rsid w:val="00535330"/>
    <w:rsid w:val="00672BA1"/>
    <w:rsid w:val="00684E34"/>
    <w:rsid w:val="00750E0D"/>
    <w:rsid w:val="00756975"/>
    <w:rsid w:val="007D7B9A"/>
    <w:rsid w:val="00890AB8"/>
    <w:rsid w:val="00A12B21"/>
    <w:rsid w:val="00A5181B"/>
    <w:rsid w:val="00A83736"/>
    <w:rsid w:val="00B06FF9"/>
    <w:rsid w:val="00B10199"/>
    <w:rsid w:val="00B770AA"/>
    <w:rsid w:val="00C576C5"/>
    <w:rsid w:val="00D603E3"/>
    <w:rsid w:val="00E45474"/>
    <w:rsid w:val="00E70ECC"/>
    <w:rsid w:val="00EB2705"/>
    <w:rsid w:val="00EF6474"/>
    <w:rsid w:val="00F1395A"/>
    <w:rsid w:val="00FA31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4F3FD"/>
  <w15:chartTrackingRefBased/>
  <w15:docId w15:val="{CF054508-9B2B-42AD-BF2F-BADBA9500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84E3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84E3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84E3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84E3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84E34"/>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84E34"/>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84E3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84E3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84E3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84E3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84E3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84E3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84E34"/>
    <w:rPr>
      <w:rFonts w:cstheme="majorBidi"/>
      <w:color w:val="2F5496" w:themeColor="accent1" w:themeShade="BF"/>
      <w:sz w:val="28"/>
      <w:szCs w:val="28"/>
    </w:rPr>
  </w:style>
  <w:style w:type="character" w:customStyle="1" w:styleId="50">
    <w:name w:val="标题 5 字符"/>
    <w:basedOn w:val="a0"/>
    <w:link w:val="5"/>
    <w:uiPriority w:val="9"/>
    <w:semiHidden/>
    <w:rsid w:val="00684E34"/>
    <w:rPr>
      <w:rFonts w:cstheme="majorBidi"/>
      <w:color w:val="2F5496" w:themeColor="accent1" w:themeShade="BF"/>
      <w:sz w:val="24"/>
      <w:szCs w:val="24"/>
    </w:rPr>
  </w:style>
  <w:style w:type="character" w:customStyle="1" w:styleId="60">
    <w:name w:val="标题 6 字符"/>
    <w:basedOn w:val="a0"/>
    <w:link w:val="6"/>
    <w:uiPriority w:val="9"/>
    <w:semiHidden/>
    <w:rsid w:val="00684E34"/>
    <w:rPr>
      <w:rFonts w:cstheme="majorBidi"/>
      <w:b/>
      <w:bCs/>
      <w:color w:val="2F5496" w:themeColor="accent1" w:themeShade="BF"/>
    </w:rPr>
  </w:style>
  <w:style w:type="character" w:customStyle="1" w:styleId="70">
    <w:name w:val="标题 7 字符"/>
    <w:basedOn w:val="a0"/>
    <w:link w:val="7"/>
    <w:uiPriority w:val="9"/>
    <w:semiHidden/>
    <w:rsid w:val="00684E34"/>
    <w:rPr>
      <w:rFonts w:cstheme="majorBidi"/>
      <w:b/>
      <w:bCs/>
      <w:color w:val="595959" w:themeColor="text1" w:themeTint="A6"/>
    </w:rPr>
  </w:style>
  <w:style w:type="character" w:customStyle="1" w:styleId="80">
    <w:name w:val="标题 8 字符"/>
    <w:basedOn w:val="a0"/>
    <w:link w:val="8"/>
    <w:uiPriority w:val="9"/>
    <w:semiHidden/>
    <w:rsid w:val="00684E34"/>
    <w:rPr>
      <w:rFonts w:cstheme="majorBidi"/>
      <w:color w:val="595959" w:themeColor="text1" w:themeTint="A6"/>
    </w:rPr>
  </w:style>
  <w:style w:type="character" w:customStyle="1" w:styleId="90">
    <w:name w:val="标题 9 字符"/>
    <w:basedOn w:val="a0"/>
    <w:link w:val="9"/>
    <w:uiPriority w:val="9"/>
    <w:semiHidden/>
    <w:rsid w:val="00684E34"/>
    <w:rPr>
      <w:rFonts w:eastAsiaTheme="majorEastAsia" w:cstheme="majorBidi"/>
      <w:color w:val="595959" w:themeColor="text1" w:themeTint="A6"/>
    </w:rPr>
  </w:style>
  <w:style w:type="paragraph" w:styleId="a3">
    <w:name w:val="Title"/>
    <w:basedOn w:val="a"/>
    <w:next w:val="a"/>
    <w:link w:val="a4"/>
    <w:uiPriority w:val="10"/>
    <w:qFormat/>
    <w:rsid w:val="00684E3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84E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4E3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84E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84E34"/>
    <w:pPr>
      <w:spacing w:before="160" w:after="160"/>
      <w:jc w:val="center"/>
    </w:pPr>
    <w:rPr>
      <w:i/>
      <w:iCs/>
      <w:color w:val="404040" w:themeColor="text1" w:themeTint="BF"/>
    </w:rPr>
  </w:style>
  <w:style w:type="character" w:customStyle="1" w:styleId="a8">
    <w:name w:val="引用 字符"/>
    <w:basedOn w:val="a0"/>
    <w:link w:val="a7"/>
    <w:uiPriority w:val="29"/>
    <w:rsid w:val="00684E34"/>
    <w:rPr>
      <w:i/>
      <w:iCs/>
      <w:color w:val="404040" w:themeColor="text1" w:themeTint="BF"/>
    </w:rPr>
  </w:style>
  <w:style w:type="paragraph" w:styleId="a9">
    <w:name w:val="List Paragraph"/>
    <w:basedOn w:val="a"/>
    <w:uiPriority w:val="34"/>
    <w:qFormat/>
    <w:rsid w:val="00684E34"/>
    <w:pPr>
      <w:ind w:left="720"/>
      <w:contextualSpacing/>
    </w:pPr>
  </w:style>
  <w:style w:type="character" w:styleId="aa">
    <w:name w:val="Intense Emphasis"/>
    <w:basedOn w:val="a0"/>
    <w:uiPriority w:val="21"/>
    <w:qFormat/>
    <w:rsid w:val="00684E34"/>
    <w:rPr>
      <w:i/>
      <w:iCs/>
      <w:color w:val="2F5496" w:themeColor="accent1" w:themeShade="BF"/>
    </w:rPr>
  </w:style>
  <w:style w:type="paragraph" w:styleId="ab">
    <w:name w:val="Intense Quote"/>
    <w:basedOn w:val="a"/>
    <w:next w:val="a"/>
    <w:link w:val="ac"/>
    <w:uiPriority w:val="30"/>
    <w:qFormat/>
    <w:rsid w:val="00684E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84E34"/>
    <w:rPr>
      <w:i/>
      <w:iCs/>
      <w:color w:val="2F5496" w:themeColor="accent1" w:themeShade="BF"/>
    </w:rPr>
  </w:style>
  <w:style w:type="character" w:styleId="ad">
    <w:name w:val="Intense Reference"/>
    <w:basedOn w:val="a0"/>
    <w:uiPriority w:val="32"/>
    <w:qFormat/>
    <w:rsid w:val="00684E34"/>
    <w:rPr>
      <w:b/>
      <w:bCs/>
      <w:smallCaps/>
      <w:color w:val="2F5496" w:themeColor="accent1" w:themeShade="BF"/>
      <w:spacing w:val="5"/>
    </w:rPr>
  </w:style>
  <w:style w:type="paragraph" w:styleId="ae">
    <w:name w:val="header"/>
    <w:basedOn w:val="a"/>
    <w:link w:val="af"/>
    <w:uiPriority w:val="99"/>
    <w:unhideWhenUsed/>
    <w:rsid w:val="00E45474"/>
    <w:pPr>
      <w:tabs>
        <w:tab w:val="center" w:pos="4153"/>
        <w:tab w:val="right" w:pos="8306"/>
      </w:tabs>
      <w:snapToGrid w:val="0"/>
      <w:jc w:val="center"/>
    </w:pPr>
    <w:rPr>
      <w:sz w:val="18"/>
      <w:szCs w:val="18"/>
    </w:rPr>
  </w:style>
  <w:style w:type="character" w:customStyle="1" w:styleId="af">
    <w:name w:val="页眉 字符"/>
    <w:basedOn w:val="a0"/>
    <w:link w:val="ae"/>
    <w:uiPriority w:val="99"/>
    <w:rsid w:val="00E45474"/>
    <w:rPr>
      <w:sz w:val="18"/>
      <w:szCs w:val="18"/>
    </w:rPr>
  </w:style>
  <w:style w:type="paragraph" w:styleId="af0">
    <w:name w:val="footer"/>
    <w:basedOn w:val="a"/>
    <w:link w:val="af1"/>
    <w:uiPriority w:val="99"/>
    <w:unhideWhenUsed/>
    <w:rsid w:val="00E45474"/>
    <w:pPr>
      <w:tabs>
        <w:tab w:val="center" w:pos="4153"/>
        <w:tab w:val="right" w:pos="8306"/>
      </w:tabs>
      <w:snapToGrid w:val="0"/>
      <w:jc w:val="left"/>
    </w:pPr>
    <w:rPr>
      <w:sz w:val="18"/>
      <w:szCs w:val="18"/>
    </w:rPr>
  </w:style>
  <w:style w:type="character" w:customStyle="1" w:styleId="af1">
    <w:name w:val="页脚 字符"/>
    <w:basedOn w:val="a0"/>
    <w:link w:val="af0"/>
    <w:uiPriority w:val="99"/>
    <w:rsid w:val="00E45474"/>
    <w:rPr>
      <w:sz w:val="18"/>
      <w:szCs w:val="18"/>
    </w:rPr>
  </w:style>
  <w:style w:type="character" w:styleId="af2">
    <w:name w:val="line number"/>
    <w:basedOn w:val="a0"/>
    <w:uiPriority w:val="99"/>
    <w:semiHidden/>
    <w:unhideWhenUsed/>
    <w:rsid w:val="00C57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45990">
      <w:bodyDiv w:val="1"/>
      <w:marLeft w:val="0"/>
      <w:marRight w:val="0"/>
      <w:marTop w:val="0"/>
      <w:marBottom w:val="0"/>
      <w:divBdr>
        <w:top w:val="none" w:sz="0" w:space="0" w:color="auto"/>
        <w:left w:val="none" w:sz="0" w:space="0" w:color="auto"/>
        <w:bottom w:val="none" w:sz="0" w:space="0" w:color="auto"/>
        <w:right w:val="none" w:sz="0" w:space="0" w:color="auto"/>
      </w:divBdr>
    </w:div>
    <w:div w:id="201600907">
      <w:bodyDiv w:val="1"/>
      <w:marLeft w:val="0"/>
      <w:marRight w:val="0"/>
      <w:marTop w:val="0"/>
      <w:marBottom w:val="0"/>
      <w:divBdr>
        <w:top w:val="none" w:sz="0" w:space="0" w:color="auto"/>
        <w:left w:val="none" w:sz="0" w:space="0" w:color="auto"/>
        <w:bottom w:val="none" w:sz="0" w:space="0" w:color="auto"/>
        <w:right w:val="none" w:sz="0" w:space="0" w:color="auto"/>
      </w:divBdr>
    </w:div>
    <w:div w:id="299774347">
      <w:bodyDiv w:val="1"/>
      <w:marLeft w:val="0"/>
      <w:marRight w:val="0"/>
      <w:marTop w:val="0"/>
      <w:marBottom w:val="0"/>
      <w:divBdr>
        <w:top w:val="none" w:sz="0" w:space="0" w:color="auto"/>
        <w:left w:val="none" w:sz="0" w:space="0" w:color="auto"/>
        <w:bottom w:val="none" w:sz="0" w:space="0" w:color="auto"/>
        <w:right w:val="none" w:sz="0" w:space="0" w:color="auto"/>
      </w:divBdr>
    </w:div>
    <w:div w:id="332419299">
      <w:bodyDiv w:val="1"/>
      <w:marLeft w:val="0"/>
      <w:marRight w:val="0"/>
      <w:marTop w:val="0"/>
      <w:marBottom w:val="0"/>
      <w:divBdr>
        <w:top w:val="none" w:sz="0" w:space="0" w:color="auto"/>
        <w:left w:val="none" w:sz="0" w:space="0" w:color="auto"/>
        <w:bottom w:val="none" w:sz="0" w:space="0" w:color="auto"/>
        <w:right w:val="none" w:sz="0" w:space="0" w:color="auto"/>
      </w:divBdr>
    </w:div>
    <w:div w:id="512036443">
      <w:bodyDiv w:val="1"/>
      <w:marLeft w:val="0"/>
      <w:marRight w:val="0"/>
      <w:marTop w:val="0"/>
      <w:marBottom w:val="0"/>
      <w:divBdr>
        <w:top w:val="none" w:sz="0" w:space="0" w:color="auto"/>
        <w:left w:val="none" w:sz="0" w:space="0" w:color="auto"/>
        <w:bottom w:val="none" w:sz="0" w:space="0" w:color="auto"/>
        <w:right w:val="none" w:sz="0" w:space="0" w:color="auto"/>
      </w:divBdr>
    </w:div>
    <w:div w:id="669021851">
      <w:bodyDiv w:val="1"/>
      <w:marLeft w:val="0"/>
      <w:marRight w:val="0"/>
      <w:marTop w:val="0"/>
      <w:marBottom w:val="0"/>
      <w:divBdr>
        <w:top w:val="none" w:sz="0" w:space="0" w:color="auto"/>
        <w:left w:val="none" w:sz="0" w:space="0" w:color="auto"/>
        <w:bottom w:val="none" w:sz="0" w:space="0" w:color="auto"/>
        <w:right w:val="none" w:sz="0" w:space="0" w:color="auto"/>
      </w:divBdr>
    </w:div>
    <w:div w:id="696081136">
      <w:bodyDiv w:val="1"/>
      <w:marLeft w:val="0"/>
      <w:marRight w:val="0"/>
      <w:marTop w:val="0"/>
      <w:marBottom w:val="0"/>
      <w:divBdr>
        <w:top w:val="none" w:sz="0" w:space="0" w:color="auto"/>
        <w:left w:val="none" w:sz="0" w:space="0" w:color="auto"/>
        <w:bottom w:val="none" w:sz="0" w:space="0" w:color="auto"/>
        <w:right w:val="none" w:sz="0" w:space="0" w:color="auto"/>
      </w:divBdr>
    </w:div>
    <w:div w:id="741028965">
      <w:bodyDiv w:val="1"/>
      <w:marLeft w:val="0"/>
      <w:marRight w:val="0"/>
      <w:marTop w:val="0"/>
      <w:marBottom w:val="0"/>
      <w:divBdr>
        <w:top w:val="none" w:sz="0" w:space="0" w:color="auto"/>
        <w:left w:val="none" w:sz="0" w:space="0" w:color="auto"/>
        <w:bottom w:val="none" w:sz="0" w:space="0" w:color="auto"/>
        <w:right w:val="none" w:sz="0" w:space="0" w:color="auto"/>
      </w:divBdr>
    </w:div>
    <w:div w:id="850219702">
      <w:bodyDiv w:val="1"/>
      <w:marLeft w:val="0"/>
      <w:marRight w:val="0"/>
      <w:marTop w:val="0"/>
      <w:marBottom w:val="0"/>
      <w:divBdr>
        <w:top w:val="none" w:sz="0" w:space="0" w:color="auto"/>
        <w:left w:val="none" w:sz="0" w:space="0" w:color="auto"/>
        <w:bottom w:val="none" w:sz="0" w:space="0" w:color="auto"/>
        <w:right w:val="none" w:sz="0" w:space="0" w:color="auto"/>
      </w:divBdr>
    </w:div>
    <w:div w:id="866140710">
      <w:bodyDiv w:val="1"/>
      <w:marLeft w:val="0"/>
      <w:marRight w:val="0"/>
      <w:marTop w:val="0"/>
      <w:marBottom w:val="0"/>
      <w:divBdr>
        <w:top w:val="none" w:sz="0" w:space="0" w:color="auto"/>
        <w:left w:val="none" w:sz="0" w:space="0" w:color="auto"/>
        <w:bottom w:val="none" w:sz="0" w:space="0" w:color="auto"/>
        <w:right w:val="none" w:sz="0" w:space="0" w:color="auto"/>
      </w:divBdr>
    </w:div>
    <w:div w:id="1123815522">
      <w:bodyDiv w:val="1"/>
      <w:marLeft w:val="0"/>
      <w:marRight w:val="0"/>
      <w:marTop w:val="0"/>
      <w:marBottom w:val="0"/>
      <w:divBdr>
        <w:top w:val="none" w:sz="0" w:space="0" w:color="auto"/>
        <w:left w:val="none" w:sz="0" w:space="0" w:color="auto"/>
        <w:bottom w:val="none" w:sz="0" w:space="0" w:color="auto"/>
        <w:right w:val="none" w:sz="0" w:space="0" w:color="auto"/>
      </w:divBdr>
    </w:div>
    <w:div w:id="1128475115">
      <w:bodyDiv w:val="1"/>
      <w:marLeft w:val="0"/>
      <w:marRight w:val="0"/>
      <w:marTop w:val="0"/>
      <w:marBottom w:val="0"/>
      <w:divBdr>
        <w:top w:val="none" w:sz="0" w:space="0" w:color="auto"/>
        <w:left w:val="none" w:sz="0" w:space="0" w:color="auto"/>
        <w:bottom w:val="none" w:sz="0" w:space="0" w:color="auto"/>
        <w:right w:val="none" w:sz="0" w:space="0" w:color="auto"/>
      </w:divBdr>
    </w:div>
    <w:div w:id="1459298720">
      <w:bodyDiv w:val="1"/>
      <w:marLeft w:val="0"/>
      <w:marRight w:val="0"/>
      <w:marTop w:val="0"/>
      <w:marBottom w:val="0"/>
      <w:divBdr>
        <w:top w:val="none" w:sz="0" w:space="0" w:color="auto"/>
        <w:left w:val="none" w:sz="0" w:space="0" w:color="auto"/>
        <w:bottom w:val="none" w:sz="0" w:space="0" w:color="auto"/>
        <w:right w:val="none" w:sz="0" w:space="0" w:color="auto"/>
      </w:divBdr>
    </w:div>
    <w:div w:id="1531601220">
      <w:bodyDiv w:val="1"/>
      <w:marLeft w:val="0"/>
      <w:marRight w:val="0"/>
      <w:marTop w:val="0"/>
      <w:marBottom w:val="0"/>
      <w:divBdr>
        <w:top w:val="none" w:sz="0" w:space="0" w:color="auto"/>
        <w:left w:val="none" w:sz="0" w:space="0" w:color="auto"/>
        <w:bottom w:val="none" w:sz="0" w:space="0" w:color="auto"/>
        <w:right w:val="none" w:sz="0" w:space="0" w:color="auto"/>
      </w:divBdr>
    </w:div>
    <w:div w:id="1721326140">
      <w:bodyDiv w:val="1"/>
      <w:marLeft w:val="0"/>
      <w:marRight w:val="0"/>
      <w:marTop w:val="0"/>
      <w:marBottom w:val="0"/>
      <w:divBdr>
        <w:top w:val="none" w:sz="0" w:space="0" w:color="auto"/>
        <w:left w:val="none" w:sz="0" w:space="0" w:color="auto"/>
        <w:bottom w:val="none" w:sz="0" w:space="0" w:color="auto"/>
        <w:right w:val="none" w:sz="0" w:space="0" w:color="auto"/>
      </w:divBdr>
    </w:div>
    <w:div w:id="214527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8FF09-545A-47C1-A8B2-A5EFE9E8F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Pages>
  <Words>3656</Words>
  <Characters>20841</Characters>
  <Application>Microsoft Office Word</Application>
  <DocSecurity>0</DocSecurity>
  <Lines>173</Lines>
  <Paragraphs>48</Paragraphs>
  <ScaleCrop>false</ScaleCrop>
  <Company>中山大学</Company>
  <LinksUpToDate>false</LinksUpToDate>
  <CharactersWithSpaces>24449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Chen</dc:creator>
  <cp:keywords/>
  <dc:description/>
  <cp:lastModifiedBy>Jack Chen</cp:lastModifiedBy>
  <cp:revision>4</cp:revision>
  <dcterms:created xsi:type="dcterms:W3CDTF">2026-03-24T11:36:00Z</dcterms:created>
  <dcterms:modified xsi:type="dcterms:W3CDTF">2026-05-28T01:49:00Z</dcterms:modified>
</cp:coreProperties>
</file>