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BC9192">
      <w:pPr>
        <w:pStyle w:val="2"/>
        <w:keepNext w:val="0"/>
        <w:keepLines w:val="0"/>
        <w:pageBreakBefore w:val="0"/>
        <w:kinsoku/>
        <w:wordWrap/>
        <w:overflowPunct/>
        <w:topLinePunct w:val="0"/>
        <w:autoSpaceDE/>
        <w:autoSpaceDN/>
        <w:bidi w:val="0"/>
        <w:adjustRightInd/>
        <w:snapToGrid/>
        <w:spacing w:line="480" w:lineRule="auto"/>
        <w:textAlignment w:val="auto"/>
        <w:rPr>
          <w:rFonts w:hint="eastAsia" w:eastAsia="宋体"/>
          <w:sz w:val="32"/>
          <w:szCs w:val="32"/>
          <w:lang w:val="en-US" w:eastAsia="zh-CN"/>
        </w:rPr>
      </w:pPr>
      <w:r>
        <w:rPr>
          <w:rFonts w:hint="eastAsia" w:eastAsia="宋体"/>
          <w:sz w:val="32"/>
          <w:szCs w:val="32"/>
          <w:lang w:val="en-US" w:eastAsia="zh-CN"/>
        </w:rPr>
        <w:t>Additional file 1:</w:t>
      </w:r>
    </w:p>
    <w:p w14:paraId="2ED06D08">
      <w:pPr>
        <w:spacing w:before="0" w:after="160" w:line="360" w:lineRule="auto"/>
        <w:jc w:val="left"/>
        <w:rPr>
          <w:rFonts w:hint="default" w:eastAsia="宋体"/>
          <w:lang w:val="en-US" w:eastAsia="zh-CN"/>
        </w:rPr>
      </w:pPr>
      <w:r>
        <w:rPr>
          <w:rFonts w:ascii="Times New Roman" w:hAnsi="Times New Roman" w:eastAsia="Times New Roman" w:cs="Times New Roman"/>
          <w:sz w:val="24"/>
          <w:szCs w:val="24"/>
        </w:rPr>
        <w:t>Supplementary Methods</w:t>
      </w:r>
      <w:r>
        <w:rPr>
          <w:rFonts w:hint="eastAsia" w:eastAsia="宋体" w:cs="Times New Roman"/>
          <w:sz w:val="24"/>
          <w:szCs w:val="24"/>
          <w:lang w:val="en-US" w:eastAsia="zh-CN"/>
        </w:rPr>
        <w:t xml:space="preserve">, </w:t>
      </w:r>
      <w:r>
        <w:rPr>
          <w:rFonts w:ascii="Times New Roman" w:hAnsi="Times New Roman" w:eastAsia="Times New Roman" w:cs="Times New Roman"/>
          <w:sz w:val="24"/>
          <w:szCs w:val="24"/>
        </w:rPr>
        <w:t>Supplementary Tables S1–S</w:t>
      </w:r>
      <w:r>
        <w:rPr>
          <w:rFonts w:hint="eastAsia" w:eastAsia="宋体" w:cs="Times New Roman"/>
          <w:sz w:val="24"/>
          <w:szCs w:val="24"/>
          <w:lang w:val="en-US" w:eastAsia="zh-CN"/>
        </w:rPr>
        <w:t xml:space="preserve">8 and </w:t>
      </w:r>
      <w:r>
        <w:rPr>
          <w:rFonts w:ascii="Times New Roman" w:hAnsi="Times New Roman" w:eastAsia="Times New Roman" w:cs="Times New Roman"/>
          <w:sz w:val="24"/>
          <w:szCs w:val="24"/>
        </w:rPr>
        <w:t>Supplementary</w:t>
      </w:r>
      <w:r>
        <w:rPr>
          <w:rFonts w:hint="eastAsia" w:eastAsia="宋体" w:cs="Times New Roman"/>
          <w:sz w:val="24"/>
          <w:szCs w:val="24"/>
          <w:lang w:val="en-US" w:eastAsia="zh-CN"/>
        </w:rPr>
        <w:t xml:space="preserve"> Fig. S1-S2</w:t>
      </w:r>
    </w:p>
    <w:p w14:paraId="43B1E743">
      <w:pPr>
        <w:rPr>
          <w:rFonts w:hint="eastAsia"/>
          <w:lang w:val="en-US" w:eastAsia="zh-CN"/>
        </w:rPr>
      </w:pPr>
      <w:bookmarkStart w:id="0" w:name="_GoBack"/>
      <w:bookmarkEnd w:id="0"/>
    </w:p>
    <w:p w14:paraId="1DDBCE1F">
      <w:pPr>
        <w:pStyle w:val="2"/>
        <w:keepNext w:val="0"/>
        <w:keepLines w:val="0"/>
        <w:pageBreakBefore w:val="0"/>
        <w:kinsoku/>
        <w:wordWrap/>
        <w:overflowPunct/>
        <w:topLinePunct w:val="0"/>
        <w:autoSpaceDE/>
        <w:autoSpaceDN/>
        <w:bidi w:val="0"/>
        <w:adjustRightInd/>
        <w:snapToGrid/>
        <w:spacing w:line="480" w:lineRule="auto"/>
        <w:textAlignment w:val="auto"/>
      </w:pPr>
      <w:r>
        <w:t>Supplementary Methods</w:t>
      </w:r>
    </w:p>
    <w:p w14:paraId="07A02849">
      <w:pPr>
        <w:pStyle w:val="3"/>
        <w:keepNext w:val="0"/>
        <w:keepLines w:val="0"/>
        <w:pageBreakBefore w:val="0"/>
        <w:kinsoku/>
        <w:wordWrap/>
        <w:overflowPunct/>
        <w:topLinePunct w:val="0"/>
        <w:autoSpaceDE/>
        <w:autoSpaceDN/>
        <w:bidi w:val="0"/>
        <w:adjustRightInd/>
        <w:snapToGrid/>
        <w:spacing w:line="480" w:lineRule="auto"/>
        <w:textAlignment w:val="auto"/>
      </w:pPr>
      <w:r>
        <w:t>Cohort assembly and echocardiographic linkage</w:t>
      </w:r>
    </w:p>
    <w:p w14:paraId="41E8E4A5">
      <w:pPr>
        <w:keepNext w:val="0"/>
        <w:keepLines w:val="0"/>
        <w:pageBreakBefore w:val="0"/>
        <w:kinsoku/>
        <w:wordWrap/>
        <w:overflowPunct/>
        <w:topLinePunct w:val="0"/>
        <w:autoSpaceDE/>
        <w:autoSpaceDN/>
        <w:bidi w:val="0"/>
        <w:adjustRightInd/>
        <w:snapToGrid/>
        <w:spacing w:after="0" w:line="480" w:lineRule="auto"/>
        <w:jc w:val="both"/>
        <w:textAlignment w:val="auto"/>
      </w:pPr>
      <w:r>
        <w:t>Intensive care unit (ICU) stays meeting the Sepsis-3 criteria were identified from the MIMIC-IV derived sepsis concept. For each patient we retained the first qualifying ICU stay. Structured transthoracic echocardiographic (TTE) measurements were drawn from MIMIC-IV-ECHO v1.0 and linked to the clinical record; the index study for each patient was the earliest TTE performed within a window of 6 hours before to 24 hours after ICU admission. Studies were required to contain a measurable peak tricuspid-regurgitation (TR) jet velocity. Patients with a prosthetic mitral or tricuspid valve, haemodynamically significant congenital heart disease, prior heart transplantation, or durable mechanical circulatory support were excluded, these conditions being identified from International Classification of Diseases, Ninth and Tenth Revision, diagnosis and procedure codes recorded in any hospitalisation. To exclude implausible or non-physiological values, peak TR velocity was restricted to 1.0–6.0 m/s; studies outside this bound were treated as non-measurable. The time origin (t0) for every patient was the timestamp of this index echocardiogram, and all survival time was measured from t0, so that exposure ascertainment and the start of follow-up coincided and no period of guaranteed survival preceded the exposure (no immortal time).</w:t>
      </w:r>
    </w:p>
    <w:p w14:paraId="638C99AE">
      <w:pPr>
        <w:pStyle w:val="3"/>
        <w:keepNext w:val="0"/>
        <w:keepLines w:val="0"/>
        <w:pageBreakBefore w:val="0"/>
        <w:kinsoku/>
        <w:wordWrap/>
        <w:overflowPunct/>
        <w:topLinePunct w:val="0"/>
        <w:autoSpaceDE/>
        <w:autoSpaceDN/>
        <w:bidi w:val="0"/>
        <w:adjustRightInd/>
        <w:snapToGrid/>
        <w:spacing w:line="480" w:lineRule="auto"/>
        <w:textAlignment w:val="auto"/>
      </w:pPr>
      <w:r>
        <w:t>Derived quantities and covariate definitions</w:t>
      </w:r>
    </w:p>
    <w:p w14:paraId="4C164E92">
      <w:pPr>
        <w:keepNext w:val="0"/>
        <w:keepLines w:val="0"/>
        <w:pageBreakBefore w:val="0"/>
        <w:kinsoku/>
        <w:wordWrap/>
        <w:overflowPunct/>
        <w:topLinePunct w:val="0"/>
        <w:autoSpaceDE/>
        <w:autoSpaceDN/>
        <w:bidi w:val="0"/>
        <w:adjustRightInd/>
        <w:snapToGrid/>
        <w:spacing w:after="0" w:line="480" w:lineRule="auto"/>
        <w:jc w:val="both"/>
        <w:textAlignment w:val="auto"/>
      </w:pPr>
      <w:r>
        <w:t>Estimated PASP was calculated from the simplified Bernoulli equation as 4 × (peak TR velocity)² + 5 mmHg, assuming a fixed right atrial pressure of 5 mmHg. Right ventricular–pulmonary arterial (RV–PA) coupling was operationalised as the ratio of tricuspid annular plane systolic excursion to peak TR velocity (TAPSE/TR velocity, cm·s/m); higher values denote better coupling. Covariates were fixed at or around t0 and comprised age, sex, the Charlson comorbidity index, the first-day Sequential Organ Failure Assessment (SOFA) score, a pulmonary source of sepsis (pneumonia or aspiration codes), left ventricular ejection fraction (LVEF), the interval from ICU admission to echocardiogram, and admission year. Positive end-expiratory pressure (PEEP) and driving pressure are defined only during invasive mechanical ventilation; they were therefore not entered into the whole-cohort models (which would force list-wise deletion of every non-ventilated patient) but were used only within the ventilated-subgroup sensitivity analyses.</w:t>
      </w:r>
    </w:p>
    <w:p w14:paraId="52E2776F">
      <w:pPr>
        <w:pStyle w:val="3"/>
        <w:keepNext w:val="0"/>
        <w:keepLines w:val="0"/>
        <w:pageBreakBefore w:val="0"/>
        <w:kinsoku/>
        <w:wordWrap/>
        <w:overflowPunct/>
        <w:topLinePunct w:val="0"/>
        <w:autoSpaceDE/>
        <w:autoSpaceDN/>
        <w:bidi w:val="0"/>
        <w:adjustRightInd/>
        <w:snapToGrid/>
        <w:spacing w:line="480" w:lineRule="auto"/>
        <w:textAlignment w:val="auto"/>
      </w:pPr>
      <w:r>
        <w:t>Missing-data handling and multiple imputation</w:t>
      </w:r>
    </w:p>
    <w:p w14:paraId="0B029FDD">
      <w:pPr>
        <w:keepNext w:val="0"/>
        <w:keepLines w:val="0"/>
        <w:pageBreakBefore w:val="0"/>
        <w:kinsoku/>
        <w:wordWrap/>
        <w:overflowPunct/>
        <w:topLinePunct w:val="0"/>
        <w:autoSpaceDE/>
        <w:autoSpaceDN/>
        <w:bidi w:val="0"/>
        <w:adjustRightInd/>
        <w:snapToGrid/>
        <w:spacing w:after="0" w:line="480" w:lineRule="auto"/>
        <w:jc w:val="both"/>
        <w:textAlignment w:val="auto"/>
      </w:pPr>
      <w:r>
        <w:t>Left ventricular ejection fraction was analysed as a dichotomous variable (reduced, &lt;50%, versus not reduced) so that the 374 patients in whom systolic function was documented qualitatively but not quantified could be retained; all 4,174 patients therefore contributed to the primary and secondary Cox models. Continuous LVEF was required only for the baseline model used in the incremental-value analysis, which was correspondingly restricted to the 3,410 patients with both a quantified ejection fraction and a lactate value. As a sensitivity analysis, missing covariate data were addressed by multiple imputation by chained equations (mice), generating 20 imputed datasets; the Nelson–Aalen cumulative-hazard estimate and the event indicator were included among the imputation predictors, and the primary Cox model was refitted in each imputed dataset with estimates pooled by Rubin’s rules. Because the covariate set of the primary model contained no missing values once LVEF was dichotomised, the imputation was effectively a no-op for that model and the pooled estimate is numerically identical to the complete-data estimate; this is reported transparently and should not be interpreted as independent corroboration.</w:t>
      </w:r>
    </w:p>
    <w:p w14:paraId="192E0384">
      <w:pPr>
        <w:pStyle w:val="3"/>
        <w:keepNext w:val="0"/>
        <w:keepLines w:val="0"/>
        <w:pageBreakBefore w:val="0"/>
        <w:kinsoku/>
        <w:wordWrap/>
        <w:overflowPunct/>
        <w:topLinePunct w:val="0"/>
        <w:autoSpaceDE/>
        <w:autoSpaceDN/>
        <w:bidi w:val="0"/>
        <w:adjustRightInd/>
        <w:snapToGrid/>
        <w:spacing w:line="480" w:lineRule="auto"/>
        <w:textAlignment w:val="auto"/>
      </w:pPr>
      <w:r>
        <w:t>Incremental value and decision-curve analysis</w:t>
      </w:r>
    </w:p>
    <w:p w14:paraId="4F8D4D37">
      <w:pPr>
        <w:keepNext w:val="0"/>
        <w:keepLines w:val="0"/>
        <w:pageBreakBefore w:val="0"/>
        <w:kinsoku/>
        <w:wordWrap/>
        <w:overflowPunct/>
        <w:topLinePunct w:val="0"/>
        <w:autoSpaceDE/>
        <w:autoSpaceDN/>
        <w:bidi w:val="0"/>
        <w:adjustRightInd/>
        <w:snapToGrid/>
        <w:spacing w:after="0" w:line="480" w:lineRule="auto"/>
        <w:jc w:val="both"/>
        <w:textAlignment w:val="auto"/>
      </w:pPr>
      <w:r>
        <w:t>The added value of estimated PASP beyond a parsimonious clinical model (age, SOFA score, lactate, and LVEF) was quantified by the change in the Harrell concordance index, by the integrated discrimination improvement (IDI), and by the continuous net reclassification improvement (NRI), each estimated at the 90-day horizon with 200 perturbation resamples. Clinical usefulness was further examined by decision-curve analysis, in which the net benefit of treating according to each model was plotted across threshold probabilities from 0 to 0.80; the discrimination, reclassification, and decision-curve analyses used the complete-case sample (n=3,410).</w:t>
      </w:r>
    </w:p>
    <w:p w14:paraId="7E5C9C41">
      <w:pPr>
        <w:pStyle w:val="3"/>
        <w:keepNext w:val="0"/>
        <w:keepLines w:val="0"/>
        <w:pageBreakBefore w:val="0"/>
        <w:kinsoku/>
        <w:wordWrap/>
        <w:overflowPunct/>
        <w:topLinePunct w:val="0"/>
        <w:autoSpaceDE/>
        <w:autoSpaceDN/>
        <w:bidi w:val="0"/>
        <w:adjustRightInd/>
        <w:snapToGrid/>
        <w:spacing w:line="480" w:lineRule="auto"/>
        <w:textAlignment w:val="auto"/>
      </w:pPr>
      <w:r>
        <w:t>Software</w:t>
      </w:r>
    </w:p>
    <w:p w14:paraId="5F971084">
      <w:pPr>
        <w:keepNext w:val="0"/>
        <w:keepLines w:val="0"/>
        <w:pageBreakBefore w:val="0"/>
        <w:kinsoku/>
        <w:wordWrap/>
        <w:overflowPunct/>
        <w:topLinePunct w:val="0"/>
        <w:autoSpaceDE/>
        <w:autoSpaceDN/>
        <w:bidi w:val="0"/>
        <w:adjustRightInd/>
        <w:snapToGrid/>
        <w:spacing w:after="0" w:line="480" w:lineRule="auto"/>
        <w:jc w:val="both"/>
        <w:textAlignment w:val="auto"/>
      </w:pPr>
      <w:r>
        <w:t>Analyses were performed in R version 4.5 (R Foundation for Statistical Computing, Vienna, Austria) using the survival, rms, tableone, survIDINRI, dcurves, EValue, and mice packages. All tests were two-sided with a significance threshold of 0.05.</w:t>
      </w:r>
    </w:p>
    <w:p w14:paraId="3C0883AA">
      <w:pPr>
        <w:pStyle w:val="2"/>
        <w:keepNext w:val="0"/>
        <w:keepLines w:val="0"/>
        <w:pageBreakBefore w:val="0"/>
        <w:kinsoku/>
        <w:wordWrap/>
        <w:overflowPunct/>
        <w:topLinePunct w:val="0"/>
        <w:autoSpaceDE/>
        <w:autoSpaceDN/>
        <w:bidi w:val="0"/>
        <w:adjustRightInd/>
        <w:snapToGrid/>
        <w:spacing w:line="480" w:lineRule="auto"/>
        <w:textAlignment w:val="auto"/>
      </w:pPr>
      <w:r>
        <w:t>Supplementary Tables</w:t>
      </w:r>
    </w:p>
    <w:p w14:paraId="4F517673">
      <w:pPr>
        <w:keepNext w:val="0"/>
        <w:keepLines w:val="0"/>
        <w:pageBreakBefore w:val="0"/>
        <w:kinsoku/>
        <w:wordWrap/>
        <w:overflowPunct/>
        <w:topLinePunct w:val="0"/>
        <w:autoSpaceDE/>
        <w:autoSpaceDN/>
        <w:bidi w:val="0"/>
        <w:adjustRightInd/>
        <w:snapToGrid/>
        <w:spacing w:before="120" w:after="60" w:line="480" w:lineRule="auto"/>
        <w:jc w:val="both"/>
        <w:textAlignment w:val="auto"/>
      </w:pPr>
      <w:r>
        <w:rPr>
          <w:b/>
          <w:bCs/>
          <w:sz w:val="20"/>
          <w:szCs w:val="20"/>
        </w:rPr>
        <w:t xml:space="preserve">Table S1. </w:t>
      </w:r>
      <w:r>
        <w:rPr>
          <w:sz w:val="20"/>
          <w:szCs w:val="20"/>
        </w:rPr>
        <w:t>Full multivariable Cox proportional-hazards model for the primary continuous exposure (estimated PASP per 10 mmHg) and 90-day all-cause mortality.</w:t>
      </w:r>
    </w:p>
    <w:tbl>
      <w:tblPr>
        <w:tblStyle w:val="6"/>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860"/>
        <w:gridCol w:w="2700"/>
        <w:gridCol w:w="1800"/>
      </w:tblGrid>
      <w:tr w14:paraId="6C44B0E7">
        <w:trPr>
          <w:tblHeader/>
        </w:trPr>
        <w:tc>
          <w:tcPr>
            <w:tcW w:w="4860" w:type="dxa"/>
            <w:tcBorders>
              <w:top w:val="single" w:color="000000" w:sz="8" w:space="0"/>
              <w:left w:val="nil"/>
              <w:bottom w:val="single" w:color="000000" w:sz="4" w:space="0"/>
              <w:right w:val="nil"/>
            </w:tcBorders>
            <w:tcMar>
              <w:top w:w="40" w:type="dxa"/>
              <w:left w:w="90" w:type="dxa"/>
              <w:bottom w:w="40" w:type="dxa"/>
              <w:right w:w="90" w:type="dxa"/>
            </w:tcMar>
          </w:tcPr>
          <w:p w14:paraId="0C62B3DD">
            <w:pPr>
              <w:keepNext w:val="0"/>
              <w:keepLines w:val="0"/>
              <w:pageBreakBefore w:val="0"/>
              <w:kinsoku/>
              <w:wordWrap/>
              <w:overflowPunct/>
              <w:topLinePunct w:val="0"/>
              <w:autoSpaceDE/>
              <w:autoSpaceDN/>
              <w:bidi w:val="0"/>
              <w:adjustRightInd/>
              <w:snapToGrid/>
              <w:spacing w:after="0" w:line="480" w:lineRule="auto"/>
              <w:jc w:val="left"/>
              <w:textAlignment w:val="auto"/>
            </w:pPr>
            <w:r>
              <w:rPr>
                <w:b/>
                <w:bCs/>
                <w:sz w:val="20"/>
                <w:szCs w:val="20"/>
              </w:rPr>
              <w:t>Variable</w:t>
            </w:r>
          </w:p>
        </w:tc>
        <w:tc>
          <w:tcPr>
            <w:tcW w:w="2700" w:type="dxa"/>
            <w:tcBorders>
              <w:top w:val="single" w:color="000000" w:sz="8" w:space="0"/>
              <w:left w:val="nil"/>
              <w:bottom w:val="single" w:color="000000" w:sz="4" w:space="0"/>
              <w:right w:val="nil"/>
            </w:tcBorders>
            <w:tcMar>
              <w:top w:w="40" w:type="dxa"/>
              <w:left w:w="90" w:type="dxa"/>
              <w:bottom w:w="40" w:type="dxa"/>
              <w:right w:w="90" w:type="dxa"/>
            </w:tcMar>
          </w:tcPr>
          <w:p w14:paraId="08C41673">
            <w:pPr>
              <w:keepNext w:val="0"/>
              <w:keepLines w:val="0"/>
              <w:pageBreakBefore w:val="0"/>
              <w:kinsoku/>
              <w:wordWrap/>
              <w:overflowPunct/>
              <w:topLinePunct w:val="0"/>
              <w:autoSpaceDE/>
              <w:autoSpaceDN/>
              <w:bidi w:val="0"/>
              <w:adjustRightInd/>
              <w:snapToGrid/>
              <w:spacing w:after="0" w:line="480" w:lineRule="auto"/>
              <w:jc w:val="center"/>
              <w:textAlignment w:val="auto"/>
            </w:pPr>
            <w:r>
              <w:rPr>
                <w:b/>
                <w:bCs/>
                <w:sz w:val="20"/>
                <w:szCs w:val="20"/>
              </w:rPr>
              <w:t>Adjusted HR (95% CI)</w:t>
            </w:r>
          </w:p>
        </w:tc>
        <w:tc>
          <w:tcPr>
            <w:tcW w:w="1800" w:type="dxa"/>
            <w:tcBorders>
              <w:top w:val="single" w:color="000000" w:sz="8" w:space="0"/>
              <w:left w:val="nil"/>
              <w:bottom w:val="single" w:color="000000" w:sz="4" w:space="0"/>
              <w:right w:val="nil"/>
            </w:tcBorders>
            <w:tcMar>
              <w:top w:w="40" w:type="dxa"/>
              <w:left w:w="90" w:type="dxa"/>
              <w:bottom w:w="40" w:type="dxa"/>
              <w:right w:w="90" w:type="dxa"/>
            </w:tcMar>
          </w:tcPr>
          <w:p w14:paraId="1EBBCB15">
            <w:pPr>
              <w:keepNext w:val="0"/>
              <w:keepLines w:val="0"/>
              <w:pageBreakBefore w:val="0"/>
              <w:kinsoku/>
              <w:wordWrap/>
              <w:overflowPunct/>
              <w:topLinePunct w:val="0"/>
              <w:autoSpaceDE/>
              <w:autoSpaceDN/>
              <w:bidi w:val="0"/>
              <w:adjustRightInd/>
              <w:snapToGrid/>
              <w:spacing w:after="0" w:line="480" w:lineRule="auto"/>
              <w:jc w:val="center"/>
              <w:textAlignment w:val="auto"/>
            </w:pPr>
            <w:r>
              <w:rPr>
                <w:b/>
                <w:bCs/>
                <w:sz w:val="20"/>
                <w:szCs w:val="20"/>
              </w:rPr>
              <w:t>P-value</w:t>
            </w:r>
          </w:p>
        </w:tc>
      </w:tr>
      <w:tr w14:paraId="4ED9C913">
        <w:tc>
          <w:tcPr>
            <w:tcW w:w="4860" w:type="dxa"/>
            <w:tcBorders>
              <w:top w:val="nil"/>
              <w:left w:val="nil"/>
              <w:bottom w:val="nil"/>
              <w:right w:val="nil"/>
            </w:tcBorders>
            <w:tcMar>
              <w:top w:w="40" w:type="dxa"/>
              <w:left w:w="90" w:type="dxa"/>
              <w:bottom w:w="40" w:type="dxa"/>
              <w:right w:w="90" w:type="dxa"/>
            </w:tcMar>
          </w:tcPr>
          <w:p w14:paraId="6BD37BA4">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Estimated PASP, per 10 mmHg</w:t>
            </w:r>
          </w:p>
        </w:tc>
        <w:tc>
          <w:tcPr>
            <w:tcW w:w="2700" w:type="dxa"/>
            <w:tcBorders>
              <w:top w:val="nil"/>
              <w:left w:val="nil"/>
              <w:bottom w:val="nil"/>
              <w:right w:val="nil"/>
            </w:tcBorders>
            <w:tcMar>
              <w:top w:w="40" w:type="dxa"/>
              <w:left w:w="90" w:type="dxa"/>
              <w:bottom w:w="40" w:type="dxa"/>
              <w:right w:w="90" w:type="dxa"/>
            </w:tcMar>
          </w:tcPr>
          <w:p w14:paraId="1C49F9D6">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1.14 (1.10–1.19)</w:t>
            </w:r>
          </w:p>
        </w:tc>
        <w:tc>
          <w:tcPr>
            <w:tcW w:w="1800" w:type="dxa"/>
            <w:tcBorders>
              <w:top w:val="nil"/>
              <w:left w:val="nil"/>
              <w:bottom w:val="nil"/>
              <w:right w:val="nil"/>
            </w:tcBorders>
            <w:tcMar>
              <w:top w:w="40" w:type="dxa"/>
              <w:left w:w="90" w:type="dxa"/>
              <w:bottom w:w="40" w:type="dxa"/>
              <w:right w:w="90" w:type="dxa"/>
            </w:tcMar>
          </w:tcPr>
          <w:p w14:paraId="30FFDF18">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&lt;0.001</w:t>
            </w:r>
          </w:p>
        </w:tc>
      </w:tr>
      <w:tr w14:paraId="41539984">
        <w:tc>
          <w:tcPr>
            <w:tcW w:w="4860" w:type="dxa"/>
            <w:tcBorders>
              <w:top w:val="nil"/>
              <w:left w:val="nil"/>
              <w:bottom w:val="nil"/>
              <w:right w:val="nil"/>
            </w:tcBorders>
            <w:tcMar>
              <w:top w:w="40" w:type="dxa"/>
              <w:left w:w="90" w:type="dxa"/>
              <w:bottom w:w="40" w:type="dxa"/>
              <w:right w:w="90" w:type="dxa"/>
            </w:tcMar>
          </w:tcPr>
          <w:p w14:paraId="2DAF3665">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Age, per year</w:t>
            </w:r>
          </w:p>
        </w:tc>
        <w:tc>
          <w:tcPr>
            <w:tcW w:w="2700" w:type="dxa"/>
            <w:tcBorders>
              <w:top w:val="nil"/>
              <w:left w:val="nil"/>
              <w:bottom w:val="nil"/>
              <w:right w:val="nil"/>
            </w:tcBorders>
            <w:tcMar>
              <w:top w:w="40" w:type="dxa"/>
              <w:left w:w="90" w:type="dxa"/>
              <w:bottom w:w="40" w:type="dxa"/>
              <w:right w:w="90" w:type="dxa"/>
            </w:tcMar>
          </w:tcPr>
          <w:p w14:paraId="198AF2DE">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1.02 (1.01–1.02)</w:t>
            </w:r>
          </w:p>
        </w:tc>
        <w:tc>
          <w:tcPr>
            <w:tcW w:w="1800" w:type="dxa"/>
            <w:tcBorders>
              <w:top w:val="nil"/>
              <w:left w:val="nil"/>
              <w:bottom w:val="nil"/>
              <w:right w:val="nil"/>
            </w:tcBorders>
            <w:tcMar>
              <w:top w:w="40" w:type="dxa"/>
              <w:left w:w="90" w:type="dxa"/>
              <w:bottom w:w="40" w:type="dxa"/>
              <w:right w:w="90" w:type="dxa"/>
            </w:tcMar>
          </w:tcPr>
          <w:p w14:paraId="1D8BFADB">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&lt;0.001</w:t>
            </w:r>
          </w:p>
        </w:tc>
      </w:tr>
      <w:tr w14:paraId="55BE44B3">
        <w:tc>
          <w:tcPr>
            <w:tcW w:w="4860" w:type="dxa"/>
            <w:tcBorders>
              <w:top w:val="nil"/>
              <w:left w:val="nil"/>
              <w:bottom w:val="nil"/>
              <w:right w:val="nil"/>
            </w:tcBorders>
            <w:tcMar>
              <w:top w:w="40" w:type="dxa"/>
              <w:left w:w="90" w:type="dxa"/>
              <w:bottom w:w="40" w:type="dxa"/>
              <w:right w:w="90" w:type="dxa"/>
            </w:tcMar>
          </w:tcPr>
          <w:p w14:paraId="0D42F541">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Male sex (vs female)</w:t>
            </w:r>
          </w:p>
        </w:tc>
        <w:tc>
          <w:tcPr>
            <w:tcW w:w="2700" w:type="dxa"/>
            <w:tcBorders>
              <w:top w:val="nil"/>
              <w:left w:val="nil"/>
              <w:bottom w:val="nil"/>
              <w:right w:val="nil"/>
            </w:tcBorders>
            <w:tcMar>
              <w:top w:w="40" w:type="dxa"/>
              <w:left w:w="90" w:type="dxa"/>
              <w:bottom w:w="40" w:type="dxa"/>
              <w:right w:w="90" w:type="dxa"/>
            </w:tcMar>
          </w:tcPr>
          <w:p w14:paraId="062DC5F2">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0.90 (0.81–0.99)</w:t>
            </w:r>
          </w:p>
        </w:tc>
        <w:tc>
          <w:tcPr>
            <w:tcW w:w="1800" w:type="dxa"/>
            <w:tcBorders>
              <w:top w:val="nil"/>
              <w:left w:val="nil"/>
              <w:bottom w:val="nil"/>
              <w:right w:val="nil"/>
            </w:tcBorders>
            <w:tcMar>
              <w:top w:w="40" w:type="dxa"/>
              <w:left w:w="90" w:type="dxa"/>
              <w:bottom w:w="40" w:type="dxa"/>
              <w:right w:w="90" w:type="dxa"/>
            </w:tcMar>
          </w:tcPr>
          <w:p w14:paraId="7FC55109">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0.037</w:t>
            </w:r>
          </w:p>
        </w:tc>
      </w:tr>
      <w:tr w14:paraId="22E0D025">
        <w:tc>
          <w:tcPr>
            <w:tcW w:w="4860" w:type="dxa"/>
            <w:tcBorders>
              <w:top w:val="nil"/>
              <w:left w:val="nil"/>
              <w:bottom w:val="nil"/>
              <w:right w:val="nil"/>
            </w:tcBorders>
            <w:tcMar>
              <w:top w:w="40" w:type="dxa"/>
              <w:left w:w="90" w:type="dxa"/>
              <w:bottom w:w="40" w:type="dxa"/>
              <w:right w:w="90" w:type="dxa"/>
            </w:tcMar>
          </w:tcPr>
          <w:p w14:paraId="6113E253">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Charlson comorbidity index, per point</w:t>
            </w:r>
          </w:p>
        </w:tc>
        <w:tc>
          <w:tcPr>
            <w:tcW w:w="2700" w:type="dxa"/>
            <w:tcBorders>
              <w:top w:val="nil"/>
              <w:left w:val="nil"/>
              <w:bottom w:val="nil"/>
              <w:right w:val="nil"/>
            </w:tcBorders>
            <w:tcMar>
              <w:top w:w="40" w:type="dxa"/>
              <w:left w:w="90" w:type="dxa"/>
              <w:bottom w:w="40" w:type="dxa"/>
              <w:right w:w="90" w:type="dxa"/>
            </w:tcMar>
          </w:tcPr>
          <w:p w14:paraId="5B5E07F2">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1.08 (1.06–1.10)</w:t>
            </w:r>
          </w:p>
        </w:tc>
        <w:tc>
          <w:tcPr>
            <w:tcW w:w="1800" w:type="dxa"/>
            <w:tcBorders>
              <w:top w:val="nil"/>
              <w:left w:val="nil"/>
              <w:bottom w:val="nil"/>
              <w:right w:val="nil"/>
            </w:tcBorders>
            <w:tcMar>
              <w:top w:w="40" w:type="dxa"/>
              <w:left w:w="90" w:type="dxa"/>
              <w:bottom w:w="40" w:type="dxa"/>
              <w:right w:w="90" w:type="dxa"/>
            </w:tcMar>
          </w:tcPr>
          <w:p w14:paraId="43CF487A">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&lt;0.001</w:t>
            </w:r>
          </w:p>
        </w:tc>
      </w:tr>
      <w:tr w14:paraId="10BC90B7">
        <w:tc>
          <w:tcPr>
            <w:tcW w:w="4860" w:type="dxa"/>
            <w:tcBorders>
              <w:top w:val="nil"/>
              <w:left w:val="nil"/>
              <w:bottom w:val="nil"/>
              <w:right w:val="nil"/>
            </w:tcBorders>
            <w:tcMar>
              <w:top w:w="40" w:type="dxa"/>
              <w:left w:w="90" w:type="dxa"/>
              <w:bottom w:w="40" w:type="dxa"/>
              <w:right w:w="90" w:type="dxa"/>
            </w:tcMar>
          </w:tcPr>
          <w:p w14:paraId="1547B72D">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SOFA score, per point</w:t>
            </w:r>
          </w:p>
        </w:tc>
        <w:tc>
          <w:tcPr>
            <w:tcW w:w="2700" w:type="dxa"/>
            <w:tcBorders>
              <w:top w:val="nil"/>
              <w:left w:val="nil"/>
              <w:bottom w:val="nil"/>
              <w:right w:val="nil"/>
            </w:tcBorders>
            <w:tcMar>
              <w:top w:w="40" w:type="dxa"/>
              <w:left w:w="90" w:type="dxa"/>
              <w:bottom w:w="40" w:type="dxa"/>
              <w:right w:w="90" w:type="dxa"/>
            </w:tcMar>
          </w:tcPr>
          <w:p w14:paraId="0D1E1FC4">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1.15 (1.14–1.17)</w:t>
            </w:r>
          </w:p>
        </w:tc>
        <w:tc>
          <w:tcPr>
            <w:tcW w:w="1800" w:type="dxa"/>
            <w:tcBorders>
              <w:top w:val="nil"/>
              <w:left w:val="nil"/>
              <w:bottom w:val="nil"/>
              <w:right w:val="nil"/>
            </w:tcBorders>
            <w:tcMar>
              <w:top w:w="40" w:type="dxa"/>
              <w:left w:w="90" w:type="dxa"/>
              <w:bottom w:w="40" w:type="dxa"/>
              <w:right w:w="90" w:type="dxa"/>
            </w:tcMar>
          </w:tcPr>
          <w:p w14:paraId="65CDEF8E">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&lt;0.001</w:t>
            </w:r>
          </w:p>
        </w:tc>
      </w:tr>
      <w:tr w14:paraId="6A3CAAE0">
        <w:tc>
          <w:tcPr>
            <w:tcW w:w="4860" w:type="dxa"/>
            <w:tcBorders>
              <w:top w:val="nil"/>
              <w:left w:val="nil"/>
              <w:bottom w:val="nil"/>
              <w:right w:val="nil"/>
            </w:tcBorders>
            <w:tcMar>
              <w:top w:w="40" w:type="dxa"/>
              <w:left w:w="90" w:type="dxa"/>
              <w:bottom w:w="40" w:type="dxa"/>
              <w:right w:w="90" w:type="dxa"/>
            </w:tcMar>
          </w:tcPr>
          <w:p w14:paraId="71424822">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Pulmonary source of sepsis (vs non-pulmonary)</w:t>
            </w:r>
          </w:p>
        </w:tc>
        <w:tc>
          <w:tcPr>
            <w:tcW w:w="2700" w:type="dxa"/>
            <w:tcBorders>
              <w:top w:val="nil"/>
              <w:left w:val="nil"/>
              <w:bottom w:val="nil"/>
              <w:right w:val="nil"/>
            </w:tcBorders>
            <w:tcMar>
              <w:top w:w="40" w:type="dxa"/>
              <w:left w:w="90" w:type="dxa"/>
              <w:bottom w:w="40" w:type="dxa"/>
              <w:right w:w="90" w:type="dxa"/>
            </w:tcMar>
          </w:tcPr>
          <w:p w14:paraId="0D041923">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1.14 (1.03–1.26)</w:t>
            </w:r>
          </w:p>
        </w:tc>
        <w:tc>
          <w:tcPr>
            <w:tcW w:w="1800" w:type="dxa"/>
            <w:tcBorders>
              <w:top w:val="nil"/>
              <w:left w:val="nil"/>
              <w:bottom w:val="nil"/>
              <w:right w:val="nil"/>
            </w:tcBorders>
            <w:tcMar>
              <w:top w:w="40" w:type="dxa"/>
              <w:left w:w="90" w:type="dxa"/>
              <w:bottom w:w="40" w:type="dxa"/>
              <w:right w:w="90" w:type="dxa"/>
            </w:tcMar>
          </w:tcPr>
          <w:p w14:paraId="60BE40DE">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0.010</w:t>
            </w:r>
          </w:p>
        </w:tc>
      </w:tr>
      <w:tr w14:paraId="71E84980">
        <w:tc>
          <w:tcPr>
            <w:tcW w:w="4860" w:type="dxa"/>
            <w:tcBorders>
              <w:top w:val="nil"/>
              <w:left w:val="nil"/>
              <w:bottom w:val="nil"/>
              <w:right w:val="nil"/>
            </w:tcBorders>
            <w:tcMar>
              <w:top w:w="40" w:type="dxa"/>
              <w:left w:w="90" w:type="dxa"/>
              <w:bottom w:w="40" w:type="dxa"/>
              <w:right w:w="90" w:type="dxa"/>
            </w:tcMar>
          </w:tcPr>
          <w:p w14:paraId="6E43D6CF">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LVEF &lt;50% (vs ≥50%)</w:t>
            </w:r>
          </w:p>
        </w:tc>
        <w:tc>
          <w:tcPr>
            <w:tcW w:w="2700" w:type="dxa"/>
            <w:tcBorders>
              <w:top w:val="nil"/>
              <w:left w:val="nil"/>
              <w:bottom w:val="nil"/>
              <w:right w:val="nil"/>
            </w:tcBorders>
            <w:tcMar>
              <w:top w:w="40" w:type="dxa"/>
              <w:left w:w="90" w:type="dxa"/>
              <w:bottom w:w="40" w:type="dxa"/>
              <w:right w:w="90" w:type="dxa"/>
            </w:tcMar>
          </w:tcPr>
          <w:p w14:paraId="08142764">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1.18 (1.07–1.31)</w:t>
            </w:r>
          </w:p>
        </w:tc>
        <w:tc>
          <w:tcPr>
            <w:tcW w:w="1800" w:type="dxa"/>
            <w:tcBorders>
              <w:top w:val="nil"/>
              <w:left w:val="nil"/>
              <w:bottom w:val="nil"/>
              <w:right w:val="nil"/>
            </w:tcBorders>
            <w:tcMar>
              <w:top w:w="40" w:type="dxa"/>
              <w:left w:w="90" w:type="dxa"/>
              <w:bottom w:w="40" w:type="dxa"/>
              <w:right w:w="90" w:type="dxa"/>
            </w:tcMar>
          </w:tcPr>
          <w:p w14:paraId="2CC304AE">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0.001</w:t>
            </w:r>
          </w:p>
        </w:tc>
      </w:tr>
      <w:tr w14:paraId="675255FF">
        <w:tc>
          <w:tcPr>
            <w:tcW w:w="4860" w:type="dxa"/>
            <w:tcBorders>
              <w:top w:val="nil"/>
              <w:left w:val="nil"/>
              <w:bottom w:val="nil"/>
              <w:right w:val="nil"/>
            </w:tcBorders>
            <w:tcMar>
              <w:top w:w="40" w:type="dxa"/>
              <w:left w:w="90" w:type="dxa"/>
              <w:bottom w:w="40" w:type="dxa"/>
              <w:right w:w="90" w:type="dxa"/>
            </w:tcMar>
          </w:tcPr>
          <w:p w14:paraId="237CD323">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Invasive mechanical ventilation (vs none)</w:t>
            </w:r>
          </w:p>
        </w:tc>
        <w:tc>
          <w:tcPr>
            <w:tcW w:w="2700" w:type="dxa"/>
            <w:tcBorders>
              <w:top w:val="nil"/>
              <w:left w:val="nil"/>
              <w:bottom w:val="nil"/>
              <w:right w:val="nil"/>
            </w:tcBorders>
            <w:tcMar>
              <w:top w:w="40" w:type="dxa"/>
              <w:left w:w="90" w:type="dxa"/>
              <w:bottom w:w="40" w:type="dxa"/>
              <w:right w:w="90" w:type="dxa"/>
            </w:tcMar>
          </w:tcPr>
          <w:p w14:paraId="24085275">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1.02 (0.91–1.14)</w:t>
            </w:r>
          </w:p>
        </w:tc>
        <w:tc>
          <w:tcPr>
            <w:tcW w:w="1800" w:type="dxa"/>
            <w:tcBorders>
              <w:top w:val="nil"/>
              <w:left w:val="nil"/>
              <w:bottom w:val="nil"/>
              <w:right w:val="nil"/>
            </w:tcBorders>
            <w:tcMar>
              <w:top w:w="40" w:type="dxa"/>
              <w:left w:w="90" w:type="dxa"/>
              <w:bottom w:w="40" w:type="dxa"/>
              <w:right w:w="90" w:type="dxa"/>
            </w:tcMar>
          </w:tcPr>
          <w:p w14:paraId="5FE86E03">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0.73</w:t>
            </w:r>
          </w:p>
        </w:tc>
      </w:tr>
      <w:tr w14:paraId="1496AFB0">
        <w:tc>
          <w:tcPr>
            <w:tcW w:w="4860" w:type="dxa"/>
            <w:tcBorders>
              <w:top w:val="nil"/>
              <w:left w:val="nil"/>
              <w:bottom w:val="nil"/>
              <w:right w:val="nil"/>
            </w:tcBorders>
            <w:tcMar>
              <w:top w:w="40" w:type="dxa"/>
              <w:left w:w="90" w:type="dxa"/>
              <w:bottom w:w="40" w:type="dxa"/>
              <w:right w:w="90" w:type="dxa"/>
            </w:tcMar>
          </w:tcPr>
          <w:p w14:paraId="1332AAB4">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Time from ICU admission to echocardiogram, per hour</w:t>
            </w:r>
          </w:p>
        </w:tc>
        <w:tc>
          <w:tcPr>
            <w:tcW w:w="2700" w:type="dxa"/>
            <w:tcBorders>
              <w:top w:val="nil"/>
              <w:left w:val="nil"/>
              <w:bottom w:val="nil"/>
              <w:right w:val="nil"/>
            </w:tcBorders>
            <w:tcMar>
              <w:top w:w="40" w:type="dxa"/>
              <w:left w:w="90" w:type="dxa"/>
              <w:bottom w:w="40" w:type="dxa"/>
              <w:right w:w="90" w:type="dxa"/>
            </w:tcMar>
          </w:tcPr>
          <w:p w14:paraId="0A2144E9">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0.99 (0.99–1.00)</w:t>
            </w:r>
          </w:p>
        </w:tc>
        <w:tc>
          <w:tcPr>
            <w:tcW w:w="1800" w:type="dxa"/>
            <w:tcBorders>
              <w:top w:val="nil"/>
              <w:left w:val="nil"/>
              <w:bottom w:val="nil"/>
              <w:right w:val="nil"/>
            </w:tcBorders>
            <w:tcMar>
              <w:top w:w="40" w:type="dxa"/>
              <w:left w:w="90" w:type="dxa"/>
              <w:bottom w:w="40" w:type="dxa"/>
              <w:right w:w="90" w:type="dxa"/>
            </w:tcMar>
          </w:tcPr>
          <w:p w14:paraId="2DF9B376">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0.042</w:t>
            </w:r>
          </w:p>
        </w:tc>
      </w:tr>
      <w:tr w14:paraId="768788C2">
        <w:tc>
          <w:tcPr>
            <w:tcW w:w="4860" w:type="dxa"/>
            <w:tcBorders>
              <w:top w:val="nil"/>
              <w:left w:val="nil"/>
              <w:bottom w:val="single" w:color="000000" w:sz="8" w:space="0"/>
              <w:right w:val="nil"/>
            </w:tcBorders>
            <w:tcMar>
              <w:top w:w="40" w:type="dxa"/>
              <w:left w:w="90" w:type="dxa"/>
              <w:bottom w:w="40" w:type="dxa"/>
              <w:right w:w="90" w:type="dxa"/>
            </w:tcMar>
          </w:tcPr>
          <w:p w14:paraId="44E52FBF">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Admission year, per year</w:t>
            </w:r>
          </w:p>
        </w:tc>
        <w:tc>
          <w:tcPr>
            <w:tcW w:w="2700" w:type="dxa"/>
            <w:tcBorders>
              <w:top w:val="nil"/>
              <w:left w:val="nil"/>
              <w:bottom w:val="single" w:color="000000" w:sz="8" w:space="0"/>
              <w:right w:val="nil"/>
            </w:tcBorders>
            <w:tcMar>
              <w:top w:w="40" w:type="dxa"/>
              <w:left w:w="90" w:type="dxa"/>
              <w:bottom w:w="40" w:type="dxa"/>
              <w:right w:w="90" w:type="dxa"/>
            </w:tcMar>
          </w:tcPr>
          <w:p w14:paraId="6062C76B">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0.999 (0.997–1.001)</w:t>
            </w:r>
          </w:p>
        </w:tc>
        <w:tc>
          <w:tcPr>
            <w:tcW w:w="1800" w:type="dxa"/>
            <w:tcBorders>
              <w:top w:val="nil"/>
              <w:left w:val="nil"/>
              <w:bottom w:val="single" w:color="000000" w:sz="8" w:space="0"/>
              <w:right w:val="nil"/>
            </w:tcBorders>
            <w:tcMar>
              <w:top w:w="40" w:type="dxa"/>
              <w:left w:w="90" w:type="dxa"/>
              <w:bottom w:w="40" w:type="dxa"/>
              <w:right w:w="90" w:type="dxa"/>
            </w:tcMar>
          </w:tcPr>
          <w:p w14:paraId="55736EFF">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0.27</w:t>
            </w:r>
          </w:p>
        </w:tc>
      </w:tr>
    </w:tbl>
    <w:p w14:paraId="2EB29088">
      <w:pPr>
        <w:keepNext w:val="0"/>
        <w:keepLines w:val="0"/>
        <w:pageBreakBefore w:val="0"/>
        <w:kinsoku/>
        <w:wordWrap/>
        <w:overflowPunct/>
        <w:topLinePunct w:val="0"/>
        <w:autoSpaceDE/>
        <w:autoSpaceDN/>
        <w:bidi w:val="0"/>
        <w:adjustRightInd/>
        <w:snapToGrid/>
        <w:spacing w:after="160" w:line="480" w:lineRule="auto"/>
        <w:jc w:val="both"/>
        <w:textAlignment w:val="auto"/>
      </w:pPr>
      <w:r>
        <w:rPr>
          <w:i/>
          <w:iCs/>
          <w:sz w:val="20"/>
          <w:szCs w:val="20"/>
        </w:rPr>
        <w:t>n=4,174; 1,599 deaths within 90 days. Hazard ratios are mutually adjusted. The reference categories are female sex, non-pulmonary source, LVEF ≥50%, and no invasive ventilation. CI, confidence interval; HR, hazard ratio; LVEF, left ventricular ejection fraction; PASP, pulmonary artery systolic pressure; SOFA, Sequential Organ Failure Assessment.</w:t>
      </w:r>
    </w:p>
    <w:p w14:paraId="5D1D1C84">
      <w:pPr>
        <w:keepNext w:val="0"/>
        <w:keepLines w:val="0"/>
        <w:pageBreakBefore w:val="0"/>
        <w:kinsoku/>
        <w:wordWrap/>
        <w:overflowPunct/>
        <w:topLinePunct w:val="0"/>
        <w:autoSpaceDE/>
        <w:autoSpaceDN/>
        <w:bidi w:val="0"/>
        <w:adjustRightInd/>
        <w:snapToGrid/>
        <w:spacing w:before="120" w:after="60" w:line="480" w:lineRule="auto"/>
        <w:jc w:val="both"/>
        <w:textAlignment w:val="auto"/>
      </w:pPr>
      <w:r>
        <w:rPr>
          <w:b/>
          <w:bCs/>
          <w:sz w:val="20"/>
          <w:szCs w:val="20"/>
        </w:rPr>
        <w:t xml:space="preserve">Table S2. </w:t>
      </w:r>
      <w:r>
        <w:rPr>
          <w:sz w:val="20"/>
          <w:szCs w:val="20"/>
        </w:rPr>
        <w:t>Secondary (mediator-adjusted) Cox model adding arterial lactate and norepinephrine-equivalent vasopressor dose. In these 3,755 patients the hazard ratio for estimated PASP (per 10 mmHg) was 1.15 (1.11–1.20) before and 1.16 (1.12–1.21) after adding the mediators.</w:t>
      </w:r>
    </w:p>
    <w:tbl>
      <w:tblPr>
        <w:tblStyle w:val="6"/>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860"/>
        <w:gridCol w:w="2700"/>
        <w:gridCol w:w="1800"/>
      </w:tblGrid>
      <w:tr w14:paraId="4A602976">
        <w:trPr>
          <w:tblHeader/>
        </w:trPr>
        <w:tc>
          <w:tcPr>
            <w:tcW w:w="4860" w:type="dxa"/>
            <w:tcBorders>
              <w:top w:val="single" w:color="000000" w:sz="8" w:space="0"/>
              <w:left w:val="nil"/>
              <w:bottom w:val="single" w:color="000000" w:sz="4" w:space="0"/>
              <w:right w:val="nil"/>
            </w:tcBorders>
            <w:tcMar>
              <w:top w:w="40" w:type="dxa"/>
              <w:left w:w="90" w:type="dxa"/>
              <w:bottom w:w="40" w:type="dxa"/>
              <w:right w:w="90" w:type="dxa"/>
            </w:tcMar>
          </w:tcPr>
          <w:p w14:paraId="27E9C33F">
            <w:pPr>
              <w:keepNext w:val="0"/>
              <w:keepLines w:val="0"/>
              <w:pageBreakBefore w:val="0"/>
              <w:kinsoku/>
              <w:wordWrap/>
              <w:overflowPunct/>
              <w:topLinePunct w:val="0"/>
              <w:autoSpaceDE/>
              <w:autoSpaceDN/>
              <w:bidi w:val="0"/>
              <w:adjustRightInd/>
              <w:snapToGrid/>
              <w:spacing w:after="0" w:line="480" w:lineRule="auto"/>
              <w:jc w:val="left"/>
              <w:textAlignment w:val="auto"/>
            </w:pPr>
            <w:r>
              <w:rPr>
                <w:b/>
                <w:bCs/>
                <w:sz w:val="20"/>
                <w:szCs w:val="20"/>
              </w:rPr>
              <w:t>Variable</w:t>
            </w:r>
          </w:p>
        </w:tc>
        <w:tc>
          <w:tcPr>
            <w:tcW w:w="2700" w:type="dxa"/>
            <w:tcBorders>
              <w:top w:val="single" w:color="000000" w:sz="8" w:space="0"/>
              <w:left w:val="nil"/>
              <w:bottom w:val="single" w:color="000000" w:sz="4" w:space="0"/>
              <w:right w:val="nil"/>
            </w:tcBorders>
            <w:tcMar>
              <w:top w:w="40" w:type="dxa"/>
              <w:left w:w="90" w:type="dxa"/>
              <w:bottom w:w="40" w:type="dxa"/>
              <w:right w:w="90" w:type="dxa"/>
            </w:tcMar>
          </w:tcPr>
          <w:p w14:paraId="2498CB84">
            <w:pPr>
              <w:keepNext w:val="0"/>
              <w:keepLines w:val="0"/>
              <w:pageBreakBefore w:val="0"/>
              <w:kinsoku/>
              <w:wordWrap/>
              <w:overflowPunct/>
              <w:topLinePunct w:val="0"/>
              <w:autoSpaceDE/>
              <w:autoSpaceDN/>
              <w:bidi w:val="0"/>
              <w:adjustRightInd/>
              <w:snapToGrid/>
              <w:spacing w:after="0" w:line="480" w:lineRule="auto"/>
              <w:jc w:val="center"/>
              <w:textAlignment w:val="auto"/>
            </w:pPr>
            <w:r>
              <w:rPr>
                <w:b/>
                <w:bCs/>
                <w:sz w:val="20"/>
                <w:szCs w:val="20"/>
              </w:rPr>
              <w:t>Adjusted HR (95% CI)</w:t>
            </w:r>
          </w:p>
        </w:tc>
        <w:tc>
          <w:tcPr>
            <w:tcW w:w="1800" w:type="dxa"/>
            <w:tcBorders>
              <w:top w:val="single" w:color="000000" w:sz="8" w:space="0"/>
              <w:left w:val="nil"/>
              <w:bottom w:val="single" w:color="000000" w:sz="4" w:space="0"/>
              <w:right w:val="nil"/>
            </w:tcBorders>
            <w:tcMar>
              <w:top w:w="40" w:type="dxa"/>
              <w:left w:w="90" w:type="dxa"/>
              <w:bottom w:w="40" w:type="dxa"/>
              <w:right w:w="90" w:type="dxa"/>
            </w:tcMar>
          </w:tcPr>
          <w:p w14:paraId="192FDD30">
            <w:pPr>
              <w:keepNext w:val="0"/>
              <w:keepLines w:val="0"/>
              <w:pageBreakBefore w:val="0"/>
              <w:kinsoku/>
              <w:wordWrap/>
              <w:overflowPunct/>
              <w:topLinePunct w:val="0"/>
              <w:autoSpaceDE/>
              <w:autoSpaceDN/>
              <w:bidi w:val="0"/>
              <w:adjustRightInd/>
              <w:snapToGrid/>
              <w:spacing w:after="0" w:line="480" w:lineRule="auto"/>
              <w:jc w:val="center"/>
              <w:textAlignment w:val="auto"/>
            </w:pPr>
            <w:r>
              <w:rPr>
                <w:b/>
                <w:bCs/>
                <w:sz w:val="20"/>
                <w:szCs w:val="20"/>
              </w:rPr>
              <w:t>P-value</w:t>
            </w:r>
          </w:p>
        </w:tc>
      </w:tr>
      <w:tr w14:paraId="515FF3BE">
        <w:tc>
          <w:tcPr>
            <w:tcW w:w="4860" w:type="dxa"/>
            <w:tcBorders>
              <w:top w:val="nil"/>
              <w:left w:val="nil"/>
              <w:bottom w:val="nil"/>
              <w:right w:val="nil"/>
            </w:tcBorders>
            <w:tcMar>
              <w:top w:w="40" w:type="dxa"/>
              <w:left w:w="90" w:type="dxa"/>
              <w:bottom w:w="40" w:type="dxa"/>
              <w:right w:w="90" w:type="dxa"/>
            </w:tcMar>
          </w:tcPr>
          <w:p w14:paraId="74F78FD8">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Estimated PASP, per 10 mmHg</w:t>
            </w:r>
          </w:p>
        </w:tc>
        <w:tc>
          <w:tcPr>
            <w:tcW w:w="2700" w:type="dxa"/>
            <w:tcBorders>
              <w:top w:val="nil"/>
              <w:left w:val="nil"/>
              <w:bottom w:val="nil"/>
              <w:right w:val="nil"/>
            </w:tcBorders>
            <w:tcMar>
              <w:top w:w="40" w:type="dxa"/>
              <w:left w:w="90" w:type="dxa"/>
              <w:bottom w:w="40" w:type="dxa"/>
              <w:right w:w="90" w:type="dxa"/>
            </w:tcMar>
          </w:tcPr>
          <w:p w14:paraId="3E431132">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1.16 (1.12–1.21)</w:t>
            </w:r>
          </w:p>
        </w:tc>
        <w:tc>
          <w:tcPr>
            <w:tcW w:w="1800" w:type="dxa"/>
            <w:tcBorders>
              <w:top w:val="nil"/>
              <w:left w:val="nil"/>
              <w:bottom w:val="nil"/>
              <w:right w:val="nil"/>
            </w:tcBorders>
            <w:tcMar>
              <w:top w:w="40" w:type="dxa"/>
              <w:left w:w="90" w:type="dxa"/>
              <w:bottom w:w="40" w:type="dxa"/>
              <w:right w:w="90" w:type="dxa"/>
            </w:tcMar>
          </w:tcPr>
          <w:p w14:paraId="4905F1E6">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&lt;0.001</w:t>
            </w:r>
          </w:p>
        </w:tc>
      </w:tr>
      <w:tr w14:paraId="1A37D7B3">
        <w:tc>
          <w:tcPr>
            <w:tcW w:w="4860" w:type="dxa"/>
            <w:tcBorders>
              <w:top w:val="nil"/>
              <w:left w:val="nil"/>
              <w:bottom w:val="nil"/>
              <w:right w:val="nil"/>
            </w:tcBorders>
            <w:tcMar>
              <w:top w:w="40" w:type="dxa"/>
              <w:left w:w="90" w:type="dxa"/>
              <w:bottom w:w="40" w:type="dxa"/>
              <w:right w:w="90" w:type="dxa"/>
            </w:tcMar>
          </w:tcPr>
          <w:p w14:paraId="07FD0A40">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Age, per year</w:t>
            </w:r>
          </w:p>
        </w:tc>
        <w:tc>
          <w:tcPr>
            <w:tcW w:w="2700" w:type="dxa"/>
            <w:tcBorders>
              <w:top w:val="nil"/>
              <w:left w:val="nil"/>
              <w:bottom w:val="nil"/>
              <w:right w:val="nil"/>
            </w:tcBorders>
            <w:tcMar>
              <w:top w:w="40" w:type="dxa"/>
              <w:left w:w="90" w:type="dxa"/>
              <w:bottom w:w="40" w:type="dxa"/>
              <w:right w:w="90" w:type="dxa"/>
            </w:tcMar>
          </w:tcPr>
          <w:p w14:paraId="1F0F4C0D">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1.02 (1.01–1.02)</w:t>
            </w:r>
          </w:p>
        </w:tc>
        <w:tc>
          <w:tcPr>
            <w:tcW w:w="1800" w:type="dxa"/>
            <w:tcBorders>
              <w:top w:val="nil"/>
              <w:left w:val="nil"/>
              <w:bottom w:val="nil"/>
              <w:right w:val="nil"/>
            </w:tcBorders>
            <w:tcMar>
              <w:top w:w="40" w:type="dxa"/>
              <w:left w:w="90" w:type="dxa"/>
              <w:bottom w:w="40" w:type="dxa"/>
              <w:right w:w="90" w:type="dxa"/>
            </w:tcMar>
          </w:tcPr>
          <w:p w14:paraId="6169C93D">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&lt;0.001</w:t>
            </w:r>
          </w:p>
        </w:tc>
      </w:tr>
      <w:tr w14:paraId="79FD94DD">
        <w:tc>
          <w:tcPr>
            <w:tcW w:w="4860" w:type="dxa"/>
            <w:tcBorders>
              <w:top w:val="nil"/>
              <w:left w:val="nil"/>
              <w:bottom w:val="nil"/>
              <w:right w:val="nil"/>
            </w:tcBorders>
            <w:tcMar>
              <w:top w:w="40" w:type="dxa"/>
              <w:left w:w="90" w:type="dxa"/>
              <w:bottom w:w="40" w:type="dxa"/>
              <w:right w:w="90" w:type="dxa"/>
            </w:tcMar>
          </w:tcPr>
          <w:p w14:paraId="28ED7534">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Male sex (vs female)</w:t>
            </w:r>
          </w:p>
        </w:tc>
        <w:tc>
          <w:tcPr>
            <w:tcW w:w="2700" w:type="dxa"/>
            <w:tcBorders>
              <w:top w:val="nil"/>
              <w:left w:val="nil"/>
              <w:bottom w:val="nil"/>
              <w:right w:val="nil"/>
            </w:tcBorders>
            <w:tcMar>
              <w:top w:w="40" w:type="dxa"/>
              <w:left w:w="90" w:type="dxa"/>
              <w:bottom w:w="40" w:type="dxa"/>
              <w:right w:w="90" w:type="dxa"/>
            </w:tcMar>
          </w:tcPr>
          <w:p w14:paraId="2E434F95">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0.89 (0.80–0.98)</w:t>
            </w:r>
          </w:p>
        </w:tc>
        <w:tc>
          <w:tcPr>
            <w:tcW w:w="1800" w:type="dxa"/>
            <w:tcBorders>
              <w:top w:val="nil"/>
              <w:left w:val="nil"/>
              <w:bottom w:val="nil"/>
              <w:right w:val="nil"/>
            </w:tcBorders>
            <w:tcMar>
              <w:top w:w="40" w:type="dxa"/>
              <w:left w:w="90" w:type="dxa"/>
              <w:bottom w:w="40" w:type="dxa"/>
              <w:right w:w="90" w:type="dxa"/>
            </w:tcMar>
          </w:tcPr>
          <w:p w14:paraId="23DB4A49">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0.025</w:t>
            </w:r>
          </w:p>
        </w:tc>
      </w:tr>
      <w:tr w14:paraId="783AB6B6">
        <w:tc>
          <w:tcPr>
            <w:tcW w:w="4860" w:type="dxa"/>
            <w:tcBorders>
              <w:top w:val="nil"/>
              <w:left w:val="nil"/>
              <w:bottom w:val="nil"/>
              <w:right w:val="nil"/>
            </w:tcBorders>
            <w:tcMar>
              <w:top w:w="40" w:type="dxa"/>
              <w:left w:w="90" w:type="dxa"/>
              <w:bottom w:w="40" w:type="dxa"/>
              <w:right w:w="90" w:type="dxa"/>
            </w:tcMar>
          </w:tcPr>
          <w:p w14:paraId="541A57F1">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Charlson comorbidity index, per point</w:t>
            </w:r>
          </w:p>
        </w:tc>
        <w:tc>
          <w:tcPr>
            <w:tcW w:w="2700" w:type="dxa"/>
            <w:tcBorders>
              <w:top w:val="nil"/>
              <w:left w:val="nil"/>
              <w:bottom w:val="nil"/>
              <w:right w:val="nil"/>
            </w:tcBorders>
            <w:tcMar>
              <w:top w:w="40" w:type="dxa"/>
              <w:left w:w="90" w:type="dxa"/>
              <w:bottom w:w="40" w:type="dxa"/>
              <w:right w:w="90" w:type="dxa"/>
            </w:tcMar>
          </w:tcPr>
          <w:p w14:paraId="09DF51C9">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1.07 (1.05–1.10)</w:t>
            </w:r>
          </w:p>
        </w:tc>
        <w:tc>
          <w:tcPr>
            <w:tcW w:w="1800" w:type="dxa"/>
            <w:tcBorders>
              <w:top w:val="nil"/>
              <w:left w:val="nil"/>
              <w:bottom w:val="nil"/>
              <w:right w:val="nil"/>
            </w:tcBorders>
            <w:tcMar>
              <w:top w:w="40" w:type="dxa"/>
              <w:left w:w="90" w:type="dxa"/>
              <w:bottom w:w="40" w:type="dxa"/>
              <w:right w:w="90" w:type="dxa"/>
            </w:tcMar>
          </w:tcPr>
          <w:p w14:paraId="6ABDDD27">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&lt;0.001</w:t>
            </w:r>
          </w:p>
        </w:tc>
      </w:tr>
      <w:tr w14:paraId="007F2719">
        <w:tc>
          <w:tcPr>
            <w:tcW w:w="4860" w:type="dxa"/>
            <w:tcBorders>
              <w:top w:val="nil"/>
              <w:left w:val="nil"/>
              <w:bottom w:val="nil"/>
              <w:right w:val="nil"/>
            </w:tcBorders>
            <w:tcMar>
              <w:top w:w="40" w:type="dxa"/>
              <w:left w:w="90" w:type="dxa"/>
              <w:bottom w:w="40" w:type="dxa"/>
              <w:right w:w="90" w:type="dxa"/>
            </w:tcMar>
          </w:tcPr>
          <w:p w14:paraId="736863FE">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SOFA score, per point</w:t>
            </w:r>
          </w:p>
        </w:tc>
        <w:tc>
          <w:tcPr>
            <w:tcW w:w="2700" w:type="dxa"/>
            <w:tcBorders>
              <w:top w:val="nil"/>
              <w:left w:val="nil"/>
              <w:bottom w:val="nil"/>
              <w:right w:val="nil"/>
            </w:tcBorders>
            <w:tcMar>
              <w:top w:w="40" w:type="dxa"/>
              <w:left w:w="90" w:type="dxa"/>
              <w:bottom w:w="40" w:type="dxa"/>
              <w:right w:w="90" w:type="dxa"/>
            </w:tcMar>
          </w:tcPr>
          <w:p w14:paraId="35436A9F">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1.11 (1.09–1.13)</w:t>
            </w:r>
          </w:p>
        </w:tc>
        <w:tc>
          <w:tcPr>
            <w:tcW w:w="1800" w:type="dxa"/>
            <w:tcBorders>
              <w:top w:val="nil"/>
              <w:left w:val="nil"/>
              <w:bottom w:val="nil"/>
              <w:right w:val="nil"/>
            </w:tcBorders>
            <w:tcMar>
              <w:top w:w="40" w:type="dxa"/>
              <w:left w:w="90" w:type="dxa"/>
              <w:bottom w:w="40" w:type="dxa"/>
              <w:right w:w="90" w:type="dxa"/>
            </w:tcMar>
          </w:tcPr>
          <w:p w14:paraId="08BA3FD0">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&lt;0.001</w:t>
            </w:r>
          </w:p>
        </w:tc>
      </w:tr>
      <w:tr w14:paraId="57E58A03">
        <w:tc>
          <w:tcPr>
            <w:tcW w:w="4860" w:type="dxa"/>
            <w:tcBorders>
              <w:top w:val="nil"/>
              <w:left w:val="nil"/>
              <w:bottom w:val="nil"/>
              <w:right w:val="nil"/>
            </w:tcBorders>
            <w:tcMar>
              <w:top w:w="40" w:type="dxa"/>
              <w:left w:w="90" w:type="dxa"/>
              <w:bottom w:w="40" w:type="dxa"/>
              <w:right w:w="90" w:type="dxa"/>
            </w:tcMar>
          </w:tcPr>
          <w:p w14:paraId="07A21ACA">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Pulmonary source of sepsis (vs non-pulmonary)</w:t>
            </w:r>
          </w:p>
        </w:tc>
        <w:tc>
          <w:tcPr>
            <w:tcW w:w="2700" w:type="dxa"/>
            <w:tcBorders>
              <w:top w:val="nil"/>
              <w:left w:val="nil"/>
              <w:bottom w:val="nil"/>
              <w:right w:val="nil"/>
            </w:tcBorders>
            <w:tcMar>
              <w:top w:w="40" w:type="dxa"/>
              <w:left w:w="90" w:type="dxa"/>
              <w:bottom w:w="40" w:type="dxa"/>
              <w:right w:w="90" w:type="dxa"/>
            </w:tcMar>
          </w:tcPr>
          <w:p w14:paraId="7CA8AC46">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1.13 (1.02–1.25)</w:t>
            </w:r>
          </w:p>
        </w:tc>
        <w:tc>
          <w:tcPr>
            <w:tcW w:w="1800" w:type="dxa"/>
            <w:tcBorders>
              <w:top w:val="nil"/>
              <w:left w:val="nil"/>
              <w:bottom w:val="nil"/>
              <w:right w:val="nil"/>
            </w:tcBorders>
            <w:tcMar>
              <w:top w:w="40" w:type="dxa"/>
              <w:left w:w="90" w:type="dxa"/>
              <w:bottom w:w="40" w:type="dxa"/>
              <w:right w:w="90" w:type="dxa"/>
            </w:tcMar>
          </w:tcPr>
          <w:p w14:paraId="4185B549">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0.022</w:t>
            </w:r>
          </w:p>
        </w:tc>
      </w:tr>
      <w:tr w14:paraId="1CD15968">
        <w:tc>
          <w:tcPr>
            <w:tcW w:w="4860" w:type="dxa"/>
            <w:tcBorders>
              <w:top w:val="nil"/>
              <w:left w:val="nil"/>
              <w:bottom w:val="nil"/>
              <w:right w:val="nil"/>
            </w:tcBorders>
            <w:tcMar>
              <w:top w:w="40" w:type="dxa"/>
              <w:left w:w="90" w:type="dxa"/>
              <w:bottom w:w="40" w:type="dxa"/>
              <w:right w:w="90" w:type="dxa"/>
            </w:tcMar>
          </w:tcPr>
          <w:p w14:paraId="343C5AF3">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LVEF &lt;50% (vs ≥50%)</w:t>
            </w:r>
          </w:p>
        </w:tc>
        <w:tc>
          <w:tcPr>
            <w:tcW w:w="2700" w:type="dxa"/>
            <w:tcBorders>
              <w:top w:val="nil"/>
              <w:left w:val="nil"/>
              <w:bottom w:val="nil"/>
              <w:right w:val="nil"/>
            </w:tcBorders>
            <w:tcMar>
              <w:top w:w="40" w:type="dxa"/>
              <w:left w:w="90" w:type="dxa"/>
              <w:bottom w:w="40" w:type="dxa"/>
              <w:right w:w="90" w:type="dxa"/>
            </w:tcMar>
          </w:tcPr>
          <w:p w14:paraId="43F900C1">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1.17 (1.05–1.30)</w:t>
            </w:r>
          </w:p>
        </w:tc>
        <w:tc>
          <w:tcPr>
            <w:tcW w:w="1800" w:type="dxa"/>
            <w:tcBorders>
              <w:top w:val="nil"/>
              <w:left w:val="nil"/>
              <w:bottom w:val="nil"/>
              <w:right w:val="nil"/>
            </w:tcBorders>
            <w:tcMar>
              <w:top w:w="40" w:type="dxa"/>
              <w:left w:w="90" w:type="dxa"/>
              <w:bottom w:w="40" w:type="dxa"/>
              <w:right w:w="90" w:type="dxa"/>
            </w:tcMar>
          </w:tcPr>
          <w:p w14:paraId="66A026AC">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0.004</w:t>
            </w:r>
          </w:p>
        </w:tc>
      </w:tr>
      <w:tr w14:paraId="3AF837D5">
        <w:tc>
          <w:tcPr>
            <w:tcW w:w="4860" w:type="dxa"/>
            <w:tcBorders>
              <w:top w:val="nil"/>
              <w:left w:val="nil"/>
              <w:bottom w:val="nil"/>
              <w:right w:val="nil"/>
            </w:tcBorders>
            <w:tcMar>
              <w:top w:w="40" w:type="dxa"/>
              <w:left w:w="90" w:type="dxa"/>
              <w:bottom w:w="40" w:type="dxa"/>
              <w:right w:w="90" w:type="dxa"/>
            </w:tcMar>
          </w:tcPr>
          <w:p w14:paraId="01BB8F49">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Invasive mechanical ventilation (vs none)</w:t>
            </w:r>
          </w:p>
        </w:tc>
        <w:tc>
          <w:tcPr>
            <w:tcW w:w="2700" w:type="dxa"/>
            <w:tcBorders>
              <w:top w:val="nil"/>
              <w:left w:val="nil"/>
              <w:bottom w:val="nil"/>
              <w:right w:val="nil"/>
            </w:tcBorders>
            <w:tcMar>
              <w:top w:w="40" w:type="dxa"/>
              <w:left w:w="90" w:type="dxa"/>
              <w:bottom w:w="40" w:type="dxa"/>
              <w:right w:w="90" w:type="dxa"/>
            </w:tcMar>
          </w:tcPr>
          <w:p w14:paraId="55CD778A">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0.98 (0.87–1.10)</w:t>
            </w:r>
          </w:p>
        </w:tc>
        <w:tc>
          <w:tcPr>
            <w:tcW w:w="1800" w:type="dxa"/>
            <w:tcBorders>
              <w:top w:val="nil"/>
              <w:left w:val="nil"/>
              <w:bottom w:val="nil"/>
              <w:right w:val="nil"/>
            </w:tcBorders>
            <w:tcMar>
              <w:top w:w="40" w:type="dxa"/>
              <w:left w:w="90" w:type="dxa"/>
              <w:bottom w:w="40" w:type="dxa"/>
              <w:right w:w="90" w:type="dxa"/>
            </w:tcMar>
          </w:tcPr>
          <w:p w14:paraId="3CA11895">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0.74</w:t>
            </w:r>
          </w:p>
        </w:tc>
      </w:tr>
      <w:tr w14:paraId="7FA96EA6">
        <w:tc>
          <w:tcPr>
            <w:tcW w:w="4860" w:type="dxa"/>
            <w:tcBorders>
              <w:top w:val="nil"/>
              <w:left w:val="nil"/>
              <w:bottom w:val="nil"/>
              <w:right w:val="nil"/>
            </w:tcBorders>
            <w:tcMar>
              <w:top w:w="40" w:type="dxa"/>
              <w:left w:w="90" w:type="dxa"/>
              <w:bottom w:w="40" w:type="dxa"/>
              <w:right w:w="90" w:type="dxa"/>
            </w:tcMar>
          </w:tcPr>
          <w:p w14:paraId="2CCA8987">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Time from ICU admission to echocardiogram, per hour</w:t>
            </w:r>
          </w:p>
        </w:tc>
        <w:tc>
          <w:tcPr>
            <w:tcW w:w="2700" w:type="dxa"/>
            <w:tcBorders>
              <w:top w:val="nil"/>
              <w:left w:val="nil"/>
              <w:bottom w:val="nil"/>
              <w:right w:val="nil"/>
            </w:tcBorders>
            <w:tcMar>
              <w:top w:w="40" w:type="dxa"/>
              <w:left w:w="90" w:type="dxa"/>
              <w:bottom w:w="40" w:type="dxa"/>
              <w:right w:w="90" w:type="dxa"/>
            </w:tcMar>
          </w:tcPr>
          <w:p w14:paraId="16448BF8">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1.00 (0.99–1.01)</w:t>
            </w:r>
          </w:p>
        </w:tc>
        <w:tc>
          <w:tcPr>
            <w:tcW w:w="1800" w:type="dxa"/>
            <w:tcBorders>
              <w:top w:val="nil"/>
              <w:left w:val="nil"/>
              <w:bottom w:val="nil"/>
              <w:right w:val="nil"/>
            </w:tcBorders>
            <w:tcMar>
              <w:top w:w="40" w:type="dxa"/>
              <w:left w:w="90" w:type="dxa"/>
              <w:bottom w:w="40" w:type="dxa"/>
              <w:right w:w="90" w:type="dxa"/>
            </w:tcMar>
          </w:tcPr>
          <w:p w14:paraId="71B36308">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0.51</w:t>
            </w:r>
          </w:p>
        </w:tc>
      </w:tr>
      <w:tr w14:paraId="18D31847">
        <w:tc>
          <w:tcPr>
            <w:tcW w:w="4860" w:type="dxa"/>
            <w:tcBorders>
              <w:top w:val="nil"/>
              <w:left w:val="nil"/>
              <w:bottom w:val="nil"/>
              <w:right w:val="nil"/>
            </w:tcBorders>
            <w:tcMar>
              <w:top w:w="40" w:type="dxa"/>
              <w:left w:w="90" w:type="dxa"/>
              <w:bottom w:w="40" w:type="dxa"/>
              <w:right w:w="90" w:type="dxa"/>
            </w:tcMar>
          </w:tcPr>
          <w:p w14:paraId="1F61B8C7">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Admission year, per year</w:t>
            </w:r>
          </w:p>
        </w:tc>
        <w:tc>
          <w:tcPr>
            <w:tcW w:w="2700" w:type="dxa"/>
            <w:tcBorders>
              <w:top w:val="nil"/>
              <w:left w:val="nil"/>
              <w:bottom w:val="nil"/>
              <w:right w:val="nil"/>
            </w:tcBorders>
            <w:tcMar>
              <w:top w:w="40" w:type="dxa"/>
              <w:left w:w="90" w:type="dxa"/>
              <w:bottom w:w="40" w:type="dxa"/>
              <w:right w:w="90" w:type="dxa"/>
            </w:tcMar>
          </w:tcPr>
          <w:p w14:paraId="177AFA20">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0.998 (0.996–1.000)</w:t>
            </w:r>
          </w:p>
        </w:tc>
        <w:tc>
          <w:tcPr>
            <w:tcW w:w="1800" w:type="dxa"/>
            <w:tcBorders>
              <w:top w:val="nil"/>
              <w:left w:val="nil"/>
              <w:bottom w:val="nil"/>
              <w:right w:val="nil"/>
            </w:tcBorders>
            <w:tcMar>
              <w:top w:w="40" w:type="dxa"/>
              <w:left w:w="90" w:type="dxa"/>
              <w:bottom w:w="40" w:type="dxa"/>
              <w:right w:w="90" w:type="dxa"/>
            </w:tcMar>
          </w:tcPr>
          <w:p w14:paraId="64B2ACEE">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0.077</w:t>
            </w:r>
          </w:p>
        </w:tc>
      </w:tr>
      <w:tr w14:paraId="602DDC6D">
        <w:tc>
          <w:tcPr>
            <w:tcW w:w="4860" w:type="dxa"/>
            <w:tcBorders>
              <w:top w:val="nil"/>
              <w:left w:val="nil"/>
              <w:bottom w:val="nil"/>
              <w:right w:val="nil"/>
            </w:tcBorders>
            <w:tcMar>
              <w:top w:w="40" w:type="dxa"/>
              <w:left w:w="90" w:type="dxa"/>
              <w:bottom w:w="40" w:type="dxa"/>
              <w:right w:w="90" w:type="dxa"/>
            </w:tcMar>
          </w:tcPr>
          <w:p w14:paraId="1E7A282F">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Arterial lactate, per mmol/L</w:t>
            </w:r>
          </w:p>
        </w:tc>
        <w:tc>
          <w:tcPr>
            <w:tcW w:w="2700" w:type="dxa"/>
            <w:tcBorders>
              <w:top w:val="nil"/>
              <w:left w:val="nil"/>
              <w:bottom w:val="nil"/>
              <w:right w:val="nil"/>
            </w:tcBorders>
            <w:tcMar>
              <w:top w:w="40" w:type="dxa"/>
              <w:left w:w="90" w:type="dxa"/>
              <w:bottom w:w="40" w:type="dxa"/>
              <w:right w:w="90" w:type="dxa"/>
            </w:tcMar>
          </w:tcPr>
          <w:p w14:paraId="01D7816B">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1.13 (1.11–1.15)</w:t>
            </w:r>
          </w:p>
        </w:tc>
        <w:tc>
          <w:tcPr>
            <w:tcW w:w="1800" w:type="dxa"/>
            <w:tcBorders>
              <w:top w:val="nil"/>
              <w:left w:val="nil"/>
              <w:bottom w:val="nil"/>
              <w:right w:val="nil"/>
            </w:tcBorders>
            <w:tcMar>
              <w:top w:w="40" w:type="dxa"/>
              <w:left w:w="90" w:type="dxa"/>
              <w:bottom w:w="40" w:type="dxa"/>
              <w:right w:w="90" w:type="dxa"/>
            </w:tcMar>
          </w:tcPr>
          <w:p w14:paraId="70C71E1F">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&lt;0.001</w:t>
            </w:r>
          </w:p>
        </w:tc>
      </w:tr>
      <w:tr w14:paraId="25BC6AAF">
        <w:tc>
          <w:tcPr>
            <w:tcW w:w="4860" w:type="dxa"/>
            <w:tcBorders>
              <w:top w:val="nil"/>
              <w:left w:val="nil"/>
              <w:bottom w:val="single" w:color="000000" w:sz="8" w:space="0"/>
              <w:right w:val="nil"/>
            </w:tcBorders>
            <w:tcMar>
              <w:top w:w="40" w:type="dxa"/>
              <w:left w:w="90" w:type="dxa"/>
              <w:bottom w:w="40" w:type="dxa"/>
              <w:right w:w="90" w:type="dxa"/>
            </w:tcMar>
          </w:tcPr>
          <w:p w14:paraId="632C3A55">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Norepinephrine-equivalent dose, per µg/kg/min</w:t>
            </w:r>
          </w:p>
        </w:tc>
        <w:tc>
          <w:tcPr>
            <w:tcW w:w="2700" w:type="dxa"/>
            <w:tcBorders>
              <w:top w:val="nil"/>
              <w:left w:val="nil"/>
              <w:bottom w:val="single" w:color="000000" w:sz="8" w:space="0"/>
              <w:right w:val="nil"/>
            </w:tcBorders>
            <w:tcMar>
              <w:top w:w="40" w:type="dxa"/>
              <w:left w:w="90" w:type="dxa"/>
              <w:bottom w:w="40" w:type="dxa"/>
              <w:right w:w="90" w:type="dxa"/>
            </w:tcMar>
          </w:tcPr>
          <w:p w14:paraId="1C384A26">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1.14 (1.07–1.22)</w:t>
            </w:r>
          </w:p>
        </w:tc>
        <w:tc>
          <w:tcPr>
            <w:tcW w:w="1800" w:type="dxa"/>
            <w:tcBorders>
              <w:top w:val="nil"/>
              <w:left w:val="nil"/>
              <w:bottom w:val="single" w:color="000000" w:sz="8" w:space="0"/>
              <w:right w:val="nil"/>
            </w:tcBorders>
            <w:tcMar>
              <w:top w:w="40" w:type="dxa"/>
              <w:left w:w="90" w:type="dxa"/>
              <w:bottom w:w="40" w:type="dxa"/>
              <w:right w:w="90" w:type="dxa"/>
            </w:tcMar>
          </w:tcPr>
          <w:p w14:paraId="6ED87AB7">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&lt;0.001</w:t>
            </w:r>
          </w:p>
        </w:tc>
      </w:tr>
    </w:tbl>
    <w:p w14:paraId="6BDEAB15">
      <w:pPr>
        <w:keepNext w:val="0"/>
        <w:keepLines w:val="0"/>
        <w:pageBreakBefore w:val="0"/>
        <w:kinsoku/>
        <w:wordWrap/>
        <w:overflowPunct/>
        <w:topLinePunct w:val="0"/>
        <w:autoSpaceDE/>
        <w:autoSpaceDN/>
        <w:bidi w:val="0"/>
        <w:adjustRightInd/>
        <w:snapToGrid/>
        <w:spacing w:after="160" w:line="480" w:lineRule="auto"/>
        <w:jc w:val="both"/>
        <w:textAlignment w:val="auto"/>
      </w:pPr>
      <w:r>
        <w:rPr>
          <w:i/>
          <w:iCs/>
          <w:sz w:val="20"/>
          <w:szCs w:val="20"/>
        </w:rPr>
        <w:t>This model was fitted in the 3,755 patients with a recorded arterial lactate; the norepinephrine-equivalent dose was set to zero in patients not receiving a vasopressor and therefore does not restrict the sample. Adding these putative mediators did not attenuate the estimated-PASP association (HR 1.16 per 10 mmHg, versus 1.14 in the primary model), arguing against mediation through measured circulatory failure. Abbreviations as in Table S1.</w:t>
      </w:r>
    </w:p>
    <w:p w14:paraId="772613AB">
      <w:pPr>
        <w:keepNext w:val="0"/>
        <w:keepLines w:val="0"/>
        <w:pageBreakBefore w:val="0"/>
        <w:kinsoku/>
        <w:wordWrap/>
        <w:overflowPunct/>
        <w:topLinePunct w:val="0"/>
        <w:autoSpaceDE/>
        <w:autoSpaceDN/>
        <w:bidi w:val="0"/>
        <w:adjustRightInd/>
        <w:snapToGrid/>
        <w:spacing w:before="120" w:after="60" w:line="480" w:lineRule="auto"/>
        <w:jc w:val="both"/>
        <w:textAlignment w:val="auto"/>
      </w:pPr>
      <w:r>
        <w:rPr>
          <w:b/>
          <w:bCs/>
          <w:sz w:val="20"/>
          <w:szCs w:val="20"/>
        </w:rPr>
        <w:t xml:space="preserve">Table S3. </w:t>
      </w:r>
      <w:r>
        <w:rPr>
          <w:sz w:val="20"/>
          <w:szCs w:val="20"/>
        </w:rPr>
        <w:t>Adjusted associations of RV–PA coupling (TAPSE-to-TR-velocity ratio) with 90-day all-cause mortality.</w:t>
      </w:r>
    </w:p>
    <w:tbl>
      <w:tblPr>
        <w:tblStyle w:val="6"/>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5160"/>
        <w:gridCol w:w="2400"/>
        <w:gridCol w:w="1800"/>
      </w:tblGrid>
      <w:tr w14:paraId="2936760D">
        <w:trPr>
          <w:tblHeader/>
        </w:trPr>
        <w:tc>
          <w:tcPr>
            <w:tcW w:w="5160" w:type="dxa"/>
            <w:tcBorders>
              <w:top w:val="single" w:color="000000" w:sz="8" w:space="0"/>
              <w:left w:val="nil"/>
              <w:bottom w:val="single" w:color="000000" w:sz="4" w:space="0"/>
              <w:right w:val="nil"/>
            </w:tcBorders>
            <w:tcMar>
              <w:top w:w="40" w:type="dxa"/>
              <w:left w:w="90" w:type="dxa"/>
              <w:bottom w:w="40" w:type="dxa"/>
              <w:right w:w="90" w:type="dxa"/>
            </w:tcMar>
          </w:tcPr>
          <w:p w14:paraId="0C45E382">
            <w:pPr>
              <w:keepNext w:val="0"/>
              <w:keepLines w:val="0"/>
              <w:pageBreakBefore w:val="0"/>
              <w:kinsoku/>
              <w:wordWrap/>
              <w:overflowPunct/>
              <w:topLinePunct w:val="0"/>
              <w:autoSpaceDE/>
              <w:autoSpaceDN/>
              <w:bidi w:val="0"/>
              <w:adjustRightInd/>
              <w:snapToGrid/>
              <w:spacing w:after="0" w:line="480" w:lineRule="auto"/>
              <w:jc w:val="left"/>
              <w:textAlignment w:val="auto"/>
            </w:pPr>
            <w:r>
              <w:rPr>
                <w:b/>
                <w:bCs/>
                <w:sz w:val="20"/>
                <w:szCs w:val="20"/>
              </w:rPr>
              <w:t>Parameter</w:t>
            </w:r>
          </w:p>
        </w:tc>
        <w:tc>
          <w:tcPr>
            <w:tcW w:w="2400" w:type="dxa"/>
            <w:tcBorders>
              <w:top w:val="single" w:color="000000" w:sz="8" w:space="0"/>
              <w:left w:val="nil"/>
              <w:bottom w:val="single" w:color="000000" w:sz="4" w:space="0"/>
              <w:right w:val="nil"/>
            </w:tcBorders>
            <w:tcMar>
              <w:top w:w="40" w:type="dxa"/>
              <w:left w:w="90" w:type="dxa"/>
              <w:bottom w:w="40" w:type="dxa"/>
              <w:right w:w="90" w:type="dxa"/>
            </w:tcMar>
          </w:tcPr>
          <w:p w14:paraId="3D712576">
            <w:pPr>
              <w:keepNext w:val="0"/>
              <w:keepLines w:val="0"/>
              <w:pageBreakBefore w:val="0"/>
              <w:kinsoku/>
              <w:wordWrap/>
              <w:overflowPunct/>
              <w:topLinePunct w:val="0"/>
              <w:autoSpaceDE/>
              <w:autoSpaceDN/>
              <w:bidi w:val="0"/>
              <w:adjustRightInd/>
              <w:snapToGrid/>
              <w:spacing w:after="0" w:line="480" w:lineRule="auto"/>
              <w:jc w:val="center"/>
              <w:textAlignment w:val="auto"/>
            </w:pPr>
            <w:r>
              <w:rPr>
                <w:b/>
                <w:bCs/>
                <w:sz w:val="20"/>
                <w:szCs w:val="20"/>
              </w:rPr>
              <w:t>Adjusted HR (95% CI)</w:t>
            </w:r>
          </w:p>
        </w:tc>
        <w:tc>
          <w:tcPr>
            <w:tcW w:w="1800" w:type="dxa"/>
            <w:tcBorders>
              <w:top w:val="single" w:color="000000" w:sz="8" w:space="0"/>
              <w:left w:val="nil"/>
              <w:bottom w:val="single" w:color="000000" w:sz="4" w:space="0"/>
              <w:right w:val="nil"/>
            </w:tcBorders>
            <w:tcMar>
              <w:top w:w="40" w:type="dxa"/>
              <w:left w:w="90" w:type="dxa"/>
              <w:bottom w:w="40" w:type="dxa"/>
              <w:right w:w="90" w:type="dxa"/>
            </w:tcMar>
          </w:tcPr>
          <w:p w14:paraId="4AF7923F">
            <w:pPr>
              <w:keepNext w:val="0"/>
              <w:keepLines w:val="0"/>
              <w:pageBreakBefore w:val="0"/>
              <w:kinsoku/>
              <w:wordWrap/>
              <w:overflowPunct/>
              <w:topLinePunct w:val="0"/>
              <w:autoSpaceDE/>
              <w:autoSpaceDN/>
              <w:bidi w:val="0"/>
              <w:adjustRightInd/>
              <w:snapToGrid/>
              <w:spacing w:after="0" w:line="480" w:lineRule="auto"/>
              <w:jc w:val="center"/>
              <w:textAlignment w:val="auto"/>
            </w:pPr>
            <w:r>
              <w:rPr>
                <w:b/>
                <w:bCs/>
                <w:sz w:val="20"/>
                <w:szCs w:val="20"/>
              </w:rPr>
              <w:t>P-value</w:t>
            </w:r>
          </w:p>
        </w:tc>
      </w:tr>
      <w:tr w14:paraId="458AEC4C">
        <w:tc>
          <w:tcPr>
            <w:tcW w:w="5160" w:type="dxa"/>
            <w:tcBorders>
              <w:top w:val="nil"/>
              <w:left w:val="nil"/>
              <w:bottom w:val="nil"/>
              <w:right w:val="nil"/>
            </w:tcBorders>
            <w:tcMar>
              <w:top w:w="40" w:type="dxa"/>
              <w:left w:w="90" w:type="dxa"/>
              <w:bottom w:w="40" w:type="dxa"/>
              <w:right w:w="90" w:type="dxa"/>
            </w:tcMar>
          </w:tcPr>
          <w:p w14:paraId="72DFC9E9">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TAPSE/TR velocity, per 0.1 unit (continuous)</w:t>
            </w:r>
          </w:p>
        </w:tc>
        <w:tc>
          <w:tcPr>
            <w:tcW w:w="2400" w:type="dxa"/>
            <w:tcBorders>
              <w:top w:val="nil"/>
              <w:left w:val="nil"/>
              <w:bottom w:val="nil"/>
              <w:right w:val="nil"/>
            </w:tcBorders>
            <w:tcMar>
              <w:top w:w="40" w:type="dxa"/>
              <w:left w:w="90" w:type="dxa"/>
              <w:bottom w:w="40" w:type="dxa"/>
              <w:right w:w="90" w:type="dxa"/>
            </w:tcMar>
          </w:tcPr>
          <w:p w14:paraId="7C992432">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0.92 (0.85–0.99)</w:t>
            </w:r>
          </w:p>
        </w:tc>
        <w:tc>
          <w:tcPr>
            <w:tcW w:w="1800" w:type="dxa"/>
            <w:tcBorders>
              <w:top w:val="nil"/>
              <w:left w:val="nil"/>
              <w:bottom w:val="nil"/>
              <w:right w:val="nil"/>
            </w:tcBorders>
            <w:tcMar>
              <w:top w:w="40" w:type="dxa"/>
              <w:left w:w="90" w:type="dxa"/>
              <w:bottom w:w="40" w:type="dxa"/>
              <w:right w:w="90" w:type="dxa"/>
            </w:tcMar>
          </w:tcPr>
          <w:p w14:paraId="75E12B1C">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0.034</w:t>
            </w:r>
          </w:p>
        </w:tc>
      </w:tr>
      <w:tr w14:paraId="4B849D1D">
        <w:tc>
          <w:tcPr>
            <w:tcW w:w="5160" w:type="dxa"/>
            <w:tcBorders>
              <w:top w:val="nil"/>
              <w:left w:val="nil"/>
              <w:bottom w:val="nil"/>
              <w:right w:val="nil"/>
            </w:tcBorders>
            <w:tcMar>
              <w:top w:w="40" w:type="dxa"/>
              <w:left w:w="90" w:type="dxa"/>
              <w:bottom w:w="40" w:type="dxa"/>
              <w:right w:w="90" w:type="dxa"/>
            </w:tcMar>
          </w:tcPr>
          <w:p w14:paraId="3CEA885E">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Coupling tertile — T3, highest (best)</w:t>
            </w:r>
          </w:p>
        </w:tc>
        <w:tc>
          <w:tcPr>
            <w:tcW w:w="2400" w:type="dxa"/>
            <w:tcBorders>
              <w:top w:val="nil"/>
              <w:left w:val="nil"/>
              <w:bottom w:val="nil"/>
              <w:right w:val="nil"/>
            </w:tcBorders>
            <w:tcMar>
              <w:top w:w="40" w:type="dxa"/>
              <w:left w:w="90" w:type="dxa"/>
              <w:bottom w:w="40" w:type="dxa"/>
              <w:right w:w="90" w:type="dxa"/>
            </w:tcMar>
          </w:tcPr>
          <w:p w14:paraId="5115B0F7">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Reference</w:t>
            </w:r>
          </w:p>
        </w:tc>
        <w:tc>
          <w:tcPr>
            <w:tcW w:w="1800" w:type="dxa"/>
            <w:tcBorders>
              <w:top w:val="nil"/>
              <w:left w:val="nil"/>
              <w:bottom w:val="nil"/>
              <w:right w:val="nil"/>
            </w:tcBorders>
            <w:tcMar>
              <w:top w:w="40" w:type="dxa"/>
              <w:left w:w="90" w:type="dxa"/>
              <w:bottom w:w="40" w:type="dxa"/>
              <w:right w:w="90" w:type="dxa"/>
            </w:tcMar>
          </w:tcPr>
          <w:p w14:paraId="203080CC">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w:t>
            </w:r>
          </w:p>
        </w:tc>
      </w:tr>
      <w:tr w14:paraId="3E8DECFC">
        <w:tc>
          <w:tcPr>
            <w:tcW w:w="5160" w:type="dxa"/>
            <w:tcBorders>
              <w:top w:val="nil"/>
              <w:left w:val="nil"/>
              <w:bottom w:val="nil"/>
              <w:right w:val="nil"/>
            </w:tcBorders>
            <w:tcMar>
              <w:top w:w="40" w:type="dxa"/>
              <w:left w:w="90" w:type="dxa"/>
              <w:bottom w:w="40" w:type="dxa"/>
              <w:right w:w="90" w:type="dxa"/>
            </w:tcMar>
          </w:tcPr>
          <w:p w14:paraId="6A57AF66">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Coupling tertile — T2, middle</w:t>
            </w:r>
          </w:p>
        </w:tc>
        <w:tc>
          <w:tcPr>
            <w:tcW w:w="2400" w:type="dxa"/>
            <w:tcBorders>
              <w:top w:val="nil"/>
              <w:left w:val="nil"/>
              <w:bottom w:val="nil"/>
              <w:right w:val="nil"/>
            </w:tcBorders>
            <w:tcMar>
              <w:top w:w="40" w:type="dxa"/>
              <w:left w:w="90" w:type="dxa"/>
              <w:bottom w:w="40" w:type="dxa"/>
              <w:right w:w="90" w:type="dxa"/>
            </w:tcMar>
          </w:tcPr>
          <w:p w14:paraId="2DBEE2B8">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0.97 (0.60–1.56)</w:t>
            </w:r>
          </w:p>
        </w:tc>
        <w:tc>
          <w:tcPr>
            <w:tcW w:w="1800" w:type="dxa"/>
            <w:tcBorders>
              <w:top w:val="nil"/>
              <w:left w:val="nil"/>
              <w:bottom w:val="nil"/>
              <w:right w:val="nil"/>
            </w:tcBorders>
            <w:tcMar>
              <w:top w:w="40" w:type="dxa"/>
              <w:left w:w="90" w:type="dxa"/>
              <w:bottom w:w="40" w:type="dxa"/>
              <w:right w:w="90" w:type="dxa"/>
            </w:tcMar>
          </w:tcPr>
          <w:p w14:paraId="35277367">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0.89</w:t>
            </w:r>
          </w:p>
        </w:tc>
      </w:tr>
      <w:tr w14:paraId="6CED2318">
        <w:tc>
          <w:tcPr>
            <w:tcW w:w="5160" w:type="dxa"/>
            <w:tcBorders>
              <w:top w:val="nil"/>
              <w:left w:val="nil"/>
              <w:bottom w:val="single" w:color="000000" w:sz="8" w:space="0"/>
              <w:right w:val="nil"/>
            </w:tcBorders>
            <w:tcMar>
              <w:top w:w="40" w:type="dxa"/>
              <w:left w:w="90" w:type="dxa"/>
              <w:bottom w:w="40" w:type="dxa"/>
              <w:right w:w="90" w:type="dxa"/>
            </w:tcMar>
          </w:tcPr>
          <w:p w14:paraId="060FFA89">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Coupling tertile — T1, lowest (worst)</w:t>
            </w:r>
          </w:p>
        </w:tc>
        <w:tc>
          <w:tcPr>
            <w:tcW w:w="2400" w:type="dxa"/>
            <w:tcBorders>
              <w:top w:val="nil"/>
              <w:left w:val="nil"/>
              <w:bottom w:val="single" w:color="000000" w:sz="8" w:space="0"/>
              <w:right w:val="nil"/>
            </w:tcBorders>
            <w:tcMar>
              <w:top w:w="40" w:type="dxa"/>
              <w:left w:w="90" w:type="dxa"/>
              <w:bottom w:w="40" w:type="dxa"/>
              <w:right w:w="90" w:type="dxa"/>
            </w:tcMar>
          </w:tcPr>
          <w:p w14:paraId="7CF26761">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1.59 (1.01–2.48)</w:t>
            </w:r>
          </w:p>
        </w:tc>
        <w:tc>
          <w:tcPr>
            <w:tcW w:w="1800" w:type="dxa"/>
            <w:tcBorders>
              <w:top w:val="nil"/>
              <w:left w:val="nil"/>
              <w:bottom w:val="single" w:color="000000" w:sz="8" w:space="0"/>
              <w:right w:val="nil"/>
            </w:tcBorders>
            <w:tcMar>
              <w:top w:w="40" w:type="dxa"/>
              <w:left w:w="90" w:type="dxa"/>
              <w:bottom w:w="40" w:type="dxa"/>
              <w:right w:w="90" w:type="dxa"/>
            </w:tcMar>
          </w:tcPr>
          <w:p w14:paraId="32A1F9E5">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0.043</w:t>
            </w:r>
          </w:p>
        </w:tc>
      </w:tr>
    </w:tbl>
    <w:p w14:paraId="63A28D8B">
      <w:pPr>
        <w:keepNext w:val="0"/>
        <w:keepLines w:val="0"/>
        <w:pageBreakBefore w:val="0"/>
        <w:kinsoku/>
        <w:wordWrap/>
        <w:overflowPunct/>
        <w:topLinePunct w:val="0"/>
        <w:autoSpaceDE/>
        <w:autoSpaceDN/>
        <w:bidi w:val="0"/>
        <w:adjustRightInd/>
        <w:snapToGrid/>
        <w:spacing w:after="160" w:line="480" w:lineRule="auto"/>
        <w:jc w:val="both"/>
        <w:textAlignment w:val="auto"/>
      </w:pPr>
      <w:r>
        <w:rPr>
          <w:i/>
          <w:iCs/>
          <w:sz w:val="20"/>
          <w:szCs w:val="20"/>
        </w:rPr>
        <w:t>Analyses restricted to the 322 patients with both TAPSE and TR velocity available. Each model is adjusted for the full covariate set (age, sex, Charlson comorbidity index, SOFA score, pulmonary source, LVEF &lt;50%, invasive ventilation, time from ICU admission to echocardiogram, and admission year). Tertiles were defined by the empirical distribution of the coupling ratio; the highest (best-coupling) tertile is the reference. RV–PA, right ventricular–pulmonary arterial; TAPSE, tricuspid annular plane systolic excursion; TR, tricuspid regurgitation; other abbreviations as in Table S1.</w:t>
      </w:r>
    </w:p>
    <w:p w14:paraId="521077F6">
      <w:pPr>
        <w:keepNext w:val="0"/>
        <w:keepLines w:val="0"/>
        <w:pageBreakBefore w:val="0"/>
        <w:kinsoku/>
        <w:wordWrap/>
        <w:overflowPunct/>
        <w:topLinePunct w:val="0"/>
        <w:autoSpaceDE/>
        <w:autoSpaceDN/>
        <w:bidi w:val="0"/>
        <w:adjustRightInd/>
        <w:snapToGrid/>
        <w:spacing w:before="120" w:after="60" w:line="480" w:lineRule="auto"/>
        <w:jc w:val="both"/>
        <w:textAlignment w:val="auto"/>
      </w:pPr>
      <w:r>
        <w:rPr>
          <w:b/>
          <w:bCs/>
          <w:sz w:val="20"/>
          <w:szCs w:val="20"/>
        </w:rPr>
        <w:t xml:space="preserve">Table S4. </w:t>
      </w:r>
      <w:r>
        <w:rPr>
          <w:sz w:val="20"/>
          <w:szCs w:val="20"/>
        </w:rPr>
        <w:t>Adjusted hazard ratio for 90-day mortality per 10-mmHg increment in estimated PASP, within predefined subgroups.</w:t>
      </w:r>
    </w:p>
    <w:tbl>
      <w:tblPr>
        <w:tblStyle w:val="6"/>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3360"/>
        <w:gridCol w:w="1800"/>
        <w:gridCol w:w="2400"/>
        <w:gridCol w:w="1800"/>
      </w:tblGrid>
      <w:tr w14:paraId="309E7E4B">
        <w:trPr>
          <w:tblHeader/>
        </w:trPr>
        <w:tc>
          <w:tcPr>
            <w:tcW w:w="3360" w:type="dxa"/>
            <w:tcBorders>
              <w:top w:val="single" w:color="000000" w:sz="8" w:space="0"/>
              <w:left w:val="nil"/>
              <w:bottom w:val="single" w:color="000000" w:sz="4" w:space="0"/>
              <w:right w:val="nil"/>
            </w:tcBorders>
            <w:tcMar>
              <w:top w:w="40" w:type="dxa"/>
              <w:left w:w="90" w:type="dxa"/>
              <w:bottom w:w="40" w:type="dxa"/>
              <w:right w:w="90" w:type="dxa"/>
            </w:tcMar>
          </w:tcPr>
          <w:p w14:paraId="607AF8DF">
            <w:pPr>
              <w:keepNext w:val="0"/>
              <w:keepLines w:val="0"/>
              <w:pageBreakBefore w:val="0"/>
              <w:kinsoku/>
              <w:wordWrap/>
              <w:overflowPunct/>
              <w:topLinePunct w:val="0"/>
              <w:autoSpaceDE/>
              <w:autoSpaceDN/>
              <w:bidi w:val="0"/>
              <w:adjustRightInd/>
              <w:snapToGrid/>
              <w:spacing w:after="0" w:line="480" w:lineRule="auto"/>
              <w:jc w:val="left"/>
              <w:textAlignment w:val="auto"/>
            </w:pPr>
            <w:r>
              <w:rPr>
                <w:b/>
                <w:bCs/>
                <w:sz w:val="20"/>
                <w:szCs w:val="20"/>
              </w:rPr>
              <w:t>Subgroup</w:t>
            </w:r>
          </w:p>
        </w:tc>
        <w:tc>
          <w:tcPr>
            <w:tcW w:w="1800" w:type="dxa"/>
            <w:tcBorders>
              <w:top w:val="single" w:color="000000" w:sz="8" w:space="0"/>
              <w:left w:val="nil"/>
              <w:bottom w:val="single" w:color="000000" w:sz="4" w:space="0"/>
              <w:right w:val="nil"/>
            </w:tcBorders>
            <w:tcMar>
              <w:top w:w="40" w:type="dxa"/>
              <w:left w:w="90" w:type="dxa"/>
              <w:bottom w:w="40" w:type="dxa"/>
              <w:right w:w="90" w:type="dxa"/>
            </w:tcMar>
          </w:tcPr>
          <w:p w14:paraId="466E09D5">
            <w:pPr>
              <w:keepNext w:val="0"/>
              <w:keepLines w:val="0"/>
              <w:pageBreakBefore w:val="0"/>
              <w:kinsoku/>
              <w:wordWrap/>
              <w:overflowPunct/>
              <w:topLinePunct w:val="0"/>
              <w:autoSpaceDE/>
              <w:autoSpaceDN/>
              <w:bidi w:val="0"/>
              <w:adjustRightInd/>
              <w:snapToGrid/>
              <w:spacing w:after="0" w:line="480" w:lineRule="auto"/>
              <w:jc w:val="center"/>
              <w:textAlignment w:val="auto"/>
            </w:pPr>
            <w:r>
              <w:rPr>
                <w:b/>
                <w:bCs/>
                <w:sz w:val="20"/>
                <w:szCs w:val="20"/>
              </w:rPr>
              <w:t>No. of patients</w:t>
            </w:r>
          </w:p>
        </w:tc>
        <w:tc>
          <w:tcPr>
            <w:tcW w:w="2400" w:type="dxa"/>
            <w:tcBorders>
              <w:top w:val="single" w:color="000000" w:sz="8" w:space="0"/>
              <w:left w:val="nil"/>
              <w:bottom w:val="single" w:color="000000" w:sz="4" w:space="0"/>
              <w:right w:val="nil"/>
            </w:tcBorders>
            <w:tcMar>
              <w:top w:w="40" w:type="dxa"/>
              <w:left w:w="90" w:type="dxa"/>
              <w:bottom w:w="40" w:type="dxa"/>
              <w:right w:w="90" w:type="dxa"/>
            </w:tcMar>
          </w:tcPr>
          <w:p w14:paraId="7F3F1811">
            <w:pPr>
              <w:keepNext w:val="0"/>
              <w:keepLines w:val="0"/>
              <w:pageBreakBefore w:val="0"/>
              <w:kinsoku/>
              <w:wordWrap/>
              <w:overflowPunct/>
              <w:topLinePunct w:val="0"/>
              <w:autoSpaceDE/>
              <w:autoSpaceDN/>
              <w:bidi w:val="0"/>
              <w:adjustRightInd/>
              <w:snapToGrid/>
              <w:spacing w:after="0" w:line="480" w:lineRule="auto"/>
              <w:jc w:val="center"/>
              <w:textAlignment w:val="auto"/>
            </w:pPr>
            <w:r>
              <w:rPr>
                <w:b/>
                <w:bCs/>
                <w:sz w:val="20"/>
                <w:szCs w:val="20"/>
              </w:rPr>
              <w:t>Adjusted HR (95% CI)</w:t>
            </w:r>
          </w:p>
        </w:tc>
        <w:tc>
          <w:tcPr>
            <w:tcW w:w="1800" w:type="dxa"/>
            <w:tcBorders>
              <w:top w:val="single" w:color="000000" w:sz="8" w:space="0"/>
              <w:left w:val="nil"/>
              <w:bottom w:val="single" w:color="000000" w:sz="4" w:space="0"/>
              <w:right w:val="nil"/>
            </w:tcBorders>
            <w:tcMar>
              <w:top w:w="40" w:type="dxa"/>
              <w:left w:w="90" w:type="dxa"/>
              <w:bottom w:w="40" w:type="dxa"/>
              <w:right w:w="90" w:type="dxa"/>
            </w:tcMar>
          </w:tcPr>
          <w:p w14:paraId="6522D14C">
            <w:pPr>
              <w:keepNext w:val="0"/>
              <w:keepLines w:val="0"/>
              <w:pageBreakBefore w:val="0"/>
              <w:kinsoku/>
              <w:wordWrap/>
              <w:overflowPunct/>
              <w:topLinePunct w:val="0"/>
              <w:autoSpaceDE/>
              <w:autoSpaceDN/>
              <w:bidi w:val="0"/>
              <w:adjustRightInd/>
              <w:snapToGrid/>
              <w:spacing w:after="0" w:line="480" w:lineRule="auto"/>
              <w:jc w:val="center"/>
              <w:textAlignment w:val="auto"/>
            </w:pPr>
            <w:r>
              <w:rPr>
                <w:b/>
                <w:bCs/>
                <w:sz w:val="20"/>
                <w:szCs w:val="20"/>
              </w:rPr>
              <w:t>P for interaction</w:t>
            </w:r>
          </w:p>
        </w:tc>
      </w:tr>
      <w:tr w14:paraId="098E9CD1">
        <w:tc>
          <w:tcPr>
            <w:tcW w:w="3360" w:type="dxa"/>
            <w:tcBorders>
              <w:top w:val="nil"/>
              <w:left w:val="nil"/>
              <w:bottom w:val="nil"/>
              <w:right w:val="nil"/>
            </w:tcBorders>
            <w:tcMar>
              <w:top w:w="40" w:type="dxa"/>
              <w:left w:w="90" w:type="dxa"/>
              <w:bottom w:w="40" w:type="dxa"/>
              <w:right w:w="90" w:type="dxa"/>
            </w:tcMar>
          </w:tcPr>
          <w:p w14:paraId="7CE9A719">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Overall</w:t>
            </w:r>
          </w:p>
        </w:tc>
        <w:tc>
          <w:tcPr>
            <w:tcW w:w="1800" w:type="dxa"/>
            <w:tcBorders>
              <w:top w:val="nil"/>
              <w:left w:val="nil"/>
              <w:bottom w:val="nil"/>
              <w:right w:val="nil"/>
            </w:tcBorders>
            <w:tcMar>
              <w:top w:w="40" w:type="dxa"/>
              <w:left w:w="90" w:type="dxa"/>
              <w:bottom w:w="40" w:type="dxa"/>
              <w:right w:w="90" w:type="dxa"/>
            </w:tcMar>
          </w:tcPr>
          <w:p w14:paraId="7DF241BA">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4,174</w:t>
            </w:r>
          </w:p>
        </w:tc>
        <w:tc>
          <w:tcPr>
            <w:tcW w:w="2400" w:type="dxa"/>
            <w:tcBorders>
              <w:top w:val="nil"/>
              <w:left w:val="nil"/>
              <w:bottom w:val="nil"/>
              <w:right w:val="nil"/>
            </w:tcBorders>
            <w:tcMar>
              <w:top w:w="40" w:type="dxa"/>
              <w:left w:w="90" w:type="dxa"/>
              <w:bottom w:w="40" w:type="dxa"/>
              <w:right w:w="90" w:type="dxa"/>
            </w:tcMar>
          </w:tcPr>
          <w:p w14:paraId="64641C53">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1.14 (1.10–1.19)</w:t>
            </w:r>
          </w:p>
        </w:tc>
        <w:tc>
          <w:tcPr>
            <w:tcW w:w="1800" w:type="dxa"/>
            <w:tcBorders>
              <w:top w:val="nil"/>
              <w:left w:val="nil"/>
              <w:bottom w:val="nil"/>
              <w:right w:val="nil"/>
            </w:tcBorders>
            <w:tcMar>
              <w:top w:w="40" w:type="dxa"/>
              <w:left w:w="90" w:type="dxa"/>
              <w:bottom w:w="40" w:type="dxa"/>
              <w:right w:w="90" w:type="dxa"/>
            </w:tcMar>
          </w:tcPr>
          <w:p w14:paraId="326BF09C">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w:t>
            </w:r>
          </w:p>
        </w:tc>
      </w:tr>
      <w:tr w14:paraId="6F2AB30A">
        <w:tc>
          <w:tcPr>
            <w:tcW w:w="3360" w:type="dxa"/>
            <w:tcBorders>
              <w:top w:val="nil"/>
              <w:left w:val="nil"/>
              <w:bottom w:val="nil"/>
              <w:right w:val="nil"/>
            </w:tcBorders>
            <w:tcMar>
              <w:top w:w="40" w:type="dxa"/>
              <w:left w:w="90" w:type="dxa"/>
              <w:bottom w:w="40" w:type="dxa"/>
              <w:right w:w="90" w:type="dxa"/>
            </w:tcMar>
          </w:tcPr>
          <w:p w14:paraId="6B975ECC">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Invasive ventilation — yes</w:t>
            </w:r>
          </w:p>
        </w:tc>
        <w:tc>
          <w:tcPr>
            <w:tcW w:w="1800" w:type="dxa"/>
            <w:tcBorders>
              <w:top w:val="nil"/>
              <w:left w:val="nil"/>
              <w:bottom w:val="nil"/>
              <w:right w:val="nil"/>
            </w:tcBorders>
            <w:tcMar>
              <w:top w:w="40" w:type="dxa"/>
              <w:left w:w="90" w:type="dxa"/>
              <w:bottom w:w="40" w:type="dxa"/>
              <w:right w:w="90" w:type="dxa"/>
            </w:tcMar>
          </w:tcPr>
          <w:p w14:paraId="2DB686BA">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1,541</w:t>
            </w:r>
          </w:p>
        </w:tc>
        <w:tc>
          <w:tcPr>
            <w:tcW w:w="2400" w:type="dxa"/>
            <w:tcBorders>
              <w:top w:val="nil"/>
              <w:left w:val="nil"/>
              <w:bottom w:val="nil"/>
              <w:right w:val="nil"/>
            </w:tcBorders>
            <w:tcMar>
              <w:top w:w="40" w:type="dxa"/>
              <w:left w:w="90" w:type="dxa"/>
              <w:bottom w:w="40" w:type="dxa"/>
              <w:right w:w="90" w:type="dxa"/>
            </w:tcMar>
          </w:tcPr>
          <w:p w14:paraId="0173AD38">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1.13 (1.06–1.21)</w:t>
            </w:r>
          </w:p>
        </w:tc>
        <w:tc>
          <w:tcPr>
            <w:tcW w:w="1800" w:type="dxa"/>
            <w:tcBorders>
              <w:top w:val="nil"/>
              <w:left w:val="nil"/>
              <w:bottom w:val="nil"/>
              <w:right w:val="nil"/>
            </w:tcBorders>
            <w:tcMar>
              <w:top w:w="40" w:type="dxa"/>
              <w:left w:w="90" w:type="dxa"/>
              <w:bottom w:w="40" w:type="dxa"/>
              <w:right w:w="90" w:type="dxa"/>
            </w:tcMar>
          </w:tcPr>
          <w:p w14:paraId="4C62FF57">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0.25</w:t>
            </w:r>
          </w:p>
        </w:tc>
      </w:tr>
      <w:tr w14:paraId="5B8B0E32">
        <w:tc>
          <w:tcPr>
            <w:tcW w:w="3360" w:type="dxa"/>
            <w:tcBorders>
              <w:top w:val="nil"/>
              <w:left w:val="nil"/>
              <w:bottom w:val="nil"/>
              <w:right w:val="nil"/>
            </w:tcBorders>
            <w:tcMar>
              <w:top w:w="40" w:type="dxa"/>
              <w:left w:w="90" w:type="dxa"/>
              <w:bottom w:w="40" w:type="dxa"/>
              <w:right w:w="90" w:type="dxa"/>
            </w:tcMar>
          </w:tcPr>
          <w:p w14:paraId="66363664">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Invasive ventilation — no</w:t>
            </w:r>
          </w:p>
        </w:tc>
        <w:tc>
          <w:tcPr>
            <w:tcW w:w="1800" w:type="dxa"/>
            <w:tcBorders>
              <w:top w:val="nil"/>
              <w:left w:val="nil"/>
              <w:bottom w:val="nil"/>
              <w:right w:val="nil"/>
            </w:tcBorders>
            <w:tcMar>
              <w:top w:w="40" w:type="dxa"/>
              <w:left w:w="90" w:type="dxa"/>
              <w:bottom w:w="40" w:type="dxa"/>
              <w:right w:w="90" w:type="dxa"/>
            </w:tcMar>
          </w:tcPr>
          <w:p w14:paraId="7349C2F1">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2,633</w:t>
            </w:r>
          </w:p>
        </w:tc>
        <w:tc>
          <w:tcPr>
            <w:tcW w:w="2400" w:type="dxa"/>
            <w:tcBorders>
              <w:top w:val="nil"/>
              <w:left w:val="nil"/>
              <w:bottom w:val="nil"/>
              <w:right w:val="nil"/>
            </w:tcBorders>
            <w:tcMar>
              <w:top w:w="40" w:type="dxa"/>
              <w:left w:w="90" w:type="dxa"/>
              <w:bottom w:w="40" w:type="dxa"/>
              <w:right w:w="90" w:type="dxa"/>
            </w:tcMar>
          </w:tcPr>
          <w:p w14:paraId="65E90596">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1.15 (1.10–1.21)</w:t>
            </w:r>
          </w:p>
        </w:tc>
        <w:tc>
          <w:tcPr>
            <w:tcW w:w="1800" w:type="dxa"/>
            <w:tcBorders>
              <w:top w:val="nil"/>
              <w:left w:val="nil"/>
              <w:bottom w:val="nil"/>
              <w:right w:val="nil"/>
            </w:tcBorders>
            <w:tcMar>
              <w:top w:w="40" w:type="dxa"/>
              <w:left w:w="90" w:type="dxa"/>
              <w:bottom w:w="40" w:type="dxa"/>
              <w:right w:w="90" w:type="dxa"/>
            </w:tcMar>
          </w:tcPr>
          <w:p w14:paraId="0ABA52DC">
            <w:pPr>
              <w:keepNext w:val="0"/>
              <w:keepLines w:val="0"/>
              <w:pageBreakBefore w:val="0"/>
              <w:kinsoku/>
              <w:wordWrap/>
              <w:overflowPunct/>
              <w:topLinePunct w:val="0"/>
              <w:autoSpaceDE/>
              <w:autoSpaceDN/>
              <w:bidi w:val="0"/>
              <w:adjustRightInd/>
              <w:snapToGrid/>
              <w:spacing w:after="0" w:line="480" w:lineRule="auto"/>
              <w:jc w:val="center"/>
              <w:textAlignment w:val="auto"/>
            </w:pPr>
          </w:p>
        </w:tc>
      </w:tr>
      <w:tr w14:paraId="144A494E">
        <w:tc>
          <w:tcPr>
            <w:tcW w:w="3360" w:type="dxa"/>
            <w:tcBorders>
              <w:top w:val="nil"/>
              <w:left w:val="nil"/>
              <w:bottom w:val="nil"/>
              <w:right w:val="nil"/>
            </w:tcBorders>
            <w:tcMar>
              <w:top w:w="40" w:type="dxa"/>
              <w:left w:w="90" w:type="dxa"/>
              <w:bottom w:w="40" w:type="dxa"/>
              <w:right w:w="90" w:type="dxa"/>
            </w:tcMar>
          </w:tcPr>
          <w:p w14:paraId="6B960E8A">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LVEF — reduced (&lt;50%)</w:t>
            </w:r>
          </w:p>
        </w:tc>
        <w:tc>
          <w:tcPr>
            <w:tcW w:w="1800" w:type="dxa"/>
            <w:tcBorders>
              <w:top w:val="nil"/>
              <w:left w:val="nil"/>
              <w:bottom w:val="nil"/>
              <w:right w:val="nil"/>
            </w:tcBorders>
            <w:tcMar>
              <w:top w:w="40" w:type="dxa"/>
              <w:left w:w="90" w:type="dxa"/>
              <w:bottom w:w="40" w:type="dxa"/>
              <w:right w:w="90" w:type="dxa"/>
            </w:tcMar>
          </w:tcPr>
          <w:p w14:paraId="604772B6">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1,344</w:t>
            </w:r>
          </w:p>
        </w:tc>
        <w:tc>
          <w:tcPr>
            <w:tcW w:w="2400" w:type="dxa"/>
            <w:tcBorders>
              <w:top w:val="nil"/>
              <w:left w:val="nil"/>
              <w:bottom w:val="nil"/>
              <w:right w:val="nil"/>
            </w:tcBorders>
            <w:tcMar>
              <w:top w:w="40" w:type="dxa"/>
              <w:left w:w="90" w:type="dxa"/>
              <w:bottom w:w="40" w:type="dxa"/>
              <w:right w:w="90" w:type="dxa"/>
            </w:tcMar>
          </w:tcPr>
          <w:p w14:paraId="7B91ECA2">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1.12 (1.05–1.20)</w:t>
            </w:r>
          </w:p>
        </w:tc>
        <w:tc>
          <w:tcPr>
            <w:tcW w:w="1800" w:type="dxa"/>
            <w:tcBorders>
              <w:top w:val="nil"/>
              <w:left w:val="nil"/>
              <w:bottom w:val="nil"/>
              <w:right w:val="nil"/>
            </w:tcBorders>
            <w:tcMar>
              <w:top w:w="40" w:type="dxa"/>
              <w:left w:w="90" w:type="dxa"/>
              <w:bottom w:w="40" w:type="dxa"/>
              <w:right w:w="90" w:type="dxa"/>
            </w:tcMar>
          </w:tcPr>
          <w:p w14:paraId="0A40A3CE">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0.63</w:t>
            </w:r>
          </w:p>
        </w:tc>
      </w:tr>
      <w:tr w14:paraId="3B9499B4">
        <w:tc>
          <w:tcPr>
            <w:tcW w:w="3360" w:type="dxa"/>
            <w:tcBorders>
              <w:top w:val="nil"/>
              <w:left w:val="nil"/>
              <w:bottom w:val="nil"/>
              <w:right w:val="nil"/>
            </w:tcBorders>
            <w:tcMar>
              <w:top w:w="40" w:type="dxa"/>
              <w:left w:w="90" w:type="dxa"/>
              <w:bottom w:w="40" w:type="dxa"/>
              <w:right w:w="90" w:type="dxa"/>
            </w:tcMar>
          </w:tcPr>
          <w:p w14:paraId="121186C3">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LVEF — preserved (≥50%)</w:t>
            </w:r>
          </w:p>
        </w:tc>
        <w:tc>
          <w:tcPr>
            <w:tcW w:w="1800" w:type="dxa"/>
            <w:tcBorders>
              <w:top w:val="nil"/>
              <w:left w:val="nil"/>
              <w:bottom w:val="nil"/>
              <w:right w:val="nil"/>
            </w:tcBorders>
            <w:tcMar>
              <w:top w:w="40" w:type="dxa"/>
              <w:left w:w="90" w:type="dxa"/>
              <w:bottom w:w="40" w:type="dxa"/>
              <w:right w:w="90" w:type="dxa"/>
            </w:tcMar>
          </w:tcPr>
          <w:p w14:paraId="13BC1013">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2,830</w:t>
            </w:r>
          </w:p>
        </w:tc>
        <w:tc>
          <w:tcPr>
            <w:tcW w:w="2400" w:type="dxa"/>
            <w:tcBorders>
              <w:top w:val="nil"/>
              <w:left w:val="nil"/>
              <w:bottom w:val="nil"/>
              <w:right w:val="nil"/>
            </w:tcBorders>
            <w:tcMar>
              <w:top w:w="40" w:type="dxa"/>
              <w:left w:w="90" w:type="dxa"/>
              <w:bottom w:w="40" w:type="dxa"/>
              <w:right w:w="90" w:type="dxa"/>
            </w:tcMar>
          </w:tcPr>
          <w:p w14:paraId="0C7542BB">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1.16 (1.10–1.22)</w:t>
            </w:r>
          </w:p>
        </w:tc>
        <w:tc>
          <w:tcPr>
            <w:tcW w:w="1800" w:type="dxa"/>
            <w:tcBorders>
              <w:top w:val="nil"/>
              <w:left w:val="nil"/>
              <w:bottom w:val="nil"/>
              <w:right w:val="nil"/>
            </w:tcBorders>
            <w:tcMar>
              <w:top w:w="40" w:type="dxa"/>
              <w:left w:w="90" w:type="dxa"/>
              <w:bottom w:w="40" w:type="dxa"/>
              <w:right w:w="90" w:type="dxa"/>
            </w:tcMar>
          </w:tcPr>
          <w:p w14:paraId="7E744713">
            <w:pPr>
              <w:keepNext w:val="0"/>
              <w:keepLines w:val="0"/>
              <w:pageBreakBefore w:val="0"/>
              <w:kinsoku/>
              <w:wordWrap/>
              <w:overflowPunct/>
              <w:topLinePunct w:val="0"/>
              <w:autoSpaceDE/>
              <w:autoSpaceDN/>
              <w:bidi w:val="0"/>
              <w:adjustRightInd/>
              <w:snapToGrid/>
              <w:spacing w:after="0" w:line="480" w:lineRule="auto"/>
              <w:jc w:val="center"/>
              <w:textAlignment w:val="auto"/>
            </w:pPr>
          </w:p>
        </w:tc>
      </w:tr>
      <w:tr w14:paraId="6356BC9F">
        <w:tc>
          <w:tcPr>
            <w:tcW w:w="3360" w:type="dxa"/>
            <w:tcBorders>
              <w:top w:val="nil"/>
              <w:left w:val="nil"/>
              <w:bottom w:val="nil"/>
              <w:right w:val="nil"/>
            </w:tcBorders>
            <w:tcMar>
              <w:top w:w="40" w:type="dxa"/>
              <w:left w:w="90" w:type="dxa"/>
              <w:bottom w:w="40" w:type="dxa"/>
              <w:right w:w="90" w:type="dxa"/>
            </w:tcMar>
          </w:tcPr>
          <w:p w14:paraId="105A9323">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Sepsis source — pulmonary</w:t>
            </w:r>
          </w:p>
        </w:tc>
        <w:tc>
          <w:tcPr>
            <w:tcW w:w="1800" w:type="dxa"/>
            <w:tcBorders>
              <w:top w:val="nil"/>
              <w:left w:val="nil"/>
              <w:bottom w:val="nil"/>
              <w:right w:val="nil"/>
            </w:tcBorders>
            <w:tcMar>
              <w:top w:w="40" w:type="dxa"/>
              <w:left w:w="90" w:type="dxa"/>
              <w:bottom w:w="40" w:type="dxa"/>
              <w:right w:w="90" w:type="dxa"/>
            </w:tcMar>
          </w:tcPr>
          <w:p w14:paraId="2C50322A">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1,557</w:t>
            </w:r>
          </w:p>
        </w:tc>
        <w:tc>
          <w:tcPr>
            <w:tcW w:w="2400" w:type="dxa"/>
            <w:tcBorders>
              <w:top w:val="nil"/>
              <w:left w:val="nil"/>
              <w:bottom w:val="nil"/>
              <w:right w:val="nil"/>
            </w:tcBorders>
            <w:tcMar>
              <w:top w:w="40" w:type="dxa"/>
              <w:left w:w="90" w:type="dxa"/>
              <w:bottom w:w="40" w:type="dxa"/>
              <w:right w:w="90" w:type="dxa"/>
            </w:tcMar>
          </w:tcPr>
          <w:p w14:paraId="20374394">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1.13 (1.06–1.20)</w:t>
            </w:r>
          </w:p>
        </w:tc>
        <w:tc>
          <w:tcPr>
            <w:tcW w:w="1800" w:type="dxa"/>
            <w:tcBorders>
              <w:top w:val="nil"/>
              <w:left w:val="nil"/>
              <w:bottom w:val="nil"/>
              <w:right w:val="nil"/>
            </w:tcBorders>
            <w:tcMar>
              <w:top w:w="40" w:type="dxa"/>
              <w:left w:w="90" w:type="dxa"/>
              <w:bottom w:w="40" w:type="dxa"/>
              <w:right w:w="90" w:type="dxa"/>
            </w:tcMar>
          </w:tcPr>
          <w:p w14:paraId="58C1913C">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w:t>
            </w:r>
          </w:p>
        </w:tc>
      </w:tr>
      <w:tr w14:paraId="6C27E581">
        <w:tc>
          <w:tcPr>
            <w:tcW w:w="3360" w:type="dxa"/>
            <w:tcBorders>
              <w:top w:val="nil"/>
              <w:left w:val="nil"/>
              <w:bottom w:val="single" w:color="000000" w:sz="8" w:space="0"/>
              <w:right w:val="nil"/>
            </w:tcBorders>
            <w:tcMar>
              <w:top w:w="40" w:type="dxa"/>
              <w:left w:w="90" w:type="dxa"/>
              <w:bottom w:w="40" w:type="dxa"/>
              <w:right w:w="90" w:type="dxa"/>
            </w:tcMar>
          </w:tcPr>
          <w:p w14:paraId="62E34C9F">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Sepsis source — non-pulmonary</w:t>
            </w:r>
          </w:p>
        </w:tc>
        <w:tc>
          <w:tcPr>
            <w:tcW w:w="1800" w:type="dxa"/>
            <w:tcBorders>
              <w:top w:val="nil"/>
              <w:left w:val="nil"/>
              <w:bottom w:val="single" w:color="000000" w:sz="8" w:space="0"/>
              <w:right w:val="nil"/>
            </w:tcBorders>
            <w:tcMar>
              <w:top w:w="40" w:type="dxa"/>
              <w:left w:w="90" w:type="dxa"/>
              <w:bottom w:w="40" w:type="dxa"/>
              <w:right w:w="90" w:type="dxa"/>
            </w:tcMar>
          </w:tcPr>
          <w:p w14:paraId="732143B7">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2,617</w:t>
            </w:r>
          </w:p>
        </w:tc>
        <w:tc>
          <w:tcPr>
            <w:tcW w:w="2400" w:type="dxa"/>
            <w:tcBorders>
              <w:top w:val="nil"/>
              <w:left w:val="nil"/>
              <w:bottom w:val="single" w:color="000000" w:sz="8" w:space="0"/>
              <w:right w:val="nil"/>
            </w:tcBorders>
            <w:tcMar>
              <w:top w:w="40" w:type="dxa"/>
              <w:left w:w="90" w:type="dxa"/>
              <w:bottom w:w="40" w:type="dxa"/>
              <w:right w:w="90" w:type="dxa"/>
            </w:tcMar>
          </w:tcPr>
          <w:p w14:paraId="76D8CA88">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1.15 (1.09–1.21)</w:t>
            </w:r>
          </w:p>
        </w:tc>
        <w:tc>
          <w:tcPr>
            <w:tcW w:w="1800" w:type="dxa"/>
            <w:tcBorders>
              <w:top w:val="nil"/>
              <w:left w:val="nil"/>
              <w:bottom w:val="single" w:color="000000" w:sz="8" w:space="0"/>
              <w:right w:val="nil"/>
            </w:tcBorders>
            <w:tcMar>
              <w:top w:w="40" w:type="dxa"/>
              <w:left w:w="90" w:type="dxa"/>
              <w:bottom w:w="40" w:type="dxa"/>
              <w:right w:w="90" w:type="dxa"/>
            </w:tcMar>
          </w:tcPr>
          <w:p w14:paraId="75C0BE5A">
            <w:pPr>
              <w:keepNext w:val="0"/>
              <w:keepLines w:val="0"/>
              <w:pageBreakBefore w:val="0"/>
              <w:kinsoku/>
              <w:wordWrap/>
              <w:overflowPunct/>
              <w:topLinePunct w:val="0"/>
              <w:autoSpaceDE/>
              <w:autoSpaceDN/>
              <w:bidi w:val="0"/>
              <w:adjustRightInd/>
              <w:snapToGrid/>
              <w:spacing w:after="0" w:line="480" w:lineRule="auto"/>
              <w:jc w:val="center"/>
              <w:textAlignment w:val="auto"/>
            </w:pPr>
          </w:p>
        </w:tc>
      </w:tr>
    </w:tbl>
    <w:p w14:paraId="3FB2BA94">
      <w:pPr>
        <w:keepNext w:val="0"/>
        <w:keepLines w:val="0"/>
        <w:pageBreakBefore w:val="0"/>
        <w:kinsoku/>
        <w:wordWrap/>
        <w:overflowPunct/>
        <w:topLinePunct w:val="0"/>
        <w:autoSpaceDE/>
        <w:autoSpaceDN/>
        <w:bidi w:val="0"/>
        <w:adjustRightInd/>
        <w:snapToGrid/>
        <w:spacing w:after="160" w:line="480" w:lineRule="auto"/>
        <w:jc w:val="both"/>
        <w:textAlignment w:val="auto"/>
      </w:pPr>
      <w:r>
        <w:rPr>
          <w:i/>
          <w:iCs/>
          <w:sz w:val="20"/>
          <w:szCs w:val="20"/>
        </w:rPr>
        <w:t>Each estimate derives from a separate Cox model adjusted for the full covariate set. P values for interaction are from likelihood-ratio tests of the multiplicative exposure-by-subgroup term and were predefined only for invasive ventilation and LVEF stratum; the sepsis-source split is descriptive. Abbreviations as in Table S1.</w:t>
      </w:r>
    </w:p>
    <w:p w14:paraId="5E71A9AE">
      <w:pPr>
        <w:keepNext w:val="0"/>
        <w:keepLines w:val="0"/>
        <w:pageBreakBefore w:val="0"/>
        <w:kinsoku/>
        <w:wordWrap/>
        <w:overflowPunct/>
        <w:topLinePunct w:val="0"/>
        <w:autoSpaceDE/>
        <w:autoSpaceDN/>
        <w:bidi w:val="0"/>
        <w:adjustRightInd/>
        <w:snapToGrid/>
        <w:spacing w:before="120" w:after="60" w:line="480" w:lineRule="auto"/>
        <w:jc w:val="both"/>
        <w:textAlignment w:val="auto"/>
      </w:pPr>
      <w:r>
        <w:rPr>
          <w:b/>
          <w:bCs/>
          <w:sz w:val="20"/>
          <w:szCs w:val="20"/>
        </w:rPr>
        <w:t xml:space="preserve">Table S5. </w:t>
      </w:r>
      <w:r>
        <w:rPr>
          <w:sz w:val="20"/>
          <w:szCs w:val="20"/>
        </w:rPr>
        <w:t>Sensitivity analyses for the association between estimated PASP and 90-day mortality.</w:t>
      </w:r>
    </w:p>
    <w:tbl>
      <w:tblPr>
        <w:tblStyle w:val="6"/>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560"/>
        <w:gridCol w:w="1200"/>
        <w:gridCol w:w="3600"/>
      </w:tblGrid>
      <w:tr w14:paraId="1FA3B052">
        <w:trPr>
          <w:tblHeader/>
        </w:trPr>
        <w:tc>
          <w:tcPr>
            <w:tcW w:w="4560" w:type="dxa"/>
            <w:tcBorders>
              <w:top w:val="single" w:color="000000" w:sz="8" w:space="0"/>
              <w:left w:val="nil"/>
              <w:bottom w:val="single" w:color="000000" w:sz="4" w:space="0"/>
              <w:right w:val="nil"/>
            </w:tcBorders>
            <w:tcMar>
              <w:top w:w="40" w:type="dxa"/>
              <w:left w:w="90" w:type="dxa"/>
              <w:bottom w:w="40" w:type="dxa"/>
              <w:right w:w="90" w:type="dxa"/>
            </w:tcMar>
          </w:tcPr>
          <w:p w14:paraId="644E9D79">
            <w:pPr>
              <w:keepNext w:val="0"/>
              <w:keepLines w:val="0"/>
              <w:pageBreakBefore w:val="0"/>
              <w:kinsoku/>
              <w:wordWrap/>
              <w:overflowPunct/>
              <w:topLinePunct w:val="0"/>
              <w:autoSpaceDE/>
              <w:autoSpaceDN/>
              <w:bidi w:val="0"/>
              <w:adjustRightInd/>
              <w:snapToGrid/>
              <w:spacing w:after="0" w:line="480" w:lineRule="auto"/>
              <w:jc w:val="left"/>
              <w:textAlignment w:val="auto"/>
            </w:pPr>
            <w:r>
              <w:rPr>
                <w:b/>
                <w:bCs/>
                <w:sz w:val="20"/>
                <w:szCs w:val="20"/>
              </w:rPr>
              <w:t>Analysis</w:t>
            </w:r>
          </w:p>
        </w:tc>
        <w:tc>
          <w:tcPr>
            <w:tcW w:w="1200" w:type="dxa"/>
            <w:tcBorders>
              <w:top w:val="single" w:color="000000" w:sz="8" w:space="0"/>
              <w:left w:val="nil"/>
              <w:bottom w:val="single" w:color="000000" w:sz="4" w:space="0"/>
              <w:right w:val="nil"/>
            </w:tcBorders>
            <w:tcMar>
              <w:top w:w="40" w:type="dxa"/>
              <w:left w:w="90" w:type="dxa"/>
              <w:bottom w:w="40" w:type="dxa"/>
              <w:right w:w="90" w:type="dxa"/>
            </w:tcMar>
          </w:tcPr>
          <w:p w14:paraId="2452F77F">
            <w:pPr>
              <w:keepNext w:val="0"/>
              <w:keepLines w:val="0"/>
              <w:pageBreakBefore w:val="0"/>
              <w:kinsoku/>
              <w:wordWrap/>
              <w:overflowPunct/>
              <w:topLinePunct w:val="0"/>
              <w:autoSpaceDE/>
              <w:autoSpaceDN/>
              <w:bidi w:val="0"/>
              <w:adjustRightInd/>
              <w:snapToGrid/>
              <w:spacing w:after="0" w:line="480" w:lineRule="auto"/>
              <w:jc w:val="center"/>
              <w:textAlignment w:val="auto"/>
            </w:pPr>
            <w:r>
              <w:rPr>
                <w:b/>
                <w:bCs/>
                <w:sz w:val="20"/>
                <w:szCs w:val="20"/>
              </w:rPr>
              <w:t>n</w:t>
            </w:r>
          </w:p>
        </w:tc>
        <w:tc>
          <w:tcPr>
            <w:tcW w:w="3600" w:type="dxa"/>
            <w:tcBorders>
              <w:top w:val="single" w:color="000000" w:sz="8" w:space="0"/>
              <w:left w:val="nil"/>
              <w:bottom w:val="single" w:color="000000" w:sz="4" w:space="0"/>
              <w:right w:val="nil"/>
            </w:tcBorders>
            <w:tcMar>
              <w:top w:w="40" w:type="dxa"/>
              <w:left w:w="90" w:type="dxa"/>
              <w:bottom w:w="40" w:type="dxa"/>
              <w:right w:w="90" w:type="dxa"/>
            </w:tcMar>
          </w:tcPr>
          <w:p w14:paraId="7CBA966E">
            <w:pPr>
              <w:keepNext w:val="0"/>
              <w:keepLines w:val="0"/>
              <w:pageBreakBefore w:val="0"/>
              <w:kinsoku/>
              <w:wordWrap/>
              <w:overflowPunct/>
              <w:topLinePunct w:val="0"/>
              <w:autoSpaceDE/>
              <w:autoSpaceDN/>
              <w:bidi w:val="0"/>
              <w:adjustRightInd/>
              <w:snapToGrid/>
              <w:spacing w:after="0" w:line="480" w:lineRule="auto"/>
              <w:jc w:val="center"/>
              <w:textAlignment w:val="auto"/>
            </w:pPr>
            <w:r>
              <w:rPr>
                <w:b/>
                <w:bCs/>
                <w:sz w:val="20"/>
                <w:szCs w:val="20"/>
              </w:rPr>
              <w:t>Adjusted HR (95% CI)</w:t>
            </w:r>
          </w:p>
        </w:tc>
      </w:tr>
      <w:tr w14:paraId="7E2CFDD1">
        <w:tc>
          <w:tcPr>
            <w:tcW w:w="4560" w:type="dxa"/>
            <w:tcBorders>
              <w:top w:val="nil"/>
              <w:left w:val="nil"/>
              <w:bottom w:val="nil"/>
              <w:right w:val="nil"/>
            </w:tcBorders>
            <w:tcMar>
              <w:top w:w="40" w:type="dxa"/>
              <w:left w:w="90" w:type="dxa"/>
              <w:bottom w:w="40" w:type="dxa"/>
              <w:right w:w="90" w:type="dxa"/>
            </w:tcMar>
          </w:tcPr>
          <w:p w14:paraId="2A2D0379">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Primary model (reference)</w:t>
            </w:r>
          </w:p>
        </w:tc>
        <w:tc>
          <w:tcPr>
            <w:tcW w:w="1200" w:type="dxa"/>
            <w:tcBorders>
              <w:top w:val="nil"/>
              <w:left w:val="nil"/>
              <w:bottom w:val="nil"/>
              <w:right w:val="nil"/>
            </w:tcBorders>
            <w:tcMar>
              <w:top w:w="40" w:type="dxa"/>
              <w:left w:w="90" w:type="dxa"/>
              <w:bottom w:w="40" w:type="dxa"/>
              <w:right w:w="90" w:type="dxa"/>
            </w:tcMar>
          </w:tcPr>
          <w:p w14:paraId="2D4ED804">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4,174</w:t>
            </w:r>
          </w:p>
        </w:tc>
        <w:tc>
          <w:tcPr>
            <w:tcW w:w="3600" w:type="dxa"/>
            <w:tcBorders>
              <w:top w:val="nil"/>
              <w:left w:val="nil"/>
              <w:bottom w:val="nil"/>
              <w:right w:val="nil"/>
            </w:tcBorders>
            <w:tcMar>
              <w:top w:w="40" w:type="dxa"/>
              <w:left w:w="90" w:type="dxa"/>
              <w:bottom w:w="40" w:type="dxa"/>
              <w:right w:w="90" w:type="dxa"/>
            </w:tcMar>
          </w:tcPr>
          <w:p w14:paraId="3374227D">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1.14 (1.10–1.19)</w:t>
            </w:r>
          </w:p>
        </w:tc>
      </w:tr>
      <w:tr w14:paraId="265E9866">
        <w:tc>
          <w:tcPr>
            <w:tcW w:w="4560" w:type="dxa"/>
            <w:tcBorders>
              <w:top w:val="nil"/>
              <w:left w:val="nil"/>
              <w:bottom w:val="nil"/>
              <w:right w:val="nil"/>
            </w:tcBorders>
            <w:tcMar>
              <w:top w:w="40" w:type="dxa"/>
              <w:left w:w="90" w:type="dxa"/>
              <w:bottom w:w="40" w:type="dxa"/>
              <w:right w:w="90" w:type="dxa"/>
            </w:tcMar>
          </w:tcPr>
          <w:p w14:paraId="60C2F8CE">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Day-3 landmark (patients alive beyond day 3)</w:t>
            </w:r>
          </w:p>
        </w:tc>
        <w:tc>
          <w:tcPr>
            <w:tcW w:w="1200" w:type="dxa"/>
            <w:tcBorders>
              <w:top w:val="nil"/>
              <w:left w:val="nil"/>
              <w:bottom w:val="nil"/>
              <w:right w:val="nil"/>
            </w:tcBorders>
            <w:tcMar>
              <w:top w:w="40" w:type="dxa"/>
              <w:left w:w="90" w:type="dxa"/>
              <w:bottom w:w="40" w:type="dxa"/>
              <w:right w:w="90" w:type="dxa"/>
            </w:tcMar>
          </w:tcPr>
          <w:p w14:paraId="464232B3">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3,743</w:t>
            </w:r>
          </w:p>
        </w:tc>
        <w:tc>
          <w:tcPr>
            <w:tcW w:w="3600" w:type="dxa"/>
            <w:tcBorders>
              <w:top w:val="nil"/>
              <w:left w:val="nil"/>
              <w:bottom w:val="nil"/>
              <w:right w:val="nil"/>
            </w:tcBorders>
            <w:tcMar>
              <w:top w:w="40" w:type="dxa"/>
              <w:left w:w="90" w:type="dxa"/>
              <w:bottom w:w="40" w:type="dxa"/>
              <w:right w:w="90" w:type="dxa"/>
            </w:tcMar>
          </w:tcPr>
          <w:p w14:paraId="7693F941">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1.15 (1.09–1.20)</w:t>
            </w:r>
          </w:p>
        </w:tc>
      </w:tr>
      <w:tr w14:paraId="7CCE02BE">
        <w:tc>
          <w:tcPr>
            <w:tcW w:w="4560" w:type="dxa"/>
            <w:tcBorders>
              <w:top w:val="nil"/>
              <w:left w:val="nil"/>
              <w:bottom w:val="nil"/>
              <w:right w:val="nil"/>
            </w:tcBorders>
            <w:tcMar>
              <w:top w:w="40" w:type="dxa"/>
              <w:left w:w="90" w:type="dxa"/>
              <w:bottom w:w="40" w:type="dxa"/>
              <w:right w:w="90" w:type="dxa"/>
            </w:tcMar>
          </w:tcPr>
          <w:p w14:paraId="33E3FFC0">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Peak TR jet velocity, per 1 m/s (alternative exposure)</w:t>
            </w:r>
          </w:p>
        </w:tc>
        <w:tc>
          <w:tcPr>
            <w:tcW w:w="1200" w:type="dxa"/>
            <w:tcBorders>
              <w:top w:val="nil"/>
              <w:left w:val="nil"/>
              <w:bottom w:val="nil"/>
              <w:right w:val="nil"/>
            </w:tcBorders>
            <w:tcMar>
              <w:top w:w="40" w:type="dxa"/>
              <w:left w:w="90" w:type="dxa"/>
              <w:bottom w:w="40" w:type="dxa"/>
              <w:right w:w="90" w:type="dxa"/>
            </w:tcMar>
          </w:tcPr>
          <w:p w14:paraId="63CA2382">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4,174</w:t>
            </w:r>
          </w:p>
        </w:tc>
        <w:tc>
          <w:tcPr>
            <w:tcW w:w="3600" w:type="dxa"/>
            <w:tcBorders>
              <w:top w:val="nil"/>
              <w:left w:val="nil"/>
              <w:bottom w:val="nil"/>
              <w:right w:val="nil"/>
            </w:tcBorders>
            <w:tcMar>
              <w:top w:w="40" w:type="dxa"/>
              <w:left w:w="90" w:type="dxa"/>
              <w:bottom w:w="40" w:type="dxa"/>
              <w:right w:w="90" w:type="dxa"/>
            </w:tcMar>
          </w:tcPr>
          <w:p w14:paraId="7526486A">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1.35 (1.23–1.49)</w:t>
            </w:r>
          </w:p>
        </w:tc>
      </w:tr>
      <w:tr w14:paraId="68AE71A7">
        <w:tc>
          <w:tcPr>
            <w:tcW w:w="4560" w:type="dxa"/>
            <w:tcBorders>
              <w:top w:val="nil"/>
              <w:left w:val="nil"/>
              <w:bottom w:val="nil"/>
              <w:right w:val="nil"/>
            </w:tcBorders>
            <w:tcMar>
              <w:top w:w="40" w:type="dxa"/>
              <w:left w:w="90" w:type="dxa"/>
              <w:bottom w:w="40" w:type="dxa"/>
              <w:right w:w="90" w:type="dxa"/>
            </w:tcMar>
          </w:tcPr>
          <w:p w14:paraId="67957ECD">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Invasively ventilated, additionally adjusted for PEEP</w:t>
            </w:r>
          </w:p>
        </w:tc>
        <w:tc>
          <w:tcPr>
            <w:tcW w:w="1200" w:type="dxa"/>
            <w:tcBorders>
              <w:top w:val="nil"/>
              <w:left w:val="nil"/>
              <w:bottom w:val="nil"/>
              <w:right w:val="nil"/>
            </w:tcBorders>
            <w:tcMar>
              <w:top w:w="40" w:type="dxa"/>
              <w:left w:w="90" w:type="dxa"/>
              <w:bottom w:w="40" w:type="dxa"/>
              <w:right w:w="90" w:type="dxa"/>
            </w:tcMar>
          </w:tcPr>
          <w:p w14:paraId="3C13C90D">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1,541</w:t>
            </w:r>
          </w:p>
        </w:tc>
        <w:tc>
          <w:tcPr>
            <w:tcW w:w="3600" w:type="dxa"/>
            <w:tcBorders>
              <w:top w:val="nil"/>
              <w:left w:val="nil"/>
              <w:bottom w:val="nil"/>
              <w:right w:val="nil"/>
            </w:tcBorders>
            <w:tcMar>
              <w:top w:w="40" w:type="dxa"/>
              <w:left w:w="90" w:type="dxa"/>
              <w:bottom w:w="40" w:type="dxa"/>
              <w:right w:w="90" w:type="dxa"/>
            </w:tcMar>
          </w:tcPr>
          <w:p w14:paraId="452A58BE">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1.11 (1.03–1.19)</w:t>
            </w:r>
          </w:p>
        </w:tc>
      </w:tr>
      <w:tr w14:paraId="4AA9BE5A">
        <w:tc>
          <w:tcPr>
            <w:tcW w:w="4560" w:type="dxa"/>
            <w:tcBorders>
              <w:top w:val="nil"/>
              <w:left w:val="nil"/>
              <w:bottom w:val="nil"/>
              <w:right w:val="nil"/>
            </w:tcBorders>
            <w:tcMar>
              <w:top w:w="40" w:type="dxa"/>
              <w:left w:w="90" w:type="dxa"/>
              <w:bottom w:w="40" w:type="dxa"/>
              <w:right w:w="90" w:type="dxa"/>
            </w:tcMar>
          </w:tcPr>
          <w:p w14:paraId="4B1F1299">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Ventilated, adjusted for PEEP and driving pressure</w:t>
            </w:r>
          </w:p>
        </w:tc>
        <w:tc>
          <w:tcPr>
            <w:tcW w:w="1200" w:type="dxa"/>
            <w:tcBorders>
              <w:top w:val="nil"/>
              <w:left w:val="nil"/>
              <w:bottom w:val="nil"/>
              <w:right w:val="nil"/>
            </w:tcBorders>
            <w:tcMar>
              <w:top w:w="40" w:type="dxa"/>
              <w:left w:w="90" w:type="dxa"/>
              <w:bottom w:w="40" w:type="dxa"/>
              <w:right w:w="90" w:type="dxa"/>
            </w:tcMar>
          </w:tcPr>
          <w:p w14:paraId="67F5A240">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666</w:t>
            </w:r>
          </w:p>
        </w:tc>
        <w:tc>
          <w:tcPr>
            <w:tcW w:w="3600" w:type="dxa"/>
            <w:tcBorders>
              <w:top w:val="nil"/>
              <w:left w:val="nil"/>
              <w:bottom w:val="nil"/>
              <w:right w:val="nil"/>
            </w:tcBorders>
            <w:tcMar>
              <w:top w:w="40" w:type="dxa"/>
              <w:left w:w="90" w:type="dxa"/>
              <w:bottom w:w="40" w:type="dxa"/>
              <w:right w:w="90" w:type="dxa"/>
            </w:tcMar>
          </w:tcPr>
          <w:p w14:paraId="23CE5A0A">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1.02 (0.93–1.13)</w:t>
            </w:r>
          </w:p>
        </w:tc>
      </w:tr>
      <w:tr w14:paraId="059300C4">
        <w:tc>
          <w:tcPr>
            <w:tcW w:w="4560" w:type="dxa"/>
            <w:tcBorders>
              <w:top w:val="nil"/>
              <w:left w:val="nil"/>
              <w:bottom w:val="nil"/>
              <w:right w:val="nil"/>
            </w:tcBorders>
            <w:tcMar>
              <w:top w:w="40" w:type="dxa"/>
              <w:left w:w="90" w:type="dxa"/>
              <w:bottom w:w="40" w:type="dxa"/>
              <w:right w:w="90" w:type="dxa"/>
            </w:tcMar>
          </w:tcPr>
          <w:p w14:paraId="34AB390A">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Excluding chronic pulmonary vascular disease or acute PE</w:t>
            </w:r>
          </w:p>
        </w:tc>
        <w:tc>
          <w:tcPr>
            <w:tcW w:w="1200" w:type="dxa"/>
            <w:tcBorders>
              <w:top w:val="nil"/>
              <w:left w:val="nil"/>
              <w:bottom w:val="nil"/>
              <w:right w:val="nil"/>
            </w:tcBorders>
            <w:tcMar>
              <w:top w:w="40" w:type="dxa"/>
              <w:left w:w="90" w:type="dxa"/>
              <w:bottom w:w="40" w:type="dxa"/>
              <w:right w:w="90" w:type="dxa"/>
            </w:tcMar>
          </w:tcPr>
          <w:p w14:paraId="0DF3892B">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3,773</w:t>
            </w:r>
          </w:p>
        </w:tc>
        <w:tc>
          <w:tcPr>
            <w:tcW w:w="3600" w:type="dxa"/>
            <w:tcBorders>
              <w:top w:val="nil"/>
              <w:left w:val="nil"/>
              <w:bottom w:val="nil"/>
              <w:right w:val="nil"/>
            </w:tcBorders>
            <w:tcMar>
              <w:top w:w="40" w:type="dxa"/>
              <w:left w:w="90" w:type="dxa"/>
              <w:bottom w:w="40" w:type="dxa"/>
              <w:right w:w="90" w:type="dxa"/>
            </w:tcMar>
          </w:tcPr>
          <w:p w14:paraId="4B32520E">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1.13 (1.09–1.18)</w:t>
            </w:r>
          </w:p>
        </w:tc>
      </w:tr>
      <w:tr w14:paraId="4CB51BE5">
        <w:tc>
          <w:tcPr>
            <w:tcW w:w="4560" w:type="dxa"/>
            <w:tcBorders>
              <w:top w:val="nil"/>
              <w:left w:val="nil"/>
              <w:bottom w:val="nil"/>
              <w:right w:val="nil"/>
            </w:tcBorders>
            <w:tcMar>
              <w:top w:w="40" w:type="dxa"/>
              <w:left w:w="90" w:type="dxa"/>
              <w:bottom w:w="40" w:type="dxa"/>
              <w:right w:w="90" w:type="dxa"/>
            </w:tcMar>
          </w:tcPr>
          <w:p w14:paraId="22835110">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Multiple imputation (m=20), pooled estimate</w:t>
            </w:r>
          </w:p>
        </w:tc>
        <w:tc>
          <w:tcPr>
            <w:tcW w:w="1200" w:type="dxa"/>
            <w:tcBorders>
              <w:top w:val="nil"/>
              <w:left w:val="nil"/>
              <w:bottom w:val="nil"/>
              <w:right w:val="nil"/>
            </w:tcBorders>
            <w:tcMar>
              <w:top w:w="40" w:type="dxa"/>
              <w:left w:w="90" w:type="dxa"/>
              <w:bottom w:w="40" w:type="dxa"/>
              <w:right w:w="90" w:type="dxa"/>
            </w:tcMar>
          </w:tcPr>
          <w:p w14:paraId="1CAB7092">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4,174</w:t>
            </w:r>
          </w:p>
        </w:tc>
        <w:tc>
          <w:tcPr>
            <w:tcW w:w="3600" w:type="dxa"/>
            <w:tcBorders>
              <w:top w:val="nil"/>
              <w:left w:val="nil"/>
              <w:bottom w:val="nil"/>
              <w:right w:val="nil"/>
            </w:tcBorders>
            <w:tcMar>
              <w:top w:w="40" w:type="dxa"/>
              <w:left w:w="90" w:type="dxa"/>
              <w:bottom w:w="40" w:type="dxa"/>
              <w:right w:w="90" w:type="dxa"/>
            </w:tcMar>
          </w:tcPr>
          <w:p w14:paraId="560D43BB">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1.14 (1.10–1.19)</w:t>
            </w:r>
          </w:p>
        </w:tc>
      </w:tr>
      <w:tr w14:paraId="39A64B1E">
        <w:tc>
          <w:tcPr>
            <w:tcW w:w="4560" w:type="dxa"/>
            <w:tcBorders>
              <w:top w:val="nil"/>
              <w:left w:val="nil"/>
              <w:bottom w:val="single" w:color="000000" w:sz="8" w:space="0"/>
              <w:right w:val="nil"/>
            </w:tcBorders>
            <w:tcMar>
              <w:top w:w="40" w:type="dxa"/>
              <w:left w:w="90" w:type="dxa"/>
              <w:bottom w:w="40" w:type="dxa"/>
              <w:right w:w="90" w:type="dxa"/>
            </w:tcMar>
          </w:tcPr>
          <w:p w14:paraId="3838BEA9">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E-value (point estimate / lower confidence limit)</w:t>
            </w:r>
          </w:p>
        </w:tc>
        <w:tc>
          <w:tcPr>
            <w:tcW w:w="1200" w:type="dxa"/>
            <w:tcBorders>
              <w:top w:val="nil"/>
              <w:left w:val="nil"/>
              <w:bottom w:val="single" w:color="000000" w:sz="8" w:space="0"/>
              <w:right w:val="nil"/>
            </w:tcBorders>
            <w:tcMar>
              <w:top w:w="40" w:type="dxa"/>
              <w:left w:w="90" w:type="dxa"/>
              <w:bottom w:w="40" w:type="dxa"/>
              <w:right w:w="90" w:type="dxa"/>
            </w:tcMar>
          </w:tcPr>
          <w:p w14:paraId="3C0967FC">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w:t>
            </w:r>
          </w:p>
        </w:tc>
        <w:tc>
          <w:tcPr>
            <w:tcW w:w="3600" w:type="dxa"/>
            <w:tcBorders>
              <w:top w:val="nil"/>
              <w:left w:val="nil"/>
              <w:bottom w:val="single" w:color="000000" w:sz="8" w:space="0"/>
              <w:right w:val="nil"/>
            </w:tcBorders>
            <w:tcMar>
              <w:top w:w="40" w:type="dxa"/>
              <w:left w:w="90" w:type="dxa"/>
              <w:bottom w:w="40" w:type="dxa"/>
              <w:right w:w="90" w:type="dxa"/>
            </w:tcMar>
          </w:tcPr>
          <w:p w14:paraId="297E0250">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1.43 / 1.34</w:t>
            </w:r>
          </w:p>
        </w:tc>
      </w:tr>
      <w:tr w14:paraId="1ACB8F75">
        <w:tc>
          <w:tcPr>
            <w:tcW w:w="4560" w:type="dxa"/>
            <w:tcBorders>
              <w:top w:val="nil"/>
              <w:left w:val="nil"/>
              <w:bottom w:val="single" w:color="000000" w:sz="8" w:space="0"/>
              <w:right w:val="nil"/>
            </w:tcBorders>
            <w:tcMar>
              <w:top w:w="40" w:type="dxa"/>
              <w:left w:w="90" w:type="dxa"/>
              <w:bottom w:w="40" w:type="dxa"/>
              <w:right w:w="90" w:type="dxa"/>
            </w:tcMar>
          </w:tcPr>
          <w:p w14:paraId="2F92CC29">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Stratified by SOFA quartile and Charlson category</w:t>
            </w:r>
          </w:p>
        </w:tc>
        <w:tc>
          <w:tcPr>
            <w:tcW w:w="1200" w:type="dxa"/>
            <w:tcBorders>
              <w:top w:val="nil"/>
              <w:left w:val="nil"/>
              <w:bottom w:val="single" w:color="000000" w:sz="8" w:space="0"/>
              <w:right w:val="nil"/>
            </w:tcBorders>
            <w:tcMar>
              <w:top w:w="40" w:type="dxa"/>
              <w:left w:w="90" w:type="dxa"/>
              <w:bottom w:w="40" w:type="dxa"/>
              <w:right w:w="90" w:type="dxa"/>
            </w:tcMar>
          </w:tcPr>
          <w:p w14:paraId="59C8DF8E">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4,174</w:t>
            </w:r>
          </w:p>
        </w:tc>
        <w:tc>
          <w:tcPr>
            <w:tcW w:w="3600" w:type="dxa"/>
            <w:tcBorders>
              <w:top w:val="nil"/>
              <w:left w:val="nil"/>
              <w:bottom w:val="single" w:color="000000" w:sz="8" w:space="0"/>
              <w:right w:val="nil"/>
            </w:tcBorders>
            <w:tcMar>
              <w:top w:w="40" w:type="dxa"/>
              <w:left w:w="90" w:type="dxa"/>
              <w:bottom w:w="40" w:type="dxa"/>
              <w:right w:w="90" w:type="dxa"/>
            </w:tcMar>
          </w:tcPr>
          <w:p w14:paraId="20EA1DEA">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1.15 (1.11–1.20)</w:t>
            </w:r>
          </w:p>
        </w:tc>
      </w:tr>
    </w:tbl>
    <w:p w14:paraId="5506C12D">
      <w:pPr>
        <w:keepNext w:val="0"/>
        <w:keepLines w:val="0"/>
        <w:pageBreakBefore w:val="0"/>
        <w:kinsoku/>
        <w:wordWrap/>
        <w:overflowPunct/>
        <w:topLinePunct w:val="0"/>
        <w:autoSpaceDE/>
        <w:autoSpaceDN/>
        <w:bidi w:val="0"/>
        <w:adjustRightInd/>
        <w:snapToGrid/>
        <w:spacing w:after="160" w:line="480" w:lineRule="auto"/>
        <w:jc w:val="both"/>
        <w:textAlignment w:val="auto"/>
      </w:pPr>
      <w:r>
        <w:rPr>
          <w:i/>
          <w:iCs/>
          <w:sz w:val="20"/>
          <w:szCs w:val="20"/>
        </w:rPr>
        <w:t>Unless stated otherwise, models are adjusted for the full covariate set and express the hazard ratio per 10-mmHg increment in estimated PASP. The peak-TR-velocity analysis substitutes the directly measured velocity for derived PASP and is therefore expressed per 1 m/s. The PEEP and driving-pressure analyses are confined to invasively ventilated patients; in the plateau-pressure subset (n=666, with adequate events) the attenuation after adjustment for driving pressure most likely reflects confounding by ventilatory mechanics and acute lung-injury severity rather than limited power. Chronic pulmonary vascular disease was defined narrowly, from diagnosis codes for idiopathic pulmonary arterial hypertension, chronic thromboembolic pulmonary hypertension, and Eisenmenger syndrome, to avoid the circularity of secondary-pulmonary-hypertension codes that track an elevated PASP; 401 patients were excluded on this criterion or for an acute pulmonary embolism. The multiple-imputation row is shown for completeness; because the primary model had no missing covariates once LVEF was dichotomised, the imputation was effectively a no-op and reproduces the complete-data estimate (see Supplementary Methods). The E-value is computed for the primary point estimate and its lower confidence limit. PE, pulmonary embolism; PEEP, positive end-expiratory pressure; other abbreviations as in Table S1.</w:t>
      </w:r>
    </w:p>
    <w:p w14:paraId="757FD152">
      <w:pPr>
        <w:keepNext w:val="0"/>
        <w:keepLines w:val="0"/>
        <w:pageBreakBefore w:val="0"/>
        <w:kinsoku/>
        <w:wordWrap/>
        <w:overflowPunct/>
        <w:topLinePunct w:val="0"/>
        <w:autoSpaceDE/>
        <w:autoSpaceDN/>
        <w:bidi w:val="0"/>
        <w:adjustRightInd/>
        <w:snapToGrid/>
        <w:spacing w:before="120" w:after="60" w:line="480" w:lineRule="auto"/>
        <w:jc w:val="both"/>
        <w:textAlignment w:val="auto"/>
      </w:pPr>
      <w:r>
        <w:rPr>
          <w:b/>
          <w:bCs/>
          <w:sz w:val="20"/>
          <w:szCs w:val="20"/>
        </w:rPr>
        <w:t xml:space="preserve">Table S6. </w:t>
      </w:r>
      <w:r>
        <w:rPr>
          <w:sz w:val="20"/>
          <w:szCs w:val="20"/>
        </w:rPr>
        <w:t>Proportional-hazards diagnostics for the primary Cox model (scaled Schoenfeld residuals).</w:t>
      </w:r>
    </w:p>
    <w:tbl>
      <w:tblPr>
        <w:tblStyle w:val="6"/>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3960"/>
        <w:gridCol w:w="1800"/>
        <w:gridCol w:w="1080"/>
        <w:gridCol w:w="2520"/>
      </w:tblGrid>
      <w:tr w14:paraId="1705E6DD">
        <w:trPr>
          <w:tblHeader/>
        </w:trPr>
        <w:tc>
          <w:tcPr>
            <w:tcW w:w="3960" w:type="dxa"/>
            <w:tcBorders>
              <w:top w:val="single" w:color="000000" w:sz="8" w:space="0"/>
              <w:left w:val="nil"/>
              <w:bottom w:val="single" w:color="000000" w:sz="4" w:space="0"/>
              <w:right w:val="nil"/>
            </w:tcBorders>
            <w:tcMar>
              <w:top w:w="40" w:type="dxa"/>
              <w:left w:w="90" w:type="dxa"/>
              <w:bottom w:w="40" w:type="dxa"/>
              <w:right w:w="90" w:type="dxa"/>
            </w:tcMar>
          </w:tcPr>
          <w:p w14:paraId="60F089A7">
            <w:pPr>
              <w:keepNext w:val="0"/>
              <w:keepLines w:val="0"/>
              <w:pageBreakBefore w:val="0"/>
              <w:kinsoku/>
              <w:wordWrap/>
              <w:overflowPunct/>
              <w:topLinePunct w:val="0"/>
              <w:autoSpaceDE/>
              <w:autoSpaceDN/>
              <w:bidi w:val="0"/>
              <w:adjustRightInd/>
              <w:snapToGrid/>
              <w:spacing w:after="0" w:line="480" w:lineRule="auto"/>
              <w:jc w:val="left"/>
              <w:textAlignment w:val="auto"/>
            </w:pPr>
            <w:r>
              <w:rPr>
                <w:b/>
                <w:bCs/>
                <w:sz w:val="20"/>
                <w:szCs w:val="20"/>
              </w:rPr>
              <w:t>Term</w:t>
            </w:r>
          </w:p>
        </w:tc>
        <w:tc>
          <w:tcPr>
            <w:tcW w:w="1800" w:type="dxa"/>
            <w:tcBorders>
              <w:top w:val="single" w:color="000000" w:sz="8" w:space="0"/>
              <w:left w:val="nil"/>
              <w:bottom w:val="single" w:color="000000" w:sz="4" w:space="0"/>
              <w:right w:val="nil"/>
            </w:tcBorders>
            <w:tcMar>
              <w:top w:w="40" w:type="dxa"/>
              <w:left w:w="90" w:type="dxa"/>
              <w:bottom w:w="40" w:type="dxa"/>
              <w:right w:w="90" w:type="dxa"/>
            </w:tcMar>
          </w:tcPr>
          <w:p w14:paraId="39E257E7">
            <w:pPr>
              <w:keepNext w:val="0"/>
              <w:keepLines w:val="0"/>
              <w:pageBreakBefore w:val="0"/>
              <w:kinsoku/>
              <w:wordWrap/>
              <w:overflowPunct/>
              <w:topLinePunct w:val="0"/>
              <w:autoSpaceDE/>
              <w:autoSpaceDN/>
              <w:bidi w:val="0"/>
              <w:adjustRightInd/>
              <w:snapToGrid/>
              <w:spacing w:after="0" w:line="480" w:lineRule="auto"/>
              <w:jc w:val="center"/>
              <w:textAlignment w:val="auto"/>
            </w:pPr>
            <w:r>
              <w:rPr>
                <w:b/>
                <w:bCs/>
                <w:sz w:val="20"/>
                <w:szCs w:val="20"/>
              </w:rPr>
              <w:t>χ²</w:t>
            </w:r>
          </w:p>
        </w:tc>
        <w:tc>
          <w:tcPr>
            <w:tcW w:w="1080" w:type="dxa"/>
            <w:tcBorders>
              <w:top w:val="single" w:color="000000" w:sz="8" w:space="0"/>
              <w:left w:val="nil"/>
              <w:bottom w:val="single" w:color="000000" w:sz="4" w:space="0"/>
              <w:right w:val="nil"/>
            </w:tcBorders>
            <w:tcMar>
              <w:top w:w="40" w:type="dxa"/>
              <w:left w:w="90" w:type="dxa"/>
              <w:bottom w:w="40" w:type="dxa"/>
              <w:right w:w="90" w:type="dxa"/>
            </w:tcMar>
          </w:tcPr>
          <w:p w14:paraId="2174AECB">
            <w:pPr>
              <w:keepNext w:val="0"/>
              <w:keepLines w:val="0"/>
              <w:pageBreakBefore w:val="0"/>
              <w:kinsoku/>
              <w:wordWrap/>
              <w:overflowPunct/>
              <w:topLinePunct w:val="0"/>
              <w:autoSpaceDE/>
              <w:autoSpaceDN/>
              <w:bidi w:val="0"/>
              <w:adjustRightInd/>
              <w:snapToGrid/>
              <w:spacing w:after="0" w:line="480" w:lineRule="auto"/>
              <w:jc w:val="center"/>
              <w:textAlignment w:val="auto"/>
            </w:pPr>
            <w:r>
              <w:rPr>
                <w:b/>
                <w:bCs/>
                <w:sz w:val="20"/>
                <w:szCs w:val="20"/>
              </w:rPr>
              <w:t>df</w:t>
            </w:r>
          </w:p>
        </w:tc>
        <w:tc>
          <w:tcPr>
            <w:tcW w:w="2520" w:type="dxa"/>
            <w:tcBorders>
              <w:top w:val="single" w:color="000000" w:sz="8" w:space="0"/>
              <w:left w:val="nil"/>
              <w:bottom w:val="single" w:color="000000" w:sz="4" w:space="0"/>
              <w:right w:val="nil"/>
            </w:tcBorders>
            <w:tcMar>
              <w:top w:w="40" w:type="dxa"/>
              <w:left w:w="90" w:type="dxa"/>
              <w:bottom w:w="40" w:type="dxa"/>
              <w:right w:w="90" w:type="dxa"/>
            </w:tcMar>
          </w:tcPr>
          <w:p w14:paraId="31EC4C06">
            <w:pPr>
              <w:keepNext w:val="0"/>
              <w:keepLines w:val="0"/>
              <w:pageBreakBefore w:val="0"/>
              <w:kinsoku/>
              <w:wordWrap/>
              <w:overflowPunct/>
              <w:topLinePunct w:val="0"/>
              <w:autoSpaceDE/>
              <w:autoSpaceDN/>
              <w:bidi w:val="0"/>
              <w:adjustRightInd/>
              <w:snapToGrid/>
              <w:spacing w:after="0" w:line="480" w:lineRule="auto"/>
              <w:jc w:val="center"/>
              <w:textAlignment w:val="auto"/>
            </w:pPr>
            <w:r>
              <w:rPr>
                <w:b/>
                <w:bCs/>
                <w:sz w:val="20"/>
                <w:szCs w:val="20"/>
              </w:rPr>
              <w:t>P-value</w:t>
            </w:r>
          </w:p>
        </w:tc>
      </w:tr>
      <w:tr w14:paraId="76861333">
        <w:tc>
          <w:tcPr>
            <w:tcW w:w="3960" w:type="dxa"/>
            <w:tcBorders>
              <w:top w:val="nil"/>
              <w:left w:val="nil"/>
              <w:bottom w:val="nil"/>
              <w:right w:val="nil"/>
            </w:tcBorders>
            <w:tcMar>
              <w:top w:w="40" w:type="dxa"/>
              <w:left w:w="90" w:type="dxa"/>
              <w:bottom w:w="40" w:type="dxa"/>
              <w:right w:w="90" w:type="dxa"/>
            </w:tcMar>
          </w:tcPr>
          <w:p w14:paraId="28BE6366">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Estimated PASP</w:t>
            </w:r>
          </w:p>
        </w:tc>
        <w:tc>
          <w:tcPr>
            <w:tcW w:w="1800" w:type="dxa"/>
            <w:tcBorders>
              <w:top w:val="nil"/>
              <w:left w:val="nil"/>
              <w:bottom w:val="nil"/>
              <w:right w:val="nil"/>
            </w:tcBorders>
            <w:tcMar>
              <w:top w:w="40" w:type="dxa"/>
              <w:left w:w="90" w:type="dxa"/>
              <w:bottom w:w="40" w:type="dxa"/>
              <w:right w:w="90" w:type="dxa"/>
            </w:tcMar>
          </w:tcPr>
          <w:p w14:paraId="3867473B">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5.46</w:t>
            </w:r>
          </w:p>
        </w:tc>
        <w:tc>
          <w:tcPr>
            <w:tcW w:w="1080" w:type="dxa"/>
            <w:tcBorders>
              <w:top w:val="nil"/>
              <w:left w:val="nil"/>
              <w:bottom w:val="nil"/>
              <w:right w:val="nil"/>
            </w:tcBorders>
            <w:tcMar>
              <w:top w:w="40" w:type="dxa"/>
              <w:left w:w="90" w:type="dxa"/>
              <w:bottom w:w="40" w:type="dxa"/>
              <w:right w:w="90" w:type="dxa"/>
            </w:tcMar>
          </w:tcPr>
          <w:p w14:paraId="1AC7DA98">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w:t>
            </w:r>
          </w:p>
        </w:tc>
        <w:tc>
          <w:tcPr>
            <w:tcW w:w="2520" w:type="dxa"/>
            <w:tcBorders>
              <w:top w:val="nil"/>
              <w:left w:val="nil"/>
              <w:bottom w:val="nil"/>
              <w:right w:val="nil"/>
            </w:tcBorders>
            <w:tcMar>
              <w:top w:w="40" w:type="dxa"/>
              <w:left w:w="90" w:type="dxa"/>
              <w:bottom w:w="40" w:type="dxa"/>
              <w:right w:w="90" w:type="dxa"/>
            </w:tcMar>
          </w:tcPr>
          <w:p w14:paraId="17D51CC5">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0.019</w:t>
            </w:r>
          </w:p>
        </w:tc>
      </w:tr>
      <w:tr w14:paraId="688C77DC">
        <w:tc>
          <w:tcPr>
            <w:tcW w:w="3960" w:type="dxa"/>
            <w:tcBorders>
              <w:top w:val="nil"/>
              <w:left w:val="nil"/>
              <w:bottom w:val="nil"/>
              <w:right w:val="nil"/>
            </w:tcBorders>
            <w:tcMar>
              <w:top w:w="40" w:type="dxa"/>
              <w:left w:w="90" w:type="dxa"/>
              <w:bottom w:w="40" w:type="dxa"/>
              <w:right w:w="90" w:type="dxa"/>
            </w:tcMar>
          </w:tcPr>
          <w:p w14:paraId="023101C6">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Age</w:t>
            </w:r>
          </w:p>
        </w:tc>
        <w:tc>
          <w:tcPr>
            <w:tcW w:w="1800" w:type="dxa"/>
            <w:tcBorders>
              <w:top w:val="nil"/>
              <w:left w:val="nil"/>
              <w:bottom w:val="nil"/>
              <w:right w:val="nil"/>
            </w:tcBorders>
            <w:tcMar>
              <w:top w:w="40" w:type="dxa"/>
              <w:left w:w="90" w:type="dxa"/>
              <w:bottom w:w="40" w:type="dxa"/>
              <w:right w:w="90" w:type="dxa"/>
            </w:tcMar>
          </w:tcPr>
          <w:p w14:paraId="73E87C32">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15.06</w:t>
            </w:r>
          </w:p>
        </w:tc>
        <w:tc>
          <w:tcPr>
            <w:tcW w:w="1080" w:type="dxa"/>
            <w:tcBorders>
              <w:top w:val="nil"/>
              <w:left w:val="nil"/>
              <w:bottom w:val="nil"/>
              <w:right w:val="nil"/>
            </w:tcBorders>
            <w:tcMar>
              <w:top w:w="40" w:type="dxa"/>
              <w:left w:w="90" w:type="dxa"/>
              <w:bottom w:w="40" w:type="dxa"/>
              <w:right w:w="90" w:type="dxa"/>
            </w:tcMar>
          </w:tcPr>
          <w:p w14:paraId="5B367BDC">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w:t>
            </w:r>
          </w:p>
        </w:tc>
        <w:tc>
          <w:tcPr>
            <w:tcW w:w="2520" w:type="dxa"/>
            <w:tcBorders>
              <w:top w:val="nil"/>
              <w:left w:val="nil"/>
              <w:bottom w:val="nil"/>
              <w:right w:val="nil"/>
            </w:tcBorders>
            <w:tcMar>
              <w:top w:w="40" w:type="dxa"/>
              <w:left w:w="90" w:type="dxa"/>
              <w:bottom w:w="40" w:type="dxa"/>
              <w:right w:w="90" w:type="dxa"/>
            </w:tcMar>
          </w:tcPr>
          <w:p w14:paraId="13CC4217">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&lt;0.001</w:t>
            </w:r>
          </w:p>
        </w:tc>
      </w:tr>
      <w:tr w14:paraId="4D431C2B">
        <w:tc>
          <w:tcPr>
            <w:tcW w:w="3960" w:type="dxa"/>
            <w:tcBorders>
              <w:top w:val="nil"/>
              <w:left w:val="nil"/>
              <w:bottom w:val="nil"/>
              <w:right w:val="nil"/>
            </w:tcBorders>
            <w:tcMar>
              <w:top w:w="40" w:type="dxa"/>
              <w:left w:w="90" w:type="dxa"/>
              <w:bottom w:w="40" w:type="dxa"/>
              <w:right w:w="90" w:type="dxa"/>
            </w:tcMar>
          </w:tcPr>
          <w:p w14:paraId="0CA309E1">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Male sex</w:t>
            </w:r>
          </w:p>
        </w:tc>
        <w:tc>
          <w:tcPr>
            <w:tcW w:w="1800" w:type="dxa"/>
            <w:tcBorders>
              <w:top w:val="nil"/>
              <w:left w:val="nil"/>
              <w:bottom w:val="nil"/>
              <w:right w:val="nil"/>
            </w:tcBorders>
            <w:tcMar>
              <w:top w:w="40" w:type="dxa"/>
              <w:left w:w="90" w:type="dxa"/>
              <w:bottom w:w="40" w:type="dxa"/>
              <w:right w:w="90" w:type="dxa"/>
            </w:tcMar>
          </w:tcPr>
          <w:p w14:paraId="225AD48F">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1.17</w:t>
            </w:r>
          </w:p>
        </w:tc>
        <w:tc>
          <w:tcPr>
            <w:tcW w:w="1080" w:type="dxa"/>
            <w:tcBorders>
              <w:top w:val="nil"/>
              <w:left w:val="nil"/>
              <w:bottom w:val="nil"/>
              <w:right w:val="nil"/>
            </w:tcBorders>
            <w:tcMar>
              <w:top w:w="40" w:type="dxa"/>
              <w:left w:w="90" w:type="dxa"/>
              <w:bottom w:w="40" w:type="dxa"/>
              <w:right w:w="90" w:type="dxa"/>
            </w:tcMar>
          </w:tcPr>
          <w:p w14:paraId="6864A38A">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w:t>
            </w:r>
          </w:p>
        </w:tc>
        <w:tc>
          <w:tcPr>
            <w:tcW w:w="2520" w:type="dxa"/>
            <w:tcBorders>
              <w:top w:val="nil"/>
              <w:left w:val="nil"/>
              <w:bottom w:val="nil"/>
              <w:right w:val="nil"/>
            </w:tcBorders>
            <w:tcMar>
              <w:top w:w="40" w:type="dxa"/>
              <w:left w:w="90" w:type="dxa"/>
              <w:bottom w:w="40" w:type="dxa"/>
              <w:right w:w="90" w:type="dxa"/>
            </w:tcMar>
          </w:tcPr>
          <w:p w14:paraId="6A3EDE9E">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0.28</w:t>
            </w:r>
          </w:p>
        </w:tc>
      </w:tr>
      <w:tr w14:paraId="033D6030">
        <w:tc>
          <w:tcPr>
            <w:tcW w:w="3960" w:type="dxa"/>
            <w:tcBorders>
              <w:top w:val="nil"/>
              <w:left w:val="nil"/>
              <w:bottom w:val="nil"/>
              <w:right w:val="nil"/>
            </w:tcBorders>
            <w:tcMar>
              <w:top w:w="40" w:type="dxa"/>
              <w:left w:w="90" w:type="dxa"/>
              <w:bottom w:w="40" w:type="dxa"/>
              <w:right w:w="90" w:type="dxa"/>
            </w:tcMar>
          </w:tcPr>
          <w:p w14:paraId="05296027">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Charlson comorbidity index</w:t>
            </w:r>
          </w:p>
        </w:tc>
        <w:tc>
          <w:tcPr>
            <w:tcW w:w="1800" w:type="dxa"/>
            <w:tcBorders>
              <w:top w:val="nil"/>
              <w:left w:val="nil"/>
              <w:bottom w:val="nil"/>
              <w:right w:val="nil"/>
            </w:tcBorders>
            <w:tcMar>
              <w:top w:w="40" w:type="dxa"/>
              <w:left w:w="90" w:type="dxa"/>
              <w:bottom w:w="40" w:type="dxa"/>
              <w:right w:w="90" w:type="dxa"/>
            </w:tcMar>
          </w:tcPr>
          <w:p w14:paraId="5406A98E">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43.89</w:t>
            </w:r>
          </w:p>
        </w:tc>
        <w:tc>
          <w:tcPr>
            <w:tcW w:w="1080" w:type="dxa"/>
            <w:tcBorders>
              <w:top w:val="nil"/>
              <w:left w:val="nil"/>
              <w:bottom w:val="nil"/>
              <w:right w:val="nil"/>
            </w:tcBorders>
            <w:tcMar>
              <w:top w:w="40" w:type="dxa"/>
              <w:left w:w="90" w:type="dxa"/>
              <w:bottom w:w="40" w:type="dxa"/>
              <w:right w:w="90" w:type="dxa"/>
            </w:tcMar>
          </w:tcPr>
          <w:p w14:paraId="5510AB0F">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w:t>
            </w:r>
          </w:p>
        </w:tc>
        <w:tc>
          <w:tcPr>
            <w:tcW w:w="2520" w:type="dxa"/>
            <w:tcBorders>
              <w:top w:val="nil"/>
              <w:left w:val="nil"/>
              <w:bottom w:val="nil"/>
              <w:right w:val="nil"/>
            </w:tcBorders>
            <w:tcMar>
              <w:top w:w="40" w:type="dxa"/>
              <w:left w:w="90" w:type="dxa"/>
              <w:bottom w:w="40" w:type="dxa"/>
              <w:right w:w="90" w:type="dxa"/>
            </w:tcMar>
          </w:tcPr>
          <w:p w14:paraId="03A9DB56">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&lt;0.001</w:t>
            </w:r>
          </w:p>
        </w:tc>
      </w:tr>
      <w:tr w14:paraId="66244AB7">
        <w:tc>
          <w:tcPr>
            <w:tcW w:w="3960" w:type="dxa"/>
            <w:tcBorders>
              <w:top w:val="nil"/>
              <w:left w:val="nil"/>
              <w:bottom w:val="nil"/>
              <w:right w:val="nil"/>
            </w:tcBorders>
            <w:tcMar>
              <w:top w:w="40" w:type="dxa"/>
              <w:left w:w="90" w:type="dxa"/>
              <w:bottom w:w="40" w:type="dxa"/>
              <w:right w:w="90" w:type="dxa"/>
            </w:tcMar>
          </w:tcPr>
          <w:p w14:paraId="099B7A23">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SOFA score</w:t>
            </w:r>
          </w:p>
        </w:tc>
        <w:tc>
          <w:tcPr>
            <w:tcW w:w="1800" w:type="dxa"/>
            <w:tcBorders>
              <w:top w:val="nil"/>
              <w:left w:val="nil"/>
              <w:bottom w:val="nil"/>
              <w:right w:val="nil"/>
            </w:tcBorders>
            <w:tcMar>
              <w:top w:w="40" w:type="dxa"/>
              <w:left w:w="90" w:type="dxa"/>
              <w:bottom w:w="40" w:type="dxa"/>
              <w:right w:w="90" w:type="dxa"/>
            </w:tcMar>
          </w:tcPr>
          <w:p w14:paraId="187D9A18">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85.35</w:t>
            </w:r>
          </w:p>
        </w:tc>
        <w:tc>
          <w:tcPr>
            <w:tcW w:w="1080" w:type="dxa"/>
            <w:tcBorders>
              <w:top w:val="nil"/>
              <w:left w:val="nil"/>
              <w:bottom w:val="nil"/>
              <w:right w:val="nil"/>
            </w:tcBorders>
            <w:tcMar>
              <w:top w:w="40" w:type="dxa"/>
              <w:left w:w="90" w:type="dxa"/>
              <w:bottom w:w="40" w:type="dxa"/>
              <w:right w:w="90" w:type="dxa"/>
            </w:tcMar>
          </w:tcPr>
          <w:p w14:paraId="4073F2D8">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w:t>
            </w:r>
          </w:p>
        </w:tc>
        <w:tc>
          <w:tcPr>
            <w:tcW w:w="2520" w:type="dxa"/>
            <w:tcBorders>
              <w:top w:val="nil"/>
              <w:left w:val="nil"/>
              <w:bottom w:val="nil"/>
              <w:right w:val="nil"/>
            </w:tcBorders>
            <w:tcMar>
              <w:top w:w="40" w:type="dxa"/>
              <w:left w:w="90" w:type="dxa"/>
              <w:bottom w:w="40" w:type="dxa"/>
              <w:right w:w="90" w:type="dxa"/>
            </w:tcMar>
          </w:tcPr>
          <w:p w14:paraId="5E0581C0">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&lt;0.001</w:t>
            </w:r>
          </w:p>
        </w:tc>
      </w:tr>
      <w:tr w14:paraId="2493C808">
        <w:tc>
          <w:tcPr>
            <w:tcW w:w="3960" w:type="dxa"/>
            <w:tcBorders>
              <w:top w:val="nil"/>
              <w:left w:val="nil"/>
              <w:bottom w:val="nil"/>
              <w:right w:val="nil"/>
            </w:tcBorders>
            <w:tcMar>
              <w:top w:w="40" w:type="dxa"/>
              <w:left w:w="90" w:type="dxa"/>
              <w:bottom w:w="40" w:type="dxa"/>
              <w:right w:w="90" w:type="dxa"/>
            </w:tcMar>
          </w:tcPr>
          <w:p w14:paraId="32833D96">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Pulmonary source of sepsis</w:t>
            </w:r>
          </w:p>
        </w:tc>
        <w:tc>
          <w:tcPr>
            <w:tcW w:w="1800" w:type="dxa"/>
            <w:tcBorders>
              <w:top w:val="nil"/>
              <w:left w:val="nil"/>
              <w:bottom w:val="nil"/>
              <w:right w:val="nil"/>
            </w:tcBorders>
            <w:tcMar>
              <w:top w:w="40" w:type="dxa"/>
              <w:left w:w="90" w:type="dxa"/>
              <w:bottom w:w="40" w:type="dxa"/>
              <w:right w:w="90" w:type="dxa"/>
            </w:tcMar>
          </w:tcPr>
          <w:p w14:paraId="00A023E0">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38.40</w:t>
            </w:r>
          </w:p>
        </w:tc>
        <w:tc>
          <w:tcPr>
            <w:tcW w:w="1080" w:type="dxa"/>
            <w:tcBorders>
              <w:top w:val="nil"/>
              <w:left w:val="nil"/>
              <w:bottom w:val="nil"/>
              <w:right w:val="nil"/>
            </w:tcBorders>
            <w:tcMar>
              <w:top w:w="40" w:type="dxa"/>
              <w:left w:w="90" w:type="dxa"/>
              <w:bottom w:w="40" w:type="dxa"/>
              <w:right w:w="90" w:type="dxa"/>
            </w:tcMar>
          </w:tcPr>
          <w:p w14:paraId="20432061">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w:t>
            </w:r>
          </w:p>
        </w:tc>
        <w:tc>
          <w:tcPr>
            <w:tcW w:w="2520" w:type="dxa"/>
            <w:tcBorders>
              <w:top w:val="nil"/>
              <w:left w:val="nil"/>
              <w:bottom w:val="nil"/>
              <w:right w:val="nil"/>
            </w:tcBorders>
            <w:tcMar>
              <w:top w:w="40" w:type="dxa"/>
              <w:left w:w="90" w:type="dxa"/>
              <w:bottom w:w="40" w:type="dxa"/>
              <w:right w:w="90" w:type="dxa"/>
            </w:tcMar>
          </w:tcPr>
          <w:p w14:paraId="547C7E09">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&lt;0.001</w:t>
            </w:r>
          </w:p>
        </w:tc>
      </w:tr>
      <w:tr w14:paraId="6144D76F">
        <w:tc>
          <w:tcPr>
            <w:tcW w:w="3960" w:type="dxa"/>
            <w:tcBorders>
              <w:top w:val="nil"/>
              <w:left w:val="nil"/>
              <w:bottom w:val="nil"/>
              <w:right w:val="nil"/>
            </w:tcBorders>
            <w:tcMar>
              <w:top w:w="40" w:type="dxa"/>
              <w:left w:w="90" w:type="dxa"/>
              <w:bottom w:w="40" w:type="dxa"/>
              <w:right w:w="90" w:type="dxa"/>
            </w:tcMar>
          </w:tcPr>
          <w:p w14:paraId="3812D205">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LVEF &lt;50%</w:t>
            </w:r>
          </w:p>
        </w:tc>
        <w:tc>
          <w:tcPr>
            <w:tcW w:w="1800" w:type="dxa"/>
            <w:tcBorders>
              <w:top w:val="nil"/>
              <w:left w:val="nil"/>
              <w:bottom w:val="nil"/>
              <w:right w:val="nil"/>
            </w:tcBorders>
            <w:tcMar>
              <w:top w:w="40" w:type="dxa"/>
              <w:left w:w="90" w:type="dxa"/>
              <w:bottom w:w="40" w:type="dxa"/>
              <w:right w:w="90" w:type="dxa"/>
            </w:tcMar>
          </w:tcPr>
          <w:p w14:paraId="34D3E10A">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0.71</w:t>
            </w:r>
          </w:p>
        </w:tc>
        <w:tc>
          <w:tcPr>
            <w:tcW w:w="1080" w:type="dxa"/>
            <w:tcBorders>
              <w:top w:val="nil"/>
              <w:left w:val="nil"/>
              <w:bottom w:val="nil"/>
              <w:right w:val="nil"/>
            </w:tcBorders>
            <w:tcMar>
              <w:top w:w="40" w:type="dxa"/>
              <w:left w:w="90" w:type="dxa"/>
              <w:bottom w:w="40" w:type="dxa"/>
              <w:right w:w="90" w:type="dxa"/>
            </w:tcMar>
          </w:tcPr>
          <w:p w14:paraId="7223B35A">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w:t>
            </w:r>
          </w:p>
        </w:tc>
        <w:tc>
          <w:tcPr>
            <w:tcW w:w="2520" w:type="dxa"/>
            <w:tcBorders>
              <w:top w:val="nil"/>
              <w:left w:val="nil"/>
              <w:bottom w:val="nil"/>
              <w:right w:val="nil"/>
            </w:tcBorders>
            <w:tcMar>
              <w:top w:w="40" w:type="dxa"/>
              <w:left w:w="90" w:type="dxa"/>
              <w:bottom w:w="40" w:type="dxa"/>
              <w:right w:w="90" w:type="dxa"/>
            </w:tcMar>
          </w:tcPr>
          <w:p w14:paraId="29C1DA8D">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0.40</w:t>
            </w:r>
          </w:p>
        </w:tc>
      </w:tr>
      <w:tr w14:paraId="7BAF2AFB">
        <w:tc>
          <w:tcPr>
            <w:tcW w:w="3960" w:type="dxa"/>
            <w:tcBorders>
              <w:top w:val="nil"/>
              <w:left w:val="nil"/>
              <w:bottom w:val="nil"/>
              <w:right w:val="nil"/>
            </w:tcBorders>
            <w:tcMar>
              <w:top w:w="40" w:type="dxa"/>
              <w:left w:w="90" w:type="dxa"/>
              <w:bottom w:w="40" w:type="dxa"/>
              <w:right w:w="90" w:type="dxa"/>
            </w:tcMar>
          </w:tcPr>
          <w:p w14:paraId="4D2978F3">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Invasive mechanical ventilation</w:t>
            </w:r>
          </w:p>
        </w:tc>
        <w:tc>
          <w:tcPr>
            <w:tcW w:w="1800" w:type="dxa"/>
            <w:tcBorders>
              <w:top w:val="nil"/>
              <w:left w:val="nil"/>
              <w:bottom w:val="nil"/>
              <w:right w:val="nil"/>
            </w:tcBorders>
            <w:tcMar>
              <w:top w:w="40" w:type="dxa"/>
              <w:left w:w="90" w:type="dxa"/>
              <w:bottom w:w="40" w:type="dxa"/>
              <w:right w:w="90" w:type="dxa"/>
            </w:tcMar>
          </w:tcPr>
          <w:p w14:paraId="06FB7DF6">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42.62</w:t>
            </w:r>
          </w:p>
        </w:tc>
        <w:tc>
          <w:tcPr>
            <w:tcW w:w="1080" w:type="dxa"/>
            <w:tcBorders>
              <w:top w:val="nil"/>
              <w:left w:val="nil"/>
              <w:bottom w:val="nil"/>
              <w:right w:val="nil"/>
            </w:tcBorders>
            <w:tcMar>
              <w:top w:w="40" w:type="dxa"/>
              <w:left w:w="90" w:type="dxa"/>
              <w:bottom w:w="40" w:type="dxa"/>
              <w:right w:w="90" w:type="dxa"/>
            </w:tcMar>
          </w:tcPr>
          <w:p w14:paraId="1373D883">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w:t>
            </w:r>
          </w:p>
        </w:tc>
        <w:tc>
          <w:tcPr>
            <w:tcW w:w="2520" w:type="dxa"/>
            <w:tcBorders>
              <w:top w:val="nil"/>
              <w:left w:val="nil"/>
              <w:bottom w:val="nil"/>
              <w:right w:val="nil"/>
            </w:tcBorders>
            <w:tcMar>
              <w:top w:w="40" w:type="dxa"/>
              <w:left w:w="90" w:type="dxa"/>
              <w:bottom w:w="40" w:type="dxa"/>
              <w:right w:w="90" w:type="dxa"/>
            </w:tcMar>
          </w:tcPr>
          <w:p w14:paraId="6565AEC2">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&lt;0.001</w:t>
            </w:r>
          </w:p>
        </w:tc>
      </w:tr>
      <w:tr w14:paraId="169E659A">
        <w:tc>
          <w:tcPr>
            <w:tcW w:w="3960" w:type="dxa"/>
            <w:tcBorders>
              <w:top w:val="nil"/>
              <w:left w:val="nil"/>
              <w:bottom w:val="nil"/>
              <w:right w:val="nil"/>
            </w:tcBorders>
            <w:tcMar>
              <w:top w:w="40" w:type="dxa"/>
              <w:left w:w="90" w:type="dxa"/>
              <w:bottom w:w="40" w:type="dxa"/>
              <w:right w:w="90" w:type="dxa"/>
            </w:tcMar>
          </w:tcPr>
          <w:p w14:paraId="183F7FF1">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Time from ICU admission to echocardiogram</w:t>
            </w:r>
          </w:p>
        </w:tc>
        <w:tc>
          <w:tcPr>
            <w:tcW w:w="1800" w:type="dxa"/>
            <w:tcBorders>
              <w:top w:val="nil"/>
              <w:left w:val="nil"/>
              <w:bottom w:val="nil"/>
              <w:right w:val="nil"/>
            </w:tcBorders>
            <w:tcMar>
              <w:top w:w="40" w:type="dxa"/>
              <w:left w:w="90" w:type="dxa"/>
              <w:bottom w:w="40" w:type="dxa"/>
              <w:right w:w="90" w:type="dxa"/>
            </w:tcMar>
          </w:tcPr>
          <w:p w14:paraId="0935DDC6">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6.24</w:t>
            </w:r>
          </w:p>
        </w:tc>
        <w:tc>
          <w:tcPr>
            <w:tcW w:w="1080" w:type="dxa"/>
            <w:tcBorders>
              <w:top w:val="nil"/>
              <w:left w:val="nil"/>
              <w:bottom w:val="nil"/>
              <w:right w:val="nil"/>
            </w:tcBorders>
            <w:tcMar>
              <w:top w:w="40" w:type="dxa"/>
              <w:left w:w="90" w:type="dxa"/>
              <w:bottom w:w="40" w:type="dxa"/>
              <w:right w:w="90" w:type="dxa"/>
            </w:tcMar>
          </w:tcPr>
          <w:p w14:paraId="40B2BAB5">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w:t>
            </w:r>
          </w:p>
        </w:tc>
        <w:tc>
          <w:tcPr>
            <w:tcW w:w="2520" w:type="dxa"/>
            <w:tcBorders>
              <w:top w:val="nil"/>
              <w:left w:val="nil"/>
              <w:bottom w:val="nil"/>
              <w:right w:val="nil"/>
            </w:tcBorders>
            <w:tcMar>
              <w:top w:w="40" w:type="dxa"/>
              <w:left w:w="90" w:type="dxa"/>
              <w:bottom w:w="40" w:type="dxa"/>
              <w:right w:w="90" w:type="dxa"/>
            </w:tcMar>
          </w:tcPr>
          <w:p w14:paraId="7DC86D2E">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0.013</w:t>
            </w:r>
          </w:p>
        </w:tc>
      </w:tr>
      <w:tr w14:paraId="2A482E8A">
        <w:tc>
          <w:tcPr>
            <w:tcW w:w="3960" w:type="dxa"/>
            <w:tcBorders>
              <w:top w:val="nil"/>
              <w:left w:val="nil"/>
              <w:bottom w:val="nil"/>
              <w:right w:val="nil"/>
            </w:tcBorders>
            <w:tcMar>
              <w:top w:w="40" w:type="dxa"/>
              <w:left w:w="90" w:type="dxa"/>
              <w:bottom w:w="40" w:type="dxa"/>
              <w:right w:w="90" w:type="dxa"/>
            </w:tcMar>
          </w:tcPr>
          <w:p w14:paraId="3FF95D48">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Admission year</w:t>
            </w:r>
          </w:p>
        </w:tc>
        <w:tc>
          <w:tcPr>
            <w:tcW w:w="1800" w:type="dxa"/>
            <w:tcBorders>
              <w:top w:val="nil"/>
              <w:left w:val="nil"/>
              <w:bottom w:val="nil"/>
              <w:right w:val="nil"/>
            </w:tcBorders>
            <w:tcMar>
              <w:top w:w="40" w:type="dxa"/>
              <w:left w:w="90" w:type="dxa"/>
              <w:bottom w:w="40" w:type="dxa"/>
              <w:right w:w="90" w:type="dxa"/>
            </w:tcMar>
          </w:tcPr>
          <w:p w14:paraId="7AD69744">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0.74</w:t>
            </w:r>
          </w:p>
        </w:tc>
        <w:tc>
          <w:tcPr>
            <w:tcW w:w="1080" w:type="dxa"/>
            <w:tcBorders>
              <w:top w:val="nil"/>
              <w:left w:val="nil"/>
              <w:bottom w:val="nil"/>
              <w:right w:val="nil"/>
            </w:tcBorders>
            <w:tcMar>
              <w:top w:w="40" w:type="dxa"/>
              <w:left w:w="90" w:type="dxa"/>
              <w:bottom w:w="40" w:type="dxa"/>
              <w:right w:w="90" w:type="dxa"/>
            </w:tcMar>
          </w:tcPr>
          <w:p w14:paraId="3A98B837">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w:t>
            </w:r>
          </w:p>
        </w:tc>
        <w:tc>
          <w:tcPr>
            <w:tcW w:w="2520" w:type="dxa"/>
            <w:tcBorders>
              <w:top w:val="nil"/>
              <w:left w:val="nil"/>
              <w:bottom w:val="nil"/>
              <w:right w:val="nil"/>
            </w:tcBorders>
            <w:tcMar>
              <w:top w:w="40" w:type="dxa"/>
              <w:left w:w="90" w:type="dxa"/>
              <w:bottom w:w="40" w:type="dxa"/>
              <w:right w:w="90" w:type="dxa"/>
            </w:tcMar>
          </w:tcPr>
          <w:p w14:paraId="54FA3971">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0.39</w:t>
            </w:r>
          </w:p>
        </w:tc>
      </w:tr>
      <w:tr w14:paraId="2ABE2C4A">
        <w:tc>
          <w:tcPr>
            <w:tcW w:w="3960" w:type="dxa"/>
            <w:tcBorders>
              <w:top w:val="nil"/>
              <w:left w:val="nil"/>
              <w:bottom w:val="single" w:color="000000" w:sz="8" w:space="0"/>
              <w:right w:val="nil"/>
            </w:tcBorders>
            <w:tcMar>
              <w:top w:w="40" w:type="dxa"/>
              <w:left w:w="90" w:type="dxa"/>
              <w:bottom w:w="40" w:type="dxa"/>
              <w:right w:w="90" w:type="dxa"/>
            </w:tcMar>
          </w:tcPr>
          <w:p w14:paraId="61BF08F4">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GLOBAL test</w:t>
            </w:r>
          </w:p>
        </w:tc>
        <w:tc>
          <w:tcPr>
            <w:tcW w:w="1800" w:type="dxa"/>
            <w:tcBorders>
              <w:top w:val="nil"/>
              <w:left w:val="nil"/>
              <w:bottom w:val="single" w:color="000000" w:sz="8" w:space="0"/>
              <w:right w:val="nil"/>
            </w:tcBorders>
            <w:tcMar>
              <w:top w:w="40" w:type="dxa"/>
              <w:left w:w="90" w:type="dxa"/>
              <w:bottom w:w="40" w:type="dxa"/>
              <w:right w:w="90" w:type="dxa"/>
            </w:tcMar>
          </w:tcPr>
          <w:p w14:paraId="233EEC81">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189.78</w:t>
            </w:r>
          </w:p>
        </w:tc>
        <w:tc>
          <w:tcPr>
            <w:tcW w:w="1080" w:type="dxa"/>
            <w:tcBorders>
              <w:top w:val="nil"/>
              <w:left w:val="nil"/>
              <w:bottom w:val="single" w:color="000000" w:sz="8" w:space="0"/>
              <w:right w:val="nil"/>
            </w:tcBorders>
            <w:tcMar>
              <w:top w:w="40" w:type="dxa"/>
              <w:left w:w="90" w:type="dxa"/>
              <w:bottom w:w="40" w:type="dxa"/>
              <w:right w:w="90" w:type="dxa"/>
            </w:tcMar>
          </w:tcPr>
          <w:p w14:paraId="054E58E2">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10</w:t>
            </w:r>
          </w:p>
        </w:tc>
        <w:tc>
          <w:tcPr>
            <w:tcW w:w="2520" w:type="dxa"/>
            <w:tcBorders>
              <w:top w:val="nil"/>
              <w:left w:val="nil"/>
              <w:bottom w:val="single" w:color="000000" w:sz="8" w:space="0"/>
              <w:right w:val="nil"/>
            </w:tcBorders>
            <w:tcMar>
              <w:top w:w="40" w:type="dxa"/>
              <w:left w:w="90" w:type="dxa"/>
              <w:bottom w:w="40" w:type="dxa"/>
              <w:right w:w="90" w:type="dxa"/>
            </w:tcMar>
          </w:tcPr>
          <w:p w14:paraId="2112737C">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&lt;0.001</w:t>
            </w:r>
          </w:p>
        </w:tc>
      </w:tr>
    </w:tbl>
    <w:p w14:paraId="54195392">
      <w:pPr>
        <w:keepNext w:val="0"/>
        <w:keepLines w:val="0"/>
        <w:pageBreakBefore w:val="0"/>
        <w:kinsoku/>
        <w:wordWrap/>
        <w:overflowPunct/>
        <w:topLinePunct w:val="0"/>
        <w:autoSpaceDE/>
        <w:autoSpaceDN/>
        <w:bidi w:val="0"/>
        <w:adjustRightInd/>
        <w:snapToGrid/>
        <w:spacing w:after="160" w:line="480" w:lineRule="auto"/>
        <w:jc w:val="both"/>
        <w:textAlignment w:val="auto"/>
      </w:pPr>
      <w:r>
        <w:rPr>
          <w:i/>
          <w:iCs/>
          <w:sz w:val="20"/>
          <w:szCs w:val="20"/>
        </w:rPr>
        <w:t>P values are from the test of a non-zero slope of scaled Schoenfeld residuals on transformed time. Estimated PASP showed only a minor deviation (P=0.019) and the categorical, restricted-cubic-spline, and landmark analyses were concordant, supporting the robustness of the primary result. In the restricted-cubic-spline model (four knots), the overall association of PASP with mortality was significant (Wald χ²=60.71, 3 df, P&lt;0.001) with significant non-linearity (χ²=11.59, 2 df, P=0.003). Abbreviations as in Table S1.</w:t>
      </w:r>
    </w:p>
    <w:p w14:paraId="5BCA7353">
      <w:pPr>
        <w:keepNext w:val="0"/>
        <w:keepLines w:val="0"/>
        <w:pageBreakBefore w:val="0"/>
        <w:kinsoku/>
        <w:wordWrap/>
        <w:overflowPunct/>
        <w:topLinePunct w:val="0"/>
        <w:autoSpaceDE/>
        <w:autoSpaceDN/>
        <w:bidi w:val="0"/>
        <w:adjustRightInd/>
        <w:snapToGrid/>
        <w:spacing w:before="120" w:after="60" w:line="480" w:lineRule="auto"/>
        <w:jc w:val="both"/>
        <w:textAlignment w:val="auto"/>
      </w:pPr>
      <w:r>
        <w:rPr>
          <w:b/>
          <w:bCs/>
          <w:sz w:val="20"/>
          <w:szCs w:val="20"/>
        </w:rPr>
        <w:t xml:space="preserve">Table S7. </w:t>
      </w:r>
      <w:r>
        <w:rPr>
          <w:sz w:val="20"/>
          <w:szCs w:val="20"/>
        </w:rPr>
        <w:t>Adjusted association of estimated PASP (per 10 mmHg) with secondary mortality outcomes.</w:t>
      </w:r>
    </w:p>
    <w:tbl>
      <w:tblPr>
        <w:tblStyle w:val="6"/>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5160"/>
        <w:gridCol w:w="2400"/>
        <w:gridCol w:w="1800"/>
      </w:tblGrid>
      <w:tr w14:paraId="437905F6">
        <w:trPr>
          <w:tblHeader/>
        </w:trPr>
        <w:tc>
          <w:tcPr>
            <w:tcW w:w="5160" w:type="dxa"/>
            <w:tcBorders>
              <w:top w:val="single" w:color="000000" w:sz="8" w:space="0"/>
              <w:left w:val="nil"/>
              <w:bottom w:val="single" w:color="000000" w:sz="4" w:space="0"/>
              <w:right w:val="nil"/>
            </w:tcBorders>
            <w:tcMar>
              <w:top w:w="40" w:type="dxa"/>
              <w:left w:w="90" w:type="dxa"/>
              <w:bottom w:w="40" w:type="dxa"/>
              <w:right w:w="90" w:type="dxa"/>
            </w:tcMar>
          </w:tcPr>
          <w:p w14:paraId="54BB9A16">
            <w:pPr>
              <w:keepNext w:val="0"/>
              <w:keepLines w:val="0"/>
              <w:pageBreakBefore w:val="0"/>
              <w:kinsoku/>
              <w:wordWrap/>
              <w:overflowPunct/>
              <w:topLinePunct w:val="0"/>
              <w:autoSpaceDE/>
              <w:autoSpaceDN/>
              <w:bidi w:val="0"/>
              <w:adjustRightInd/>
              <w:snapToGrid/>
              <w:spacing w:after="0" w:line="480" w:lineRule="auto"/>
              <w:jc w:val="left"/>
              <w:textAlignment w:val="auto"/>
            </w:pPr>
            <w:r>
              <w:rPr>
                <w:b/>
                <w:bCs/>
                <w:sz w:val="20"/>
                <w:szCs w:val="20"/>
              </w:rPr>
              <w:t>Secondary outcome</w:t>
            </w:r>
          </w:p>
        </w:tc>
        <w:tc>
          <w:tcPr>
            <w:tcW w:w="2400" w:type="dxa"/>
            <w:tcBorders>
              <w:top w:val="single" w:color="000000" w:sz="8" w:space="0"/>
              <w:left w:val="nil"/>
              <w:bottom w:val="single" w:color="000000" w:sz="4" w:space="0"/>
              <w:right w:val="nil"/>
            </w:tcBorders>
            <w:tcMar>
              <w:top w:w="40" w:type="dxa"/>
              <w:left w:w="90" w:type="dxa"/>
              <w:bottom w:w="40" w:type="dxa"/>
              <w:right w:w="90" w:type="dxa"/>
            </w:tcMar>
          </w:tcPr>
          <w:p w14:paraId="0A39E498">
            <w:pPr>
              <w:keepNext w:val="0"/>
              <w:keepLines w:val="0"/>
              <w:pageBreakBefore w:val="0"/>
              <w:kinsoku/>
              <w:wordWrap/>
              <w:overflowPunct/>
              <w:topLinePunct w:val="0"/>
              <w:autoSpaceDE/>
              <w:autoSpaceDN/>
              <w:bidi w:val="0"/>
              <w:adjustRightInd/>
              <w:snapToGrid/>
              <w:spacing w:after="0" w:line="480" w:lineRule="auto"/>
              <w:jc w:val="center"/>
              <w:textAlignment w:val="auto"/>
            </w:pPr>
            <w:r>
              <w:rPr>
                <w:b/>
                <w:bCs/>
                <w:sz w:val="20"/>
                <w:szCs w:val="20"/>
              </w:rPr>
              <w:t>Adjusted estimate (95% CI)</w:t>
            </w:r>
          </w:p>
        </w:tc>
        <w:tc>
          <w:tcPr>
            <w:tcW w:w="1800" w:type="dxa"/>
            <w:tcBorders>
              <w:top w:val="single" w:color="000000" w:sz="8" w:space="0"/>
              <w:left w:val="nil"/>
              <w:bottom w:val="single" w:color="000000" w:sz="4" w:space="0"/>
              <w:right w:val="nil"/>
            </w:tcBorders>
            <w:tcMar>
              <w:top w:w="40" w:type="dxa"/>
              <w:left w:w="90" w:type="dxa"/>
              <w:bottom w:w="40" w:type="dxa"/>
              <w:right w:w="90" w:type="dxa"/>
            </w:tcMar>
          </w:tcPr>
          <w:p w14:paraId="45673E1D">
            <w:pPr>
              <w:keepNext w:val="0"/>
              <w:keepLines w:val="0"/>
              <w:pageBreakBefore w:val="0"/>
              <w:kinsoku/>
              <w:wordWrap/>
              <w:overflowPunct/>
              <w:topLinePunct w:val="0"/>
              <w:autoSpaceDE/>
              <w:autoSpaceDN/>
              <w:bidi w:val="0"/>
              <w:adjustRightInd/>
              <w:snapToGrid/>
              <w:spacing w:after="0" w:line="480" w:lineRule="auto"/>
              <w:jc w:val="center"/>
              <w:textAlignment w:val="auto"/>
            </w:pPr>
            <w:r>
              <w:rPr>
                <w:b/>
                <w:bCs/>
                <w:sz w:val="20"/>
                <w:szCs w:val="20"/>
              </w:rPr>
              <w:t>P-value</w:t>
            </w:r>
          </w:p>
        </w:tc>
      </w:tr>
      <w:tr w14:paraId="2DB00245">
        <w:tc>
          <w:tcPr>
            <w:tcW w:w="5160" w:type="dxa"/>
            <w:tcBorders>
              <w:top w:val="nil"/>
              <w:left w:val="nil"/>
              <w:bottom w:val="nil"/>
              <w:right w:val="nil"/>
            </w:tcBorders>
            <w:tcMar>
              <w:top w:w="40" w:type="dxa"/>
              <w:left w:w="90" w:type="dxa"/>
              <w:bottom w:w="40" w:type="dxa"/>
              <w:right w:w="90" w:type="dxa"/>
            </w:tcMar>
          </w:tcPr>
          <w:p w14:paraId="47234E29">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28-day mortality, per 10 mmHg</w:t>
            </w:r>
          </w:p>
        </w:tc>
        <w:tc>
          <w:tcPr>
            <w:tcW w:w="2400" w:type="dxa"/>
            <w:tcBorders>
              <w:top w:val="nil"/>
              <w:left w:val="nil"/>
              <w:bottom w:val="nil"/>
              <w:right w:val="nil"/>
            </w:tcBorders>
            <w:tcMar>
              <w:top w:w="40" w:type="dxa"/>
              <w:left w:w="90" w:type="dxa"/>
              <w:bottom w:w="40" w:type="dxa"/>
              <w:right w:w="90" w:type="dxa"/>
            </w:tcMar>
          </w:tcPr>
          <w:p w14:paraId="4A490DC3">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HR 1.14 (1.09–1.19)</w:t>
            </w:r>
          </w:p>
        </w:tc>
        <w:tc>
          <w:tcPr>
            <w:tcW w:w="1800" w:type="dxa"/>
            <w:tcBorders>
              <w:top w:val="nil"/>
              <w:left w:val="nil"/>
              <w:bottom w:val="nil"/>
              <w:right w:val="nil"/>
            </w:tcBorders>
            <w:tcMar>
              <w:top w:w="40" w:type="dxa"/>
              <w:left w:w="90" w:type="dxa"/>
              <w:bottom w:w="40" w:type="dxa"/>
              <w:right w:w="90" w:type="dxa"/>
            </w:tcMar>
          </w:tcPr>
          <w:p w14:paraId="40D5052D">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&lt;0.001</w:t>
            </w:r>
          </w:p>
        </w:tc>
      </w:tr>
      <w:tr w14:paraId="3CD75079">
        <w:tc>
          <w:tcPr>
            <w:tcW w:w="5160" w:type="dxa"/>
            <w:tcBorders>
              <w:top w:val="nil"/>
              <w:left w:val="nil"/>
              <w:bottom w:val="nil"/>
              <w:right w:val="nil"/>
            </w:tcBorders>
            <w:tcMar>
              <w:top w:w="40" w:type="dxa"/>
              <w:left w:w="90" w:type="dxa"/>
              <w:bottom w:w="40" w:type="dxa"/>
              <w:right w:w="90" w:type="dxa"/>
            </w:tcMar>
          </w:tcPr>
          <w:p w14:paraId="70B56DB9">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28-day mortality, &gt;50 vs ≤40 mmHg</w:t>
            </w:r>
          </w:p>
        </w:tc>
        <w:tc>
          <w:tcPr>
            <w:tcW w:w="2400" w:type="dxa"/>
            <w:tcBorders>
              <w:top w:val="nil"/>
              <w:left w:val="nil"/>
              <w:bottom w:val="nil"/>
              <w:right w:val="nil"/>
            </w:tcBorders>
            <w:tcMar>
              <w:top w:w="40" w:type="dxa"/>
              <w:left w:w="90" w:type="dxa"/>
              <w:bottom w:w="40" w:type="dxa"/>
              <w:right w:w="90" w:type="dxa"/>
            </w:tcMar>
          </w:tcPr>
          <w:p w14:paraId="0E150776">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HR 1.52 (1.32–1.75)</w:t>
            </w:r>
          </w:p>
        </w:tc>
        <w:tc>
          <w:tcPr>
            <w:tcW w:w="1800" w:type="dxa"/>
            <w:tcBorders>
              <w:top w:val="nil"/>
              <w:left w:val="nil"/>
              <w:bottom w:val="nil"/>
              <w:right w:val="nil"/>
            </w:tcBorders>
            <w:tcMar>
              <w:top w:w="40" w:type="dxa"/>
              <w:left w:w="90" w:type="dxa"/>
              <w:bottom w:w="40" w:type="dxa"/>
              <w:right w:w="90" w:type="dxa"/>
            </w:tcMar>
          </w:tcPr>
          <w:p w14:paraId="46CE16DD">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&lt;0.001</w:t>
            </w:r>
          </w:p>
        </w:tc>
      </w:tr>
      <w:tr w14:paraId="2CE08A52">
        <w:tc>
          <w:tcPr>
            <w:tcW w:w="5160" w:type="dxa"/>
            <w:tcBorders>
              <w:top w:val="nil"/>
              <w:left w:val="nil"/>
              <w:bottom w:val="nil"/>
              <w:right w:val="nil"/>
            </w:tcBorders>
            <w:tcMar>
              <w:top w:w="40" w:type="dxa"/>
              <w:left w:w="90" w:type="dxa"/>
              <w:bottom w:w="40" w:type="dxa"/>
              <w:right w:w="90" w:type="dxa"/>
            </w:tcMar>
          </w:tcPr>
          <w:p w14:paraId="473B3742">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In-hospital mortality, per 10 mmHg</w:t>
            </w:r>
          </w:p>
        </w:tc>
        <w:tc>
          <w:tcPr>
            <w:tcW w:w="2400" w:type="dxa"/>
            <w:tcBorders>
              <w:top w:val="nil"/>
              <w:left w:val="nil"/>
              <w:bottom w:val="nil"/>
              <w:right w:val="nil"/>
            </w:tcBorders>
            <w:tcMar>
              <w:top w:w="40" w:type="dxa"/>
              <w:left w:w="90" w:type="dxa"/>
              <w:bottom w:w="40" w:type="dxa"/>
              <w:right w:w="90" w:type="dxa"/>
            </w:tcMar>
          </w:tcPr>
          <w:p w14:paraId="1D23FF33">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OR 1.13 (1.07–1.20)</w:t>
            </w:r>
          </w:p>
        </w:tc>
        <w:tc>
          <w:tcPr>
            <w:tcW w:w="1800" w:type="dxa"/>
            <w:tcBorders>
              <w:top w:val="nil"/>
              <w:left w:val="nil"/>
              <w:bottom w:val="nil"/>
              <w:right w:val="nil"/>
            </w:tcBorders>
            <w:tcMar>
              <w:top w:w="40" w:type="dxa"/>
              <w:left w:w="90" w:type="dxa"/>
              <w:bottom w:w="40" w:type="dxa"/>
              <w:right w:w="90" w:type="dxa"/>
            </w:tcMar>
          </w:tcPr>
          <w:p w14:paraId="53B6F7A6">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&lt;0.001</w:t>
            </w:r>
          </w:p>
        </w:tc>
      </w:tr>
      <w:tr w14:paraId="56E19933">
        <w:tc>
          <w:tcPr>
            <w:tcW w:w="5160" w:type="dxa"/>
            <w:tcBorders>
              <w:top w:val="nil"/>
              <w:left w:val="nil"/>
              <w:bottom w:val="nil"/>
              <w:right w:val="nil"/>
            </w:tcBorders>
            <w:tcMar>
              <w:top w:w="40" w:type="dxa"/>
              <w:left w:w="90" w:type="dxa"/>
              <w:bottom w:w="40" w:type="dxa"/>
              <w:right w:w="90" w:type="dxa"/>
            </w:tcMar>
          </w:tcPr>
          <w:p w14:paraId="0F94B475">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In-hospital mortality, &gt;50 vs ≤40 mmHg</w:t>
            </w:r>
          </w:p>
        </w:tc>
        <w:tc>
          <w:tcPr>
            <w:tcW w:w="2400" w:type="dxa"/>
            <w:tcBorders>
              <w:top w:val="nil"/>
              <w:left w:val="nil"/>
              <w:bottom w:val="nil"/>
              <w:right w:val="nil"/>
            </w:tcBorders>
            <w:tcMar>
              <w:top w:w="40" w:type="dxa"/>
              <w:left w:w="90" w:type="dxa"/>
              <w:bottom w:w="40" w:type="dxa"/>
              <w:right w:w="90" w:type="dxa"/>
            </w:tcMar>
          </w:tcPr>
          <w:p w14:paraId="5274A482">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OR 1.56 (1.27–1.91)</w:t>
            </w:r>
          </w:p>
        </w:tc>
        <w:tc>
          <w:tcPr>
            <w:tcW w:w="1800" w:type="dxa"/>
            <w:tcBorders>
              <w:top w:val="nil"/>
              <w:left w:val="nil"/>
              <w:bottom w:val="nil"/>
              <w:right w:val="nil"/>
            </w:tcBorders>
            <w:tcMar>
              <w:top w:w="40" w:type="dxa"/>
              <w:left w:w="90" w:type="dxa"/>
              <w:bottom w:w="40" w:type="dxa"/>
              <w:right w:w="90" w:type="dxa"/>
            </w:tcMar>
          </w:tcPr>
          <w:p w14:paraId="6D4E1DC5">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&lt;0.001</w:t>
            </w:r>
          </w:p>
        </w:tc>
      </w:tr>
    </w:tbl>
    <w:p w14:paraId="26D914F8">
      <w:pPr>
        <w:keepNext w:val="0"/>
        <w:keepLines w:val="0"/>
        <w:pageBreakBefore w:val="0"/>
        <w:kinsoku/>
        <w:wordWrap/>
        <w:overflowPunct/>
        <w:topLinePunct w:val="0"/>
        <w:autoSpaceDE/>
        <w:autoSpaceDN/>
        <w:bidi w:val="0"/>
        <w:adjustRightInd/>
        <w:snapToGrid/>
        <w:spacing w:after="160" w:line="480" w:lineRule="auto"/>
        <w:jc w:val="both"/>
        <w:textAlignment w:val="auto"/>
      </w:pPr>
      <w:r>
        <w:rPr>
          <w:i/>
          <w:iCs/>
          <w:sz w:val="20"/>
          <w:szCs w:val="20"/>
        </w:rPr>
        <w:t>Estimated PASP was modelled continuously (per 10 mmHg) and categorically (&gt;50 versus ≤40 mmHg, the ≤40 mmHg group as reference). All models used the same covariate adjustment as the primary analysis (n=4,174); 28-day mortality was analysed by Cox proportional-hazards regression and in-hospital mortality by logistic regression. HR, hazard ratio; OR, odds ratio. Other abbreviations as in Table S1.</w:t>
      </w:r>
    </w:p>
    <w:p w14:paraId="60B74E58">
      <w:pPr>
        <w:keepNext w:val="0"/>
        <w:keepLines w:val="0"/>
        <w:pageBreakBefore w:val="0"/>
        <w:kinsoku/>
        <w:wordWrap/>
        <w:overflowPunct/>
        <w:topLinePunct w:val="0"/>
        <w:autoSpaceDE/>
        <w:autoSpaceDN/>
        <w:bidi w:val="0"/>
        <w:adjustRightInd/>
        <w:snapToGrid/>
        <w:spacing w:before="120" w:after="60" w:line="480" w:lineRule="auto"/>
        <w:jc w:val="both"/>
        <w:textAlignment w:val="auto"/>
      </w:pPr>
      <w:r>
        <w:rPr>
          <w:b/>
          <w:bCs/>
          <w:sz w:val="20"/>
          <w:szCs w:val="20"/>
        </w:rPr>
        <w:t xml:space="preserve">Table S8. </w:t>
      </w:r>
      <w:r>
        <w:rPr>
          <w:sz w:val="20"/>
          <w:szCs w:val="20"/>
        </w:rPr>
        <w:t>Baseline characteristics of patients included in versus excluded from the analytic cohort.</w:t>
      </w:r>
    </w:p>
    <w:tbl>
      <w:tblPr>
        <w:tblStyle w:val="6"/>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3960"/>
        <w:gridCol w:w="1900"/>
        <w:gridCol w:w="1900"/>
        <w:gridCol w:w="1600"/>
      </w:tblGrid>
      <w:tr w14:paraId="6E44C4B1">
        <w:trPr>
          <w:tblHeader/>
        </w:trPr>
        <w:tc>
          <w:tcPr>
            <w:tcW w:w="3960" w:type="dxa"/>
            <w:tcBorders>
              <w:top w:val="single" w:color="000000" w:sz="8" w:space="0"/>
              <w:left w:val="nil"/>
              <w:bottom w:val="single" w:color="000000" w:sz="4" w:space="0"/>
              <w:right w:val="nil"/>
            </w:tcBorders>
            <w:tcMar>
              <w:top w:w="40" w:type="dxa"/>
              <w:left w:w="90" w:type="dxa"/>
              <w:bottom w:w="40" w:type="dxa"/>
              <w:right w:w="90" w:type="dxa"/>
            </w:tcMar>
          </w:tcPr>
          <w:p w14:paraId="1BEC5CDF">
            <w:pPr>
              <w:keepNext w:val="0"/>
              <w:keepLines w:val="0"/>
              <w:pageBreakBefore w:val="0"/>
              <w:kinsoku/>
              <w:wordWrap/>
              <w:overflowPunct/>
              <w:topLinePunct w:val="0"/>
              <w:autoSpaceDE/>
              <w:autoSpaceDN/>
              <w:bidi w:val="0"/>
              <w:adjustRightInd/>
              <w:snapToGrid/>
              <w:spacing w:after="0" w:line="480" w:lineRule="auto"/>
              <w:jc w:val="left"/>
              <w:textAlignment w:val="auto"/>
            </w:pPr>
            <w:r>
              <w:rPr>
                <w:b/>
                <w:bCs/>
                <w:sz w:val="20"/>
                <w:szCs w:val="20"/>
              </w:rPr>
              <w:t>Characteristic</w:t>
            </w:r>
          </w:p>
        </w:tc>
        <w:tc>
          <w:tcPr>
            <w:tcW w:w="1900" w:type="dxa"/>
            <w:tcBorders>
              <w:top w:val="single" w:color="000000" w:sz="8" w:space="0"/>
              <w:left w:val="nil"/>
              <w:bottom w:val="single" w:color="000000" w:sz="4" w:space="0"/>
              <w:right w:val="nil"/>
            </w:tcBorders>
            <w:tcMar>
              <w:top w:w="40" w:type="dxa"/>
              <w:left w:w="90" w:type="dxa"/>
              <w:bottom w:w="40" w:type="dxa"/>
              <w:right w:w="90" w:type="dxa"/>
            </w:tcMar>
          </w:tcPr>
          <w:p w14:paraId="1539006F">
            <w:pPr>
              <w:keepNext w:val="0"/>
              <w:keepLines w:val="0"/>
              <w:pageBreakBefore w:val="0"/>
              <w:kinsoku/>
              <w:wordWrap/>
              <w:overflowPunct/>
              <w:topLinePunct w:val="0"/>
              <w:autoSpaceDE/>
              <w:autoSpaceDN/>
              <w:bidi w:val="0"/>
              <w:adjustRightInd/>
              <w:snapToGrid/>
              <w:spacing w:after="0" w:line="480" w:lineRule="auto"/>
              <w:jc w:val="center"/>
              <w:textAlignment w:val="auto"/>
            </w:pPr>
            <w:r>
              <w:rPr>
                <w:b/>
                <w:bCs/>
                <w:sz w:val="20"/>
                <w:szCs w:val="20"/>
              </w:rPr>
              <w:t>Included (n=4,174)</w:t>
            </w:r>
          </w:p>
        </w:tc>
        <w:tc>
          <w:tcPr>
            <w:tcW w:w="1900" w:type="dxa"/>
            <w:tcBorders>
              <w:top w:val="single" w:color="000000" w:sz="8" w:space="0"/>
              <w:left w:val="nil"/>
              <w:bottom w:val="single" w:color="000000" w:sz="4" w:space="0"/>
              <w:right w:val="nil"/>
            </w:tcBorders>
            <w:tcMar>
              <w:top w:w="40" w:type="dxa"/>
              <w:left w:w="90" w:type="dxa"/>
              <w:bottom w:w="40" w:type="dxa"/>
              <w:right w:w="90" w:type="dxa"/>
            </w:tcMar>
          </w:tcPr>
          <w:p w14:paraId="3C40A77B">
            <w:pPr>
              <w:keepNext w:val="0"/>
              <w:keepLines w:val="0"/>
              <w:pageBreakBefore w:val="0"/>
              <w:kinsoku/>
              <w:wordWrap/>
              <w:overflowPunct/>
              <w:topLinePunct w:val="0"/>
              <w:autoSpaceDE/>
              <w:autoSpaceDN/>
              <w:bidi w:val="0"/>
              <w:adjustRightInd/>
              <w:snapToGrid/>
              <w:spacing w:after="0" w:line="480" w:lineRule="auto"/>
              <w:jc w:val="center"/>
              <w:textAlignment w:val="auto"/>
            </w:pPr>
            <w:r>
              <w:rPr>
                <w:b/>
                <w:bCs/>
                <w:sz w:val="20"/>
                <w:szCs w:val="20"/>
              </w:rPr>
              <w:t>Excluded (n=531)</w:t>
            </w:r>
          </w:p>
        </w:tc>
        <w:tc>
          <w:tcPr>
            <w:tcW w:w="1600" w:type="dxa"/>
            <w:tcBorders>
              <w:top w:val="single" w:color="000000" w:sz="8" w:space="0"/>
              <w:left w:val="nil"/>
              <w:bottom w:val="single" w:color="000000" w:sz="4" w:space="0"/>
              <w:right w:val="nil"/>
            </w:tcBorders>
            <w:tcMar>
              <w:top w:w="40" w:type="dxa"/>
              <w:left w:w="90" w:type="dxa"/>
              <w:bottom w:w="40" w:type="dxa"/>
              <w:right w:w="90" w:type="dxa"/>
            </w:tcMar>
          </w:tcPr>
          <w:p w14:paraId="79BCDDEC">
            <w:pPr>
              <w:keepNext w:val="0"/>
              <w:keepLines w:val="0"/>
              <w:pageBreakBefore w:val="0"/>
              <w:kinsoku/>
              <w:wordWrap/>
              <w:overflowPunct/>
              <w:topLinePunct w:val="0"/>
              <w:autoSpaceDE/>
              <w:autoSpaceDN/>
              <w:bidi w:val="0"/>
              <w:adjustRightInd/>
              <w:snapToGrid/>
              <w:spacing w:after="0" w:line="480" w:lineRule="auto"/>
              <w:jc w:val="center"/>
              <w:textAlignment w:val="auto"/>
            </w:pPr>
            <w:r>
              <w:rPr>
                <w:b/>
                <w:bCs/>
                <w:sz w:val="20"/>
                <w:szCs w:val="20"/>
              </w:rPr>
              <w:t>SMD</w:t>
            </w:r>
          </w:p>
        </w:tc>
      </w:tr>
      <w:tr w14:paraId="116AA3B2">
        <w:tc>
          <w:tcPr>
            <w:tcW w:w="3960" w:type="dxa"/>
            <w:tcBorders>
              <w:top w:val="nil"/>
              <w:left w:val="nil"/>
              <w:bottom w:val="nil"/>
              <w:right w:val="nil"/>
            </w:tcBorders>
            <w:tcMar>
              <w:top w:w="40" w:type="dxa"/>
              <w:left w:w="90" w:type="dxa"/>
              <w:bottom w:w="40" w:type="dxa"/>
              <w:right w:w="90" w:type="dxa"/>
            </w:tcMar>
          </w:tcPr>
          <w:p w14:paraId="4B714082">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Age, years</w:t>
            </w:r>
          </w:p>
        </w:tc>
        <w:tc>
          <w:tcPr>
            <w:tcW w:w="1900" w:type="dxa"/>
            <w:tcBorders>
              <w:top w:val="nil"/>
              <w:left w:val="nil"/>
              <w:bottom w:val="nil"/>
              <w:right w:val="nil"/>
            </w:tcBorders>
            <w:tcMar>
              <w:top w:w="40" w:type="dxa"/>
              <w:left w:w="90" w:type="dxa"/>
              <w:bottom w:w="40" w:type="dxa"/>
              <w:right w:w="90" w:type="dxa"/>
            </w:tcMar>
          </w:tcPr>
          <w:p w14:paraId="5812D7CC">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67.4 (15.9)</w:t>
            </w:r>
          </w:p>
        </w:tc>
        <w:tc>
          <w:tcPr>
            <w:tcW w:w="1900" w:type="dxa"/>
            <w:tcBorders>
              <w:top w:val="nil"/>
              <w:left w:val="nil"/>
              <w:bottom w:val="nil"/>
              <w:right w:val="nil"/>
            </w:tcBorders>
            <w:tcMar>
              <w:top w:w="40" w:type="dxa"/>
              <w:left w:w="90" w:type="dxa"/>
              <w:bottom w:w="40" w:type="dxa"/>
              <w:right w:w="90" w:type="dxa"/>
            </w:tcMar>
          </w:tcPr>
          <w:p w14:paraId="5EEEC116">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67.0 (15.4)</w:t>
            </w:r>
          </w:p>
        </w:tc>
        <w:tc>
          <w:tcPr>
            <w:tcW w:w="1600" w:type="dxa"/>
            <w:tcBorders>
              <w:top w:val="nil"/>
              <w:left w:val="nil"/>
              <w:bottom w:val="nil"/>
              <w:right w:val="nil"/>
            </w:tcBorders>
            <w:tcMar>
              <w:top w:w="40" w:type="dxa"/>
              <w:left w:w="90" w:type="dxa"/>
              <w:bottom w:w="40" w:type="dxa"/>
              <w:right w:w="90" w:type="dxa"/>
            </w:tcMar>
          </w:tcPr>
          <w:p w14:paraId="0BB01662">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0.03</w:t>
            </w:r>
          </w:p>
        </w:tc>
      </w:tr>
      <w:tr w14:paraId="16EE1D5A">
        <w:tc>
          <w:tcPr>
            <w:tcW w:w="3960" w:type="dxa"/>
            <w:tcBorders>
              <w:top w:val="nil"/>
              <w:left w:val="nil"/>
              <w:bottom w:val="nil"/>
              <w:right w:val="nil"/>
            </w:tcBorders>
            <w:tcMar>
              <w:top w:w="40" w:type="dxa"/>
              <w:left w:w="90" w:type="dxa"/>
              <w:bottom w:w="40" w:type="dxa"/>
              <w:right w:w="90" w:type="dxa"/>
            </w:tcMar>
          </w:tcPr>
          <w:p w14:paraId="363A2D7D">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Male sex, n (%)</w:t>
            </w:r>
          </w:p>
        </w:tc>
        <w:tc>
          <w:tcPr>
            <w:tcW w:w="1900" w:type="dxa"/>
            <w:tcBorders>
              <w:top w:val="nil"/>
              <w:left w:val="nil"/>
              <w:bottom w:val="nil"/>
              <w:right w:val="nil"/>
            </w:tcBorders>
            <w:tcMar>
              <w:top w:w="40" w:type="dxa"/>
              <w:left w:w="90" w:type="dxa"/>
              <w:bottom w:w="40" w:type="dxa"/>
              <w:right w:w="90" w:type="dxa"/>
            </w:tcMar>
          </w:tcPr>
          <w:p w14:paraId="19D07C7F">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2,198 (52.7)</w:t>
            </w:r>
          </w:p>
        </w:tc>
        <w:tc>
          <w:tcPr>
            <w:tcW w:w="1900" w:type="dxa"/>
            <w:tcBorders>
              <w:top w:val="nil"/>
              <w:left w:val="nil"/>
              <w:bottom w:val="nil"/>
              <w:right w:val="nil"/>
            </w:tcBorders>
            <w:tcMar>
              <w:top w:w="40" w:type="dxa"/>
              <w:left w:w="90" w:type="dxa"/>
              <w:bottom w:w="40" w:type="dxa"/>
              <w:right w:w="90" w:type="dxa"/>
            </w:tcMar>
          </w:tcPr>
          <w:p w14:paraId="6BA84D65">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308 (58.0)</w:t>
            </w:r>
          </w:p>
        </w:tc>
        <w:tc>
          <w:tcPr>
            <w:tcW w:w="1600" w:type="dxa"/>
            <w:tcBorders>
              <w:top w:val="nil"/>
              <w:left w:val="nil"/>
              <w:bottom w:val="nil"/>
              <w:right w:val="nil"/>
            </w:tcBorders>
            <w:tcMar>
              <w:top w:w="40" w:type="dxa"/>
              <w:left w:w="90" w:type="dxa"/>
              <w:bottom w:w="40" w:type="dxa"/>
              <w:right w:w="90" w:type="dxa"/>
            </w:tcMar>
          </w:tcPr>
          <w:p w14:paraId="5EBFC4C8">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0.11</w:t>
            </w:r>
          </w:p>
        </w:tc>
      </w:tr>
      <w:tr w14:paraId="0830BE80">
        <w:tc>
          <w:tcPr>
            <w:tcW w:w="3960" w:type="dxa"/>
            <w:tcBorders>
              <w:top w:val="nil"/>
              <w:left w:val="nil"/>
              <w:bottom w:val="nil"/>
              <w:right w:val="nil"/>
            </w:tcBorders>
            <w:tcMar>
              <w:top w:w="40" w:type="dxa"/>
              <w:left w:w="90" w:type="dxa"/>
              <w:bottom w:w="40" w:type="dxa"/>
              <w:right w:w="90" w:type="dxa"/>
            </w:tcMar>
          </w:tcPr>
          <w:p w14:paraId="646FF7A0">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SOFA score</w:t>
            </w:r>
          </w:p>
        </w:tc>
        <w:tc>
          <w:tcPr>
            <w:tcW w:w="1900" w:type="dxa"/>
            <w:tcBorders>
              <w:top w:val="nil"/>
              <w:left w:val="nil"/>
              <w:bottom w:val="nil"/>
              <w:right w:val="nil"/>
            </w:tcBorders>
            <w:tcMar>
              <w:top w:w="40" w:type="dxa"/>
              <w:left w:w="90" w:type="dxa"/>
              <w:bottom w:w="40" w:type="dxa"/>
              <w:right w:w="90" w:type="dxa"/>
            </w:tcMar>
          </w:tcPr>
          <w:p w14:paraId="696B97AF">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6.9 (3.8)</w:t>
            </w:r>
          </w:p>
        </w:tc>
        <w:tc>
          <w:tcPr>
            <w:tcW w:w="1900" w:type="dxa"/>
            <w:tcBorders>
              <w:top w:val="nil"/>
              <w:left w:val="nil"/>
              <w:bottom w:val="nil"/>
              <w:right w:val="nil"/>
            </w:tcBorders>
            <w:tcMar>
              <w:top w:w="40" w:type="dxa"/>
              <w:left w:w="90" w:type="dxa"/>
              <w:bottom w:w="40" w:type="dxa"/>
              <w:right w:w="90" w:type="dxa"/>
            </w:tcMar>
          </w:tcPr>
          <w:p w14:paraId="37196A75">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6.6 (3.7)</w:t>
            </w:r>
          </w:p>
        </w:tc>
        <w:tc>
          <w:tcPr>
            <w:tcW w:w="1600" w:type="dxa"/>
            <w:tcBorders>
              <w:top w:val="nil"/>
              <w:left w:val="nil"/>
              <w:bottom w:val="nil"/>
              <w:right w:val="nil"/>
            </w:tcBorders>
            <w:tcMar>
              <w:top w:w="40" w:type="dxa"/>
              <w:left w:w="90" w:type="dxa"/>
              <w:bottom w:w="40" w:type="dxa"/>
              <w:right w:w="90" w:type="dxa"/>
            </w:tcMar>
          </w:tcPr>
          <w:p w14:paraId="54AC5E5D">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0.09</w:t>
            </w:r>
          </w:p>
        </w:tc>
      </w:tr>
      <w:tr w14:paraId="77EA492B">
        <w:tc>
          <w:tcPr>
            <w:tcW w:w="3960" w:type="dxa"/>
            <w:tcBorders>
              <w:top w:val="nil"/>
              <w:left w:val="nil"/>
              <w:bottom w:val="nil"/>
              <w:right w:val="nil"/>
            </w:tcBorders>
            <w:tcMar>
              <w:top w:w="40" w:type="dxa"/>
              <w:left w:w="90" w:type="dxa"/>
              <w:bottom w:w="40" w:type="dxa"/>
              <w:right w:w="90" w:type="dxa"/>
            </w:tcMar>
          </w:tcPr>
          <w:p w14:paraId="4689F57F">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Charlson comorbidity index</w:t>
            </w:r>
          </w:p>
        </w:tc>
        <w:tc>
          <w:tcPr>
            <w:tcW w:w="1900" w:type="dxa"/>
            <w:tcBorders>
              <w:top w:val="nil"/>
              <w:left w:val="nil"/>
              <w:bottom w:val="nil"/>
              <w:right w:val="nil"/>
            </w:tcBorders>
            <w:tcMar>
              <w:top w:w="40" w:type="dxa"/>
              <w:left w:w="90" w:type="dxa"/>
              <w:bottom w:w="40" w:type="dxa"/>
              <w:right w:w="90" w:type="dxa"/>
            </w:tcMar>
          </w:tcPr>
          <w:p w14:paraId="7BFB9268">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6.1 (2.9)</w:t>
            </w:r>
          </w:p>
        </w:tc>
        <w:tc>
          <w:tcPr>
            <w:tcW w:w="1900" w:type="dxa"/>
            <w:tcBorders>
              <w:top w:val="nil"/>
              <w:left w:val="nil"/>
              <w:bottom w:val="nil"/>
              <w:right w:val="nil"/>
            </w:tcBorders>
            <w:tcMar>
              <w:top w:w="40" w:type="dxa"/>
              <w:left w:w="90" w:type="dxa"/>
              <w:bottom w:w="40" w:type="dxa"/>
              <w:right w:w="90" w:type="dxa"/>
            </w:tcMar>
          </w:tcPr>
          <w:p w14:paraId="2CC65C1F">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6.2 (2.8)</w:t>
            </w:r>
          </w:p>
        </w:tc>
        <w:tc>
          <w:tcPr>
            <w:tcW w:w="1600" w:type="dxa"/>
            <w:tcBorders>
              <w:top w:val="nil"/>
              <w:left w:val="nil"/>
              <w:bottom w:val="nil"/>
              <w:right w:val="nil"/>
            </w:tcBorders>
            <w:tcMar>
              <w:top w:w="40" w:type="dxa"/>
              <w:left w:w="90" w:type="dxa"/>
              <w:bottom w:w="40" w:type="dxa"/>
              <w:right w:w="90" w:type="dxa"/>
            </w:tcMar>
          </w:tcPr>
          <w:p w14:paraId="5FFA2B23">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0.04</w:t>
            </w:r>
          </w:p>
        </w:tc>
      </w:tr>
      <w:tr w14:paraId="4BF214CE">
        <w:tc>
          <w:tcPr>
            <w:tcW w:w="3960" w:type="dxa"/>
            <w:tcBorders>
              <w:top w:val="nil"/>
              <w:left w:val="nil"/>
              <w:bottom w:val="nil"/>
              <w:right w:val="nil"/>
            </w:tcBorders>
            <w:tcMar>
              <w:top w:w="40" w:type="dxa"/>
              <w:left w:w="90" w:type="dxa"/>
              <w:bottom w:w="40" w:type="dxa"/>
              <w:right w:w="90" w:type="dxa"/>
            </w:tcMar>
          </w:tcPr>
          <w:p w14:paraId="14925A93">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Estimated PASP, mmHg</w:t>
            </w:r>
          </w:p>
        </w:tc>
        <w:tc>
          <w:tcPr>
            <w:tcW w:w="1900" w:type="dxa"/>
            <w:tcBorders>
              <w:top w:val="nil"/>
              <w:left w:val="nil"/>
              <w:bottom w:val="nil"/>
              <w:right w:val="nil"/>
            </w:tcBorders>
            <w:tcMar>
              <w:top w:w="40" w:type="dxa"/>
              <w:left w:w="90" w:type="dxa"/>
              <w:bottom w:w="40" w:type="dxa"/>
              <w:right w:w="90" w:type="dxa"/>
            </w:tcMar>
          </w:tcPr>
          <w:p w14:paraId="7EA322F6">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38.1 (12.5)</w:t>
            </w:r>
          </w:p>
        </w:tc>
        <w:tc>
          <w:tcPr>
            <w:tcW w:w="1900" w:type="dxa"/>
            <w:tcBorders>
              <w:top w:val="nil"/>
              <w:left w:val="nil"/>
              <w:bottom w:val="nil"/>
              <w:right w:val="nil"/>
            </w:tcBorders>
            <w:tcMar>
              <w:top w:w="40" w:type="dxa"/>
              <w:left w:w="90" w:type="dxa"/>
              <w:bottom w:w="40" w:type="dxa"/>
              <w:right w:w="90" w:type="dxa"/>
            </w:tcMar>
          </w:tcPr>
          <w:p w14:paraId="3E141427">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42.4 (15.0)</w:t>
            </w:r>
          </w:p>
        </w:tc>
        <w:tc>
          <w:tcPr>
            <w:tcW w:w="1600" w:type="dxa"/>
            <w:tcBorders>
              <w:top w:val="nil"/>
              <w:left w:val="nil"/>
              <w:bottom w:val="nil"/>
              <w:right w:val="nil"/>
            </w:tcBorders>
            <w:tcMar>
              <w:top w:w="40" w:type="dxa"/>
              <w:left w:w="90" w:type="dxa"/>
              <w:bottom w:w="40" w:type="dxa"/>
              <w:right w:w="90" w:type="dxa"/>
            </w:tcMar>
          </w:tcPr>
          <w:p w14:paraId="42224BE6">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0.31</w:t>
            </w:r>
          </w:p>
        </w:tc>
      </w:tr>
      <w:tr w14:paraId="2A321F85">
        <w:tc>
          <w:tcPr>
            <w:tcW w:w="3960" w:type="dxa"/>
            <w:tcBorders>
              <w:top w:val="nil"/>
              <w:left w:val="nil"/>
              <w:bottom w:val="nil"/>
              <w:right w:val="nil"/>
            </w:tcBorders>
            <w:tcMar>
              <w:top w:w="40" w:type="dxa"/>
              <w:left w:w="90" w:type="dxa"/>
              <w:bottom w:w="40" w:type="dxa"/>
              <w:right w:w="90" w:type="dxa"/>
            </w:tcMar>
          </w:tcPr>
          <w:p w14:paraId="08DE4174">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Pulmonary source of sepsis, n (%)</w:t>
            </w:r>
          </w:p>
        </w:tc>
        <w:tc>
          <w:tcPr>
            <w:tcW w:w="1900" w:type="dxa"/>
            <w:tcBorders>
              <w:top w:val="nil"/>
              <w:left w:val="nil"/>
              <w:bottom w:val="nil"/>
              <w:right w:val="nil"/>
            </w:tcBorders>
            <w:tcMar>
              <w:top w:w="40" w:type="dxa"/>
              <w:left w:w="90" w:type="dxa"/>
              <w:bottom w:w="40" w:type="dxa"/>
              <w:right w:w="90" w:type="dxa"/>
            </w:tcMar>
          </w:tcPr>
          <w:p w14:paraId="03C2EC76">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1,557 (37.3)</w:t>
            </w:r>
          </w:p>
        </w:tc>
        <w:tc>
          <w:tcPr>
            <w:tcW w:w="1900" w:type="dxa"/>
            <w:tcBorders>
              <w:top w:val="nil"/>
              <w:left w:val="nil"/>
              <w:bottom w:val="nil"/>
              <w:right w:val="nil"/>
            </w:tcBorders>
            <w:tcMar>
              <w:top w:w="40" w:type="dxa"/>
              <w:left w:w="90" w:type="dxa"/>
              <w:bottom w:w="40" w:type="dxa"/>
              <w:right w:w="90" w:type="dxa"/>
            </w:tcMar>
          </w:tcPr>
          <w:p w14:paraId="62636B30">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196 (36.9)</w:t>
            </w:r>
          </w:p>
        </w:tc>
        <w:tc>
          <w:tcPr>
            <w:tcW w:w="1600" w:type="dxa"/>
            <w:tcBorders>
              <w:top w:val="nil"/>
              <w:left w:val="nil"/>
              <w:bottom w:val="nil"/>
              <w:right w:val="nil"/>
            </w:tcBorders>
            <w:tcMar>
              <w:top w:w="40" w:type="dxa"/>
              <w:left w:w="90" w:type="dxa"/>
              <w:bottom w:w="40" w:type="dxa"/>
              <w:right w:w="90" w:type="dxa"/>
            </w:tcMar>
          </w:tcPr>
          <w:p w14:paraId="285A3315">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0.01</w:t>
            </w:r>
          </w:p>
        </w:tc>
      </w:tr>
      <w:tr w14:paraId="24C5A197">
        <w:tc>
          <w:tcPr>
            <w:tcW w:w="3960" w:type="dxa"/>
            <w:tcBorders>
              <w:top w:val="nil"/>
              <w:left w:val="nil"/>
              <w:bottom w:val="nil"/>
              <w:right w:val="nil"/>
            </w:tcBorders>
            <w:tcMar>
              <w:top w:w="40" w:type="dxa"/>
              <w:left w:w="90" w:type="dxa"/>
              <w:bottom w:w="40" w:type="dxa"/>
              <w:right w:w="90" w:type="dxa"/>
            </w:tcMar>
          </w:tcPr>
          <w:p w14:paraId="58491720">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Invasive ventilation at baseline, n (%)</w:t>
            </w:r>
          </w:p>
        </w:tc>
        <w:tc>
          <w:tcPr>
            <w:tcW w:w="1900" w:type="dxa"/>
            <w:tcBorders>
              <w:top w:val="nil"/>
              <w:left w:val="nil"/>
              <w:bottom w:val="nil"/>
              <w:right w:val="nil"/>
            </w:tcBorders>
            <w:tcMar>
              <w:top w:w="40" w:type="dxa"/>
              <w:left w:w="90" w:type="dxa"/>
              <w:bottom w:w="40" w:type="dxa"/>
              <w:right w:w="90" w:type="dxa"/>
            </w:tcMar>
          </w:tcPr>
          <w:p w14:paraId="620BC398">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1,541 (36.9)</w:t>
            </w:r>
          </w:p>
        </w:tc>
        <w:tc>
          <w:tcPr>
            <w:tcW w:w="1900" w:type="dxa"/>
            <w:tcBorders>
              <w:top w:val="nil"/>
              <w:left w:val="nil"/>
              <w:bottom w:val="nil"/>
              <w:right w:val="nil"/>
            </w:tcBorders>
            <w:tcMar>
              <w:top w:w="40" w:type="dxa"/>
              <w:left w:w="90" w:type="dxa"/>
              <w:bottom w:w="40" w:type="dxa"/>
              <w:right w:w="90" w:type="dxa"/>
            </w:tcMar>
          </w:tcPr>
          <w:p w14:paraId="4EFB642E">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157 (29.6)</w:t>
            </w:r>
          </w:p>
        </w:tc>
        <w:tc>
          <w:tcPr>
            <w:tcW w:w="1600" w:type="dxa"/>
            <w:tcBorders>
              <w:top w:val="nil"/>
              <w:left w:val="nil"/>
              <w:bottom w:val="nil"/>
              <w:right w:val="nil"/>
            </w:tcBorders>
            <w:tcMar>
              <w:top w:w="40" w:type="dxa"/>
              <w:left w:w="90" w:type="dxa"/>
              <w:bottom w:w="40" w:type="dxa"/>
              <w:right w:w="90" w:type="dxa"/>
            </w:tcMar>
          </w:tcPr>
          <w:p w14:paraId="757E8914">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0.16</w:t>
            </w:r>
          </w:p>
        </w:tc>
      </w:tr>
      <w:tr w14:paraId="4870D8F0">
        <w:tc>
          <w:tcPr>
            <w:tcW w:w="3960" w:type="dxa"/>
            <w:tcBorders>
              <w:top w:val="nil"/>
              <w:left w:val="nil"/>
              <w:bottom w:val="nil"/>
              <w:right w:val="nil"/>
            </w:tcBorders>
            <w:tcMar>
              <w:top w:w="40" w:type="dxa"/>
              <w:left w:w="90" w:type="dxa"/>
              <w:bottom w:w="40" w:type="dxa"/>
              <w:right w:w="90" w:type="dxa"/>
            </w:tcMar>
          </w:tcPr>
          <w:p w14:paraId="21971A6A">
            <w:pPr>
              <w:keepNext w:val="0"/>
              <w:keepLines w:val="0"/>
              <w:pageBreakBefore w:val="0"/>
              <w:kinsoku/>
              <w:wordWrap/>
              <w:overflowPunct/>
              <w:topLinePunct w:val="0"/>
              <w:autoSpaceDE/>
              <w:autoSpaceDN/>
              <w:bidi w:val="0"/>
              <w:adjustRightInd/>
              <w:snapToGrid/>
              <w:spacing w:after="0" w:line="480" w:lineRule="auto"/>
              <w:jc w:val="left"/>
              <w:textAlignment w:val="auto"/>
            </w:pPr>
            <w:r>
              <w:rPr>
                <w:b w:val="0"/>
                <w:sz w:val="20"/>
                <w:szCs w:val="20"/>
              </w:rPr>
              <w:t>90-day mortality, n (%)</w:t>
            </w:r>
          </w:p>
        </w:tc>
        <w:tc>
          <w:tcPr>
            <w:tcW w:w="1900" w:type="dxa"/>
            <w:tcBorders>
              <w:top w:val="nil"/>
              <w:left w:val="nil"/>
              <w:bottom w:val="nil"/>
              <w:right w:val="nil"/>
            </w:tcBorders>
            <w:tcMar>
              <w:top w:w="40" w:type="dxa"/>
              <w:left w:w="90" w:type="dxa"/>
              <w:bottom w:w="40" w:type="dxa"/>
              <w:right w:w="90" w:type="dxa"/>
            </w:tcMar>
          </w:tcPr>
          <w:p w14:paraId="66D97678">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1,599 (38.3)</w:t>
            </w:r>
          </w:p>
        </w:tc>
        <w:tc>
          <w:tcPr>
            <w:tcW w:w="1900" w:type="dxa"/>
            <w:tcBorders>
              <w:top w:val="nil"/>
              <w:left w:val="nil"/>
              <w:bottom w:val="nil"/>
              <w:right w:val="nil"/>
            </w:tcBorders>
            <w:tcMar>
              <w:top w:w="40" w:type="dxa"/>
              <w:left w:w="90" w:type="dxa"/>
              <w:bottom w:w="40" w:type="dxa"/>
              <w:right w:w="90" w:type="dxa"/>
            </w:tcMar>
          </w:tcPr>
          <w:p w14:paraId="5DA1408C">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150 (28.2)</w:t>
            </w:r>
          </w:p>
        </w:tc>
        <w:tc>
          <w:tcPr>
            <w:tcW w:w="1600" w:type="dxa"/>
            <w:tcBorders>
              <w:top w:val="nil"/>
              <w:left w:val="nil"/>
              <w:bottom w:val="nil"/>
              <w:right w:val="nil"/>
            </w:tcBorders>
            <w:tcMar>
              <w:top w:w="40" w:type="dxa"/>
              <w:left w:w="90" w:type="dxa"/>
              <w:bottom w:w="40" w:type="dxa"/>
              <w:right w:w="90" w:type="dxa"/>
            </w:tcMar>
          </w:tcPr>
          <w:p w14:paraId="76E32FCF">
            <w:pPr>
              <w:keepNext w:val="0"/>
              <w:keepLines w:val="0"/>
              <w:pageBreakBefore w:val="0"/>
              <w:kinsoku/>
              <w:wordWrap/>
              <w:overflowPunct/>
              <w:topLinePunct w:val="0"/>
              <w:autoSpaceDE/>
              <w:autoSpaceDN/>
              <w:bidi w:val="0"/>
              <w:adjustRightInd/>
              <w:snapToGrid/>
              <w:spacing w:after="0" w:line="480" w:lineRule="auto"/>
              <w:jc w:val="center"/>
              <w:textAlignment w:val="auto"/>
            </w:pPr>
            <w:r>
              <w:rPr>
                <w:b w:val="0"/>
                <w:sz w:val="20"/>
                <w:szCs w:val="20"/>
              </w:rPr>
              <w:t>0.22</w:t>
            </w:r>
          </w:p>
        </w:tc>
      </w:tr>
    </w:tbl>
    <w:p w14:paraId="0C43F298">
      <w:pPr>
        <w:keepNext w:val="0"/>
        <w:keepLines w:val="0"/>
        <w:pageBreakBefore w:val="0"/>
        <w:kinsoku/>
        <w:wordWrap/>
        <w:overflowPunct/>
        <w:topLinePunct w:val="0"/>
        <w:autoSpaceDE/>
        <w:autoSpaceDN/>
        <w:bidi w:val="0"/>
        <w:adjustRightInd/>
        <w:snapToGrid/>
        <w:spacing w:after="160" w:line="480" w:lineRule="auto"/>
        <w:jc w:val="both"/>
        <w:textAlignment w:val="auto"/>
      </w:pPr>
      <w:r>
        <w:rPr>
          <w:i/>
          <w:iCs/>
          <w:sz w:val="20"/>
          <w:szCs w:val="20"/>
        </w:rPr>
        <w:t>Data are mean (standard deviation) or n (%). Excluded patients had a prosthetic heart valve, congenital heart disease, a prior heart or lung transplant, or mechanical circulatory support. SMD, standardised mean difference between included and excluded patients; other abbreviations as in Table S1.</w:t>
      </w:r>
    </w:p>
    <w:p w14:paraId="186185B6">
      <w:pPr>
        <w:pStyle w:val="2"/>
        <w:keepNext w:val="0"/>
        <w:keepLines w:val="0"/>
        <w:pageBreakBefore w:val="0"/>
        <w:kinsoku/>
        <w:wordWrap/>
        <w:overflowPunct/>
        <w:topLinePunct w:val="0"/>
        <w:autoSpaceDE/>
        <w:autoSpaceDN/>
        <w:bidi w:val="0"/>
        <w:adjustRightInd/>
        <w:snapToGrid/>
        <w:spacing w:line="480" w:lineRule="auto"/>
        <w:textAlignment w:val="auto"/>
      </w:pPr>
      <w:r>
        <w:t>Supplementary Figures</w:t>
      </w:r>
    </w:p>
    <w:p w14:paraId="4851ECA1">
      <w:pPr>
        <w:keepNext w:val="0"/>
        <w:keepLines w:val="0"/>
        <w:pageBreakBefore w:val="0"/>
        <w:kinsoku/>
        <w:wordWrap/>
        <w:overflowPunct/>
        <w:topLinePunct w:val="0"/>
        <w:autoSpaceDE/>
        <w:autoSpaceDN/>
        <w:bidi w:val="0"/>
        <w:adjustRightInd/>
        <w:snapToGrid/>
        <w:spacing w:after="120" w:line="480" w:lineRule="auto"/>
        <w:jc w:val="both"/>
        <w:textAlignment w:val="auto"/>
      </w:pPr>
      <w:r>
        <w:rPr>
          <w:b/>
          <w:bCs/>
          <w:i/>
          <w:iCs/>
          <w:sz w:val="20"/>
          <w:szCs w:val="20"/>
        </w:rPr>
        <w:drawing>
          <wp:inline distT="0" distB="0" distL="114300" distR="114300">
            <wp:extent cx="5940425" cy="3597910"/>
            <wp:effectExtent l="0" t="0" r="3175" b="8890"/>
            <wp:docPr id="1" name="图片 1" descr="Figur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S1"/>
                    <pic:cNvPicPr>
                      <a:picLocks noChangeAspect="1"/>
                    </pic:cNvPicPr>
                  </pic:nvPicPr>
                  <pic:blipFill>
                    <a:blip r:embed="rId5"/>
                    <a:stretch>
                      <a:fillRect/>
                    </a:stretch>
                  </pic:blipFill>
                  <pic:spPr>
                    <a:xfrm>
                      <a:off x="0" y="0"/>
                      <a:ext cx="5940425" cy="3597910"/>
                    </a:xfrm>
                    <a:prstGeom prst="rect">
                      <a:avLst/>
                    </a:prstGeom>
                  </pic:spPr>
                </pic:pic>
              </a:graphicData>
            </a:graphic>
          </wp:inline>
        </w:drawing>
      </w:r>
      <w:r>
        <w:rPr>
          <w:b/>
          <w:bCs/>
          <w:i/>
          <w:iCs/>
          <w:sz w:val="20"/>
          <w:szCs w:val="20"/>
        </w:rPr>
        <w:t>Fig</w:t>
      </w:r>
      <w:r>
        <w:rPr>
          <w:rFonts w:hint="eastAsia" w:eastAsia="宋体"/>
          <w:b/>
          <w:bCs/>
          <w:i/>
          <w:iCs/>
          <w:sz w:val="20"/>
          <w:szCs w:val="20"/>
          <w:lang w:val="en-US" w:eastAsia="zh-CN"/>
        </w:rPr>
        <w:t>.</w:t>
      </w:r>
      <w:r>
        <w:rPr>
          <w:b/>
          <w:bCs/>
          <w:i/>
          <w:iCs/>
          <w:sz w:val="20"/>
          <w:szCs w:val="20"/>
        </w:rPr>
        <w:t xml:space="preserve"> S1. </w:t>
      </w:r>
      <w:r>
        <w:rPr>
          <w:i/>
          <w:iCs/>
          <w:sz w:val="20"/>
          <w:szCs w:val="20"/>
        </w:rPr>
        <w:t>Adjusted hazard ratios for 90-day all-cause mortality per 10-mmHg increment in estimated pulmonary artery systolic pressure, within predefined subgroups. Each estimate derives from a separate Cox model adjusted for the full covariate set; points are the hazard ratios and horizontal bars the 95% confidence intervals, with the dashed vertical line marking the null (hazard ratio = 1). The x-axis is plotted on a logarithmic scale. Corresponding sample sizes and interaction P values are listed in Supplementary Table S4.</w:t>
      </w:r>
    </w:p>
    <w:p w14:paraId="0FB399ED">
      <w:pPr>
        <w:keepNext w:val="0"/>
        <w:keepLines w:val="0"/>
        <w:pageBreakBefore w:val="0"/>
        <w:kinsoku/>
        <w:wordWrap/>
        <w:overflowPunct/>
        <w:topLinePunct w:val="0"/>
        <w:autoSpaceDE/>
        <w:autoSpaceDN/>
        <w:bidi w:val="0"/>
        <w:adjustRightInd/>
        <w:snapToGrid/>
        <w:spacing w:after="0" w:line="480" w:lineRule="auto"/>
        <w:textAlignment w:val="auto"/>
      </w:pPr>
      <w:r>
        <w:rPr>
          <w:rFonts w:hint="eastAsia" w:eastAsia="宋体"/>
          <w:lang w:eastAsia="zh-CN"/>
        </w:rPr>
        <w:drawing>
          <wp:inline distT="0" distB="0" distL="114300" distR="114300">
            <wp:extent cx="5673725" cy="4166870"/>
            <wp:effectExtent l="0" t="0" r="15875" b="24130"/>
            <wp:docPr id="4" name="图片 4" descr="Figure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S2"/>
                    <pic:cNvPicPr>
                      <a:picLocks noChangeAspect="1"/>
                    </pic:cNvPicPr>
                  </pic:nvPicPr>
                  <pic:blipFill>
                    <a:blip r:embed="rId6"/>
                    <a:stretch>
                      <a:fillRect/>
                    </a:stretch>
                  </pic:blipFill>
                  <pic:spPr>
                    <a:xfrm>
                      <a:off x="0" y="0"/>
                      <a:ext cx="5673725" cy="4166870"/>
                    </a:xfrm>
                    <a:prstGeom prst="rect">
                      <a:avLst/>
                    </a:prstGeom>
                  </pic:spPr>
                </pic:pic>
              </a:graphicData>
            </a:graphic>
          </wp:inline>
        </w:drawing>
      </w:r>
    </w:p>
    <w:p w14:paraId="62B7DAC3">
      <w:pPr>
        <w:keepNext w:val="0"/>
        <w:keepLines w:val="0"/>
        <w:pageBreakBefore w:val="0"/>
        <w:kinsoku/>
        <w:wordWrap/>
        <w:overflowPunct/>
        <w:topLinePunct w:val="0"/>
        <w:autoSpaceDE/>
        <w:autoSpaceDN/>
        <w:bidi w:val="0"/>
        <w:adjustRightInd/>
        <w:snapToGrid/>
        <w:spacing w:after="120" w:line="480" w:lineRule="auto"/>
        <w:jc w:val="both"/>
        <w:textAlignment w:val="auto"/>
      </w:pPr>
      <w:r>
        <w:rPr>
          <w:b/>
          <w:bCs/>
          <w:i/>
          <w:iCs/>
          <w:sz w:val="20"/>
          <w:szCs w:val="20"/>
        </w:rPr>
        <w:t>Fig</w:t>
      </w:r>
      <w:r>
        <w:rPr>
          <w:rFonts w:hint="eastAsia" w:eastAsia="宋体"/>
          <w:b/>
          <w:bCs/>
          <w:i/>
          <w:iCs/>
          <w:sz w:val="20"/>
          <w:szCs w:val="20"/>
          <w:lang w:val="en-US" w:eastAsia="zh-CN"/>
        </w:rPr>
        <w:t>.</w:t>
      </w:r>
      <w:r>
        <w:rPr>
          <w:b/>
          <w:bCs/>
          <w:i/>
          <w:iCs/>
          <w:sz w:val="20"/>
          <w:szCs w:val="20"/>
        </w:rPr>
        <w:t xml:space="preserve"> S2. </w:t>
      </w:r>
      <w:r>
        <w:rPr>
          <w:i/>
          <w:iCs/>
          <w:sz w:val="20"/>
          <w:szCs w:val="20"/>
        </w:rPr>
        <w:t>Decision-curve analysis for the prediction of 90-day mortality, comparing a baseline clinical model (age, SOFA score, lactate, and left ventricular ejection fraction) with the same model augmented by estimated pulmonary artery systolic pressure. Net benefit is plotted against the threshold probability; the “treat-all” and “treat-none” strategies are shown for reference. Across the range of clinically plausible thresholds (0.20–0.60), the PASP-augmented model yielded a small but consistent increase in net benefit. The analysis used the complete-case sample (n=3,410).</w:t>
      </w:r>
    </w:p>
    <w:p w14:paraId="24F8AD6E"/>
    <w:sectPr>
      <w:footerReference r:id="rId3" w:type="default"/>
      <w:pgSz w:w="12240" w:h="15840"/>
      <w:pgMar w:top="1440" w:right="1440" w:bottom="1440" w:left="1440" w:header="708" w:footer="708" w:gutter="0"/>
      <w:lnNumType w:countBy="1" w:restart="continuou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Songti SC">
    <w:panose1 w:val="02010800040101010101"/>
    <w:charset w:val="86"/>
    <w:family w:val="auto"/>
    <w:pitch w:val="default"/>
    <w:sig w:usb0="00000001" w:usb1="080F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D3CB9">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8E8FC2">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08E8FC2">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8D7E8B"/>
    <w:rsid w:val="1FD4191E"/>
    <w:rsid w:val="2F5F6C8F"/>
    <w:rsid w:val="2FD335FB"/>
    <w:rsid w:val="37F72C5B"/>
    <w:rsid w:val="4DFE0A9B"/>
    <w:rsid w:val="528D7E8B"/>
    <w:rsid w:val="5FECE799"/>
    <w:rsid w:val="61F5CF17"/>
    <w:rsid w:val="6AFEF1D6"/>
    <w:rsid w:val="74BF668E"/>
    <w:rsid w:val="77FDE219"/>
    <w:rsid w:val="AF3D9B2D"/>
    <w:rsid w:val="BDADE895"/>
    <w:rsid w:val="FDAF2DCD"/>
    <w:rsid w:val="FFFF58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imes New Roman" w:cs="Times New Roman"/>
      <w:sz w:val="24"/>
      <w:szCs w:val="24"/>
    </w:rPr>
  </w:style>
  <w:style w:type="paragraph" w:styleId="2">
    <w:name w:val="heading 1"/>
    <w:next w:val="1"/>
    <w:qFormat/>
    <w:uiPriority w:val="0"/>
    <w:pPr>
      <w:spacing w:before="240" w:after="120"/>
      <w:outlineLvl w:val="0"/>
    </w:pPr>
    <w:rPr>
      <w:rFonts w:ascii="Times New Roman" w:hAnsi="Times New Roman" w:eastAsia="Times New Roman" w:cs="Times New Roman"/>
      <w:b/>
      <w:bCs/>
      <w:sz w:val="28"/>
      <w:szCs w:val="28"/>
    </w:rPr>
  </w:style>
  <w:style w:type="paragraph" w:styleId="3">
    <w:name w:val="heading 2"/>
    <w:next w:val="1"/>
    <w:qFormat/>
    <w:uiPriority w:val="0"/>
    <w:pPr>
      <w:spacing w:before="180" w:after="60"/>
      <w:outlineLvl w:val="1"/>
    </w:pPr>
    <w:rPr>
      <w:rFonts w:ascii="Times New Roman" w:hAnsi="Times New Roman" w:eastAsia="Times New Roman" w:cs="Times New Roman"/>
      <w:b/>
      <w:bCs/>
      <w:sz w:val="24"/>
      <w:szCs w:val="24"/>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10</TotalTime>
  <ScaleCrop>false</ScaleCrop>
  <LinksUpToDate>false</LinksUpToDate>
  <CharactersWithSpaces>0</CharactersWithSpaces>
  <Application>WPS Office_7.3.1.8967_F1E327BC-269C-435d-A152-05C5408002CA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2026-06-18T08:05:00Z</dcterms:created>
  <dc:creator>邵录军</dc:creator>
  <cp:lastModifiedBy>邵录军</cp:lastModifiedBy>
  <dcterms:modified xsi:type="dcterms:W3CDTF">2026-06-17T15:51:28Z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2052-7.3.1.8967</vt:lpwstr>
  </property>
  <property fmtid="{D5CDD505-2E9C-101B-9397-08002B2CF9AE}" pid="3" name="ICV">
    <vt:lpwstr>23C6F6A19D589D59F52D316A808BCD24_41</vt:lpwstr>
  </property>
</Properties>
</file>