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356"/>
        <w:gridCol w:w="1417"/>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No</w:t>
            </w:r>
          </w:p>
        </w:tc>
        <w:tc>
          <w:tcPr>
            <w:tcW w:w="9356"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CONSORT 2025 checklist item description</w:t>
            </w:r>
          </w:p>
        </w:tc>
        <w:tc>
          <w:tcPr>
            <w:tcW w:w="1417"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95"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Title and abstract</w:t>
            </w:r>
          </w:p>
        </w:tc>
        <w:tc>
          <w:tcPr>
            <w:tcW w:w="1417"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1a</w:t>
            </w:r>
          </w:p>
        </w:tc>
        <w:tc>
          <w:tcPr>
            <w:tcW w:w="9356" w:type="dxa"/>
          </w:tcPr>
          <w:p w14:paraId="0A0F88B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Identification as a randomised trial </w:t>
            </w:r>
          </w:p>
        </w:tc>
        <w:tc>
          <w:tcPr>
            <w:tcW w:w="1417" w:type="dxa"/>
            <w:vAlign w:val="center"/>
          </w:tcPr>
          <w:p w14:paraId="20E44077">
            <w:pPr>
              <w:jc w:val="left"/>
            </w:pPr>
            <w:r>
              <w:rPr>
                <w:rFonts w:ascii="Times New Roman" w:hAnsi="Times New Roman"/>
                <w:sz w:val="16"/>
              </w:rPr>
              <w:t>p. 1, lines 1–3</w:t>
            </w: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1b</w:t>
            </w:r>
          </w:p>
        </w:tc>
        <w:tc>
          <w:tcPr>
            <w:tcW w:w="9356" w:type="dxa"/>
          </w:tcPr>
          <w:p w14:paraId="0176107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Structured summary of the trial design, methods, results, and conclusions</w:t>
            </w:r>
          </w:p>
        </w:tc>
        <w:tc>
          <w:tcPr>
            <w:tcW w:w="1417" w:type="dxa"/>
            <w:vAlign w:val="center"/>
          </w:tcPr>
          <w:p w14:paraId="13062C5B">
            <w:pPr>
              <w:jc w:val="left"/>
            </w:pPr>
            <w:r>
              <w:rPr>
                <w:rFonts w:ascii="Times New Roman" w:hAnsi="Times New Roman"/>
                <w:sz w:val="16"/>
              </w:rPr>
              <w:t>p. 1, lines 11–38</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Open science</w:t>
            </w:r>
          </w:p>
        </w:tc>
        <w:tc>
          <w:tcPr>
            <w:tcW w:w="1417"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w:t>
            </w:r>
          </w:p>
        </w:tc>
        <w:tc>
          <w:tcPr>
            <w:tcW w:w="9356" w:type="dxa"/>
          </w:tcPr>
          <w:p w14:paraId="6110F8CD">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Name of trial registry, identifying number (with URL) and date of registration</w:t>
            </w:r>
          </w:p>
        </w:tc>
        <w:tc>
          <w:tcPr>
            <w:tcW w:w="1417" w:type="dxa"/>
            <w:vAlign w:val="center"/>
          </w:tcPr>
          <w:p w14:paraId="51A02BD5">
            <w:pPr>
              <w:jc w:val="left"/>
            </w:pPr>
            <w:r>
              <w:rPr>
                <w:rFonts w:ascii="Times New Roman" w:hAnsi="Times New Roman"/>
                <w:sz w:val="16"/>
              </w:rPr>
              <w:t xml:space="preserve">p. 2, lines 39–40; p. 3, lines 78–81; p. 12, lines 426–428 </w:t>
            </w: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3</w:t>
            </w:r>
          </w:p>
        </w:tc>
        <w:tc>
          <w:tcPr>
            <w:tcW w:w="9356" w:type="dxa"/>
          </w:tcPr>
          <w:p w14:paraId="2530AB9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Where the trial protocol and statistical analysis plan can be accessed</w:t>
            </w:r>
          </w:p>
        </w:tc>
        <w:tc>
          <w:tcPr>
            <w:tcW w:w="1417" w:type="dxa"/>
            <w:vAlign w:val="center"/>
          </w:tcPr>
          <w:p w14:paraId="47FEC0BA">
            <w:pPr>
              <w:jc w:val="left"/>
            </w:pPr>
            <w:r>
              <w:rPr>
                <w:rFonts w:ascii="Times New Roman" w:hAnsi="Times New Roman"/>
                <w:sz w:val="16"/>
              </w:rPr>
              <w:t>Not reported in the manuscript</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4</w:t>
            </w:r>
          </w:p>
        </w:tc>
        <w:tc>
          <w:tcPr>
            <w:tcW w:w="9356" w:type="dxa"/>
          </w:tcPr>
          <w:p w14:paraId="4D4B1455">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Where and how the individual de-identified participant data (including data dictionary), statistical code and any other materials can be accessed</w:t>
            </w:r>
          </w:p>
        </w:tc>
        <w:tc>
          <w:tcPr>
            <w:tcW w:w="1417" w:type="dxa"/>
            <w:vAlign w:val="center"/>
          </w:tcPr>
          <w:p w14:paraId="1AF01F00">
            <w:pPr>
              <w:jc w:val="left"/>
            </w:pPr>
            <w:r>
              <w:rPr>
                <w:rFonts w:ascii="Times New Roman" w:hAnsi="Times New Roman"/>
                <w:sz w:val="16"/>
              </w:rPr>
              <w:t>p. 13, lines 437–439</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5a</w:t>
            </w:r>
          </w:p>
        </w:tc>
        <w:tc>
          <w:tcPr>
            <w:tcW w:w="9356" w:type="dxa"/>
          </w:tcPr>
          <w:p w14:paraId="4D265E51">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Sources of funding and other support (e.g., supply of drugs), and role of funders in the design, conduct, analysis and reporting of the trial</w:t>
            </w:r>
          </w:p>
        </w:tc>
        <w:tc>
          <w:tcPr>
            <w:tcW w:w="1417" w:type="dxa"/>
            <w:vAlign w:val="center"/>
          </w:tcPr>
          <w:p w14:paraId="26A303A0">
            <w:pPr>
              <w:jc w:val="left"/>
            </w:pPr>
            <w:r>
              <w:rPr>
                <w:rFonts w:ascii="Times New Roman" w:hAnsi="Times New Roman"/>
                <w:sz w:val="16"/>
              </w:rPr>
              <w:t>p. 13, lines 443–448</w:t>
            </w: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5b</w:t>
            </w:r>
          </w:p>
        </w:tc>
        <w:tc>
          <w:tcPr>
            <w:tcW w:w="9356" w:type="dxa"/>
          </w:tcPr>
          <w:p w14:paraId="471BB7BA">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Financial and other conflicts of interest of the manuscript authors</w:t>
            </w:r>
          </w:p>
        </w:tc>
        <w:tc>
          <w:tcPr>
            <w:tcW w:w="1417" w:type="dxa"/>
            <w:vAlign w:val="center"/>
          </w:tcPr>
          <w:p w14:paraId="06D756DE">
            <w:pPr>
              <w:jc w:val="left"/>
            </w:pPr>
            <w:r>
              <w:rPr>
                <w:rFonts w:ascii="Times New Roman" w:hAnsi="Times New Roman"/>
                <w:sz w:val="16"/>
              </w:rPr>
              <w:t>p. 13, lines 441–442</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Introduction</w:t>
            </w:r>
          </w:p>
        </w:tc>
        <w:tc>
          <w:tcPr>
            <w:tcW w:w="1417"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6</w:t>
            </w:r>
          </w:p>
        </w:tc>
        <w:tc>
          <w:tcPr>
            <w:tcW w:w="9356" w:type="dxa"/>
          </w:tcPr>
          <w:p w14:paraId="5A097391">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Scientific background and rationale</w:t>
            </w:r>
          </w:p>
        </w:tc>
        <w:tc>
          <w:tcPr>
            <w:tcW w:w="1417" w:type="dxa"/>
            <w:vAlign w:val="center"/>
          </w:tcPr>
          <w:p w14:paraId="5A3035F0">
            <w:pPr>
              <w:jc w:val="left"/>
            </w:pPr>
            <w:r>
              <w:rPr>
                <w:rFonts w:ascii="Times New Roman" w:hAnsi="Times New Roman"/>
                <w:sz w:val="16"/>
              </w:rPr>
              <w:t>p. 2, lines 45–71; p. 3, lines 72–74</w:t>
            </w: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7</w:t>
            </w:r>
          </w:p>
        </w:tc>
        <w:tc>
          <w:tcPr>
            <w:tcW w:w="9356" w:type="dxa"/>
          </w:tcPr>
          <w:p w14:paraId="25916468">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Specific objectives related to benefits and harms</w:t>
            </w:r>
          </w:p>
        </w:tc>
        <w:tc>
          <w:tcPr>
            <w:tcW w:w="1417" w:type="dxa"/>
            <w:vAlign w:val="center"/>
          </w:tcPr>
          <w:p w14:paraId="4C28F623">
            <w:pPr>
              <w:jc w:val="left"/>
            </w:pPr>
            <w:r>
              <w:rPr>
                <w:rFonts w:ascii="Times New Roman" w:hAnsi="Times New Roman"/>
                <w:sz w:val="16"/>
              </w:rPr>
              <w:t>p. 2, lines 69–71; p. 3, lines 72–74; p. 6, lines 191–195</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Methods</w:t>
            </w:r>
          </w:p>
        </w:tc>
        <w:tc>
          <w:tcPr>
            <w:tcW w:w="1417"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8</w:t>
            </w:r>
          </w:p>
        </w:tc>
        <w:tc>
          <w:tcPr>
            <w:tcW w:w="9356" w:type="dxa"/>
          </w:tcPr>
          <w:p w14:paraId="5F1D6557">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Details of patient or public involvement in the design, conduct and reporting of the trial</w:t>
            </w:r>
          </w:p>
        </w:tc>
        <w:tc>
          <w:tcPr>
            <w:tcW w:w="1417" w:type="dxa"/>
            <w:vAlign w:val="center"/>
          </w:tcPr>
          <w:p w14:paraId="6895982B">
            <w:pPr>
              <w:jc w:val="left"/>
            </w:pPr>
            <w:r>
              <w:rPr>
                <w:rFonts w:ascii="Times New Roman" w:hAnsi="Times New Roman"/>
                <w:sz w:val="16"/>
              </w:rPr>
              <w:t>Not reported in the manuscript</w:t>
            </w: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0B3B044B">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9</w:t>
            </w:r>
          </w:p>
        </w:tc>
        <w:tc>
          <w:tcPr>
            <w:tcW w:w="9356" w:type="dxa"/>
          </w:tcPr>
          <w:p w14:paraId="5E662EA8">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vAlign w:val="center"/>
          </w:tcPr>
          <w:p w14:paraId="14254619">
            <w:pPr>
              <w:jc w:val="left"/>
            </w:pPr>
            <w:r>
              <w:rPr>
                <w:rFonts w:ascii="Times New Roman" w:hAnsi="Times New Roman"/>
                <w:sz w:val="16"/>
              </w:rPr>
              <w:t>p. 3, lines 76–77; p. 3, lines 96–99</w:t>
            </w: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10</w:t>
            </w:r>
          </w:p>
        </w:tc>
        <w:tc>
          <w:tcPr>
            <w:tcW w:w="9356" w:type="dxa"/>
          </w:tcPr>
          <w:p w14:paraId="3D532DC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Important changes to the trial after it commenced including any outcomes or analyses that were not prespecified, with reason</w:t>
            </w:r>
          </w:p>
        </w:tc>
        <w:tc>
          <w:tcPr>
            <w:tcW w:w="1417" w:type="dxa"/>
            <w:vAlign w:val="center"/>
          </w:tcPr>
          <w:p w14:paraId="04698E9A">
            <w:pPr>
              <w:jc w:val="left"/>
            </w:pPr>
            <w:r>
              <w:rPr>
                <w:rFonts w:ascii="Times New Roman" w:hAnsi="Times New Roman"/>
                <w:sz w:val="16"/>
              </w:rPr>
              <w:t xml:space="preserve">p. 11, lines 395–404 (exploratory outcomes not prespecified; </w:t>
            </w:r>
            <w:bookmarkStart w:id="0" w:name="_GoBack"/>
            <w:bookmarkEnd w:id="0"/>
            <w:r>
              <w:rPr>
                <w:rFonts w:ascii="Times New Roman" w:hAnsi="Times New Roman"/>
                <w:sz w:val="16"/>
              </w:rPr>
              <w:t>no other protocol changes reported)</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11</w:t>
            </w:r>
          </w:p>
        </w:tc>
        <w:tc>
          <w:tcPr>
            <w:tcW w:w="9356" w:type="dxa"/>
          </w:tcPr>
          <w:p w14:paraId="269E1095">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Settings (e.g., community, hospital) and locations (e.g., countries, sites) where the trial was conducted</w:t>
            </w:r>
          </w:p>
        </w:tc>
        <w:tc>
          <w:tcPr>
            <w:tcW w:w="1417" w:type="dxa"/>
            <w:vAlign w:val="center"/>
          </w:tcPr>
          <w:p w14:paraId="155185BF">
            <w:pPr>
              <w:jc w:val="left"/>
            </w:pPr>
            <w:r>
              <w:rPr>
                <w:rFonts w:ascii="Times New Roman" w:hAnsi="Times New Roman"/>
                <w:sz w:val="16"/>
              </w:rPr>
              <w:t>p. 3, lines 76–77; p. 4, lines 106–107</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12a</w:t>
            </w:r>
          </w:p>
        </w:tc>
        <w:tc>
          <w:tcPr>
            <w:tcW w:w="9356" w:type="dxa"/>
          </w:tcPr>
          <w:p w14:paraId="3C4A8E88">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Eligibility criteria for participants</w:t>
            </w:r>
          </w:p>
        </w:tc>
        <w:tc>
          <w:tcPr>
            <w:tcW w:w="1417" w:type="dxa"/>
            <w:vAlign w:val="center"/>
          </w:tcPr>
          <w:p w14:paraId="1353C810">
            <w:pPr>
              <w:jc w:val="left"/>
            </w:pPr>
            <w:r>
              <w:rPr>
                <w:rFonts w:ascii="Times New Roman" w:hAnsi="Times New Roman"/>
                <w:sz w:val="16"/>
              </w:rPr>
              <w:t>p. 3, lines 85–92</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12b</w:t>
            </w:r>
          </w:p>
        </w:tc>
        <w:tc>
          <w:tcPr>
            <w:tcW w:w="9356" w:type="dxa"/>
          </w:tcPr>
          <w:p w14:paraId="17B5A221">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If applicable, eligibility criteria for sites and for individuals delivering the interventions (e.g., surgeons, physiotherapists)</w:t>
            </w:r>
          </w:p>
        </w:tc>
        <w:tc>
          <w:tcPr>
            <w:tcW w:w="1417" w:type="dxa"/>
            <w:vAlign w:val="center"/>
          </w:tcPr>
          <w:p w14:paraId="44F26F97">
            <w:pPr>
              <w:jc w:val="left"/>
            </w:pPr>
            <w:r>
              <w:rPr>
                <w:rFonts w:ascii="Times New Roman" w:hAnsi="Times New Roman"/>
                <w:sz w:val="16"/>
              </w:rPr>
              <w:t>p. 3, lines 100–104; p. 4, lines 115–116</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13</w:t>
            </w:r>
          </w:p>
        </w:tc>
        <w:tc>
          <w:tcPr>
            <w:tcW w:w="9356" w:type="dxa"/>
          </w:tcPr>
          <w:p w14:paraId="17D21D80">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vAlign w:val="center"/>
          </w:tcPr>
          <w:p w14:paraId="2994788D">
            <w:pPr>
              <w:jc w:val="left"/>
            </w:pPr>
            <w:r>
              <w:rPr>
                <w:rFonts w:ascii="Times New Roman" w:hAnsi="Times New Roman"/>
                <w:sz w:val="16"/>
              </w:rPr>
              <w:t>p. 4, lines 106–142; p. 5, lines 143–175; Fig. 6, p. 15, lines 539–552</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356" w:type="dxa"/>
          </w:tcPr>
          <w:p w14:paraId="794D803F">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vAlign w:val="center"/>
          </w:tcPr>
          <w:p w14:paraId="37A457EA">
            <w:pPr>
              <w:jc w:val="left"/>
            </w:pPr>
            <w:r>
              <w:rPr>
                <w:rFonts w:ascii="Times New Roman" w:hAnsi="Times New Roman"/>
                <w:sz w:val="16"/>
              </w:rPr>
              <w:t>p. 5, lines 177–180; p. 6, lines 181–199</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15</w:t>
            </w:r>
          </w:p>
        </w:tc>
        <w:tc>
          <w:tcPr>
            <w:tcW w:w="9356" w:type="dxa"/>
          </w:tcPr>
          <w:p w14:paraId="591013B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How harms were defined and assessed (e.g., systematically, non-systematically)</w:t>
            </w:r>
          </w:p>
        </w:tc>
        <w:tc>
          <w:tcPr>
            <w:tcW w:w="1417" w:type="dxa"/>
            <w:vAlign w:val="center"/>
          </w:tcPr>
          <w:p w14:paraId="691FE92E">
            <w:pPr>
              <w:jc w:val="left"/>
            </w:pPr>
            <w:r>
              <w:rPr>
                <w:rFonts w:ascii="Times New Roman" w:hAnsi="Times New Roman"/>
                <w:sz w:val="16"/>
              </w:rPr>
              <w:t>p. 6, lines 191–195; p. 9, lines 299–303; Table 3, p. 17, lines 567–573</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16a</w:t>
            </w:r>
          </w:p>
        </w:tc>
        <w:tc>
          <w:tcPr>
            <w:tcW w:w="9356" w:type="dxa"/>
          </w:tcPr>
          <w:p w14:paraId="3B91C74A">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How sample size was determined, including all assumptions supporting the sample size calculation</w:t>
            </w:r>
          </w:p>
        </w:tc>
        <w:tc>
          <w:tcPr>
            <w:tcW w:w="1417" w:type="dxa"/>
            <w:vAlign w:val="center"/>
          </w:tcPr>
          <w:p w14:paraId="7249AD6F">
            <w:pPr>
              <w:jc w:val="left"/>
            </w:pPr>
            <w:r>
              <w:rPr>
                <w:rFonts w:ascii="Times New Roman" w:hAnsi="Times New Roman"/>
                <w:sz w:val="16"/>
              </w:rPr>
              <w:t>p. 6, lines 201–210</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16b</w:t>
            </w:r>
          </w:p>
        </w:tc>
        <w:tc>
          <w:tcPr>
            <w:tcW w:w="9356" w:type="dxa"/>
          </w:tcPr>
          <w:p w14:paraId="5929DED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Explanation of any interim analyses and stopping guidelines</w:t>
            </w:r>
          </w:p>
        </w:tc>
        <w:tc>
          <w:tcPr>
            <w:tcW w:w="1417" w:type="dxa"/>
            <w:vAlign w:val="center"/>
          </w:tcPr>
          <w:p w14:paraId="2DF36245">
            <w:pPr>
              <w:jc w:val="left"/>
            </w:pPr>
            <w:r>
              <w:rPr>
                <w:rFonts w:ascii="Times New Roman" w:hAnsi="Times New Roman"/>
                <w:sz w:val="16"/>
              </w:rPr>
              <w:t>Not reported in the manuscript</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w:t>
            </w:r>
          </w:p>
        </w:tc>
        <w:tc>
          <w:tcPr>
            <w:tcW w:w="9356" w:type="dxa"/>
          </w:tcPr>
          <w:p w14:paraId="7A75315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w:t>
            </w:r>
          </w:p>
        </w:tc>
        <w:tc>
          <w:tcPr>
            <w:tcW w:w="1417"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17a</w:t>
            </w:r>
          </w:p>
        </w:tc>
        <w:tc>
          <w:tcPr>
            <w:tcW w:w="9356" w:type="dxa"/>
          </w:tcPr>
          <w:p w14:paraId="34D407B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Who generated the random allocation sequence and the method used</w:t>
            </w:r>
          </w:p>
        </w:tc>
        <w:tc>
          <w:tcPr>
            <w:tcW w:w="1417" w:type="dxa"/>
            <w:vAlign w:val="center"/>
          </w:tcPr>
          <w:p w14:paraId="0B1B85E1">
            <w:pPr>
              <w:jc w:val="left"/>
            </w:pPr>
            <w:r>
              <w:rPr>
                <w:rFonts w:ascii="Times New Roman" w:hAnsi="Times New Roman"/>
                <w:sz w:val="16"/>
              </w:rPr>
              <w:t>p. 3, lines 94–96</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17b</w:t>
            </w:r>
          </w:p>
        </w:tc>
        <w:tc>
          <w:tcPr>
            <w:tcW w:w="9356" w:type="dxa"/>
          </w:tcPr>
          <w:p w14:paraId="29B4B76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Type of randomisation and details of any restriction (e.g., stratification, blocking and block size)</w:t>
            </w:r>
          </w:p>
        </w:tc>
        <w:tc>
          <w:tcPr>
            <w:tcW w:w="1417" w:type="dxa"/>
            <w:vAlign w:val="center"/>
          </w:tcPr>
          <w:p w14:paraId="128DCCB9">
            <w:pPr>
              <w:jc w:val="left"/>
            </w:pPr>
            <w:r>
              <w:rPr>
                <w:rFonts w:ascii="Times New Roman" w:hAnsi="Times New Roman"/>
                <w:sz w:val="16"/>
              </w:rPr>
              <w:t>p. 3, lines 96–99 (1:1 allocation; restriction details not reported)</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18</w:t>
            </w:r>
          </w:p>
        </w:tc>
        <w:tc>
          <w:tcPr>
            <w:tcW w:w="9356" w:type="dxa"/>
          </w:tcPr>
          <w:p w14:paraId="4FFCCFAC">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vAlign w:val="center"/>
          </w:tcPr>
          <w:p w14:paraId="1CB751AE">
            <w:pPr>
              <w:jc w:val="left"/>
            </w:pPr>
            <w:r>
              <w:rPr>
                <w:rFonts w:ascii="Times New Roman" w:hAnsi="Times New Roman"/>
                <w:sz w:val="16"/>
              </w:rPr>
              <w:t>p. 3, lines 96–99</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19</w:t>
            </w:r>
          </w:p>
        </w:tc>
        <w:tc>
          <w:tcPr>
            <w:tcW w:w="9356" w:type="dxa"/>
          </w:tcPr>
          <w:p w14:paraId="11684608">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vAlign w:val="center"/>
          </w:tcPr>
          <w:p w14:paraId="67E6E021">
            <w:pPr>
              <w:jc w:val="left"/>
            </w:pPr>
            <w:r>
              <w:rPr>
                <w:rFonts w:ascii="Times New Roman" w:hAnsi="Times New Roman"/>
                <w:sz w:val="16"/>
              </w:rPr>
              <w:t>p. 3, lines 94–99</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20a</w:t>
            </w:r>
          </w:p>
        </w:tc>
        <w:tc>
          <w:tcPr>
            <w:tcW w:w="9356" w:type="dxa"/>
          </w:tcPr>
          <w:p w14:paraId="080A780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Who was blinded after assignment to interventions (e.g., participants, care providers, outcome assessors, data analysts) </w:t>
            </w:r>
          </w:p>
        </w:tc>
        <w:tc>
          <w:tcPr>
            <w:tcW w:w="1417" w:type="dxa"/>
            <w:vAlign w:val="center"/>
          </w:tcPr>
          <w:p w14:paraId="18F59A80">
            <w:pPr>
              <w:jc w:val="left"/>
            </w:pPr>
            <w:r>
              <w:rPr>
                <w:rFonts w:ascii="Times New Roman" w:hAnsi="Times New Roman"/>
                <w:sz w:val="16"/>
              </w:rPr>
              <w:t>p. 3, lines 100–105; p. 11, lines 386–389</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20b</w:t>
            </w:r>
          </w:p>
        </w:tc>
        <w:tc>
          <w:tcPr>
            <w:tcW w:w="9356" w:type="dxa"/>
          </w:tcPr>
          <w:p w14:paraId="64C5F50F">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If blinded, how blinding was achieved and description of the similarity of interventions</w:t>
            </w:r>
          </w:p>
        </w:tc>
        <w:tc>
          <w:tcPr>
            <w:tcW w:w="1417" w:type="dxa"/>
            <w:vAlign w:val="center"/>
          </w:tcPr>
          <w:p w14:paraId="262DB4EC">
            <w:pPr>
              <w:jc w:val="left"/>
            </w:pPr>
            <w:r>
              <w:rPr>
                <w:rFonts w:ascii="Times New Roman" w:hAnsi="Times New Roman"/>
                <w:sz w:val="16"/>
              </w:rPr>
              <w:t>p. 3, lines 100–105; p. 11, lines 386–389</w:t>
            </w: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21a</w:t>
            </w:r>
          </w:p>
        </w:tc>
        <w:tc>
          <w:tcPr>
            <w:tcW w:w="9356" w:type="dxa"/>
          </w:tcPr>
          <w:p w14:paraId="67FA2D0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Statistical methods used to compare groups for primary and secondary outcomes, including harms</w:t>
            </w:r>
          </w:p>
        </w:tc>
        <w:tc>
          <w:tcPr>
            <w:tcW w:w="1417" w:type="dxa"/>
            <w:vAlign w:val="center"/>
          </w:tcPr>
          <w:p w14:paraId="172D283E">
            <w:pPr>
              <w:jc w:val="left"/>
            </w:pPr>
            <w:r>
              <w:rPr>
                <w:rFonts w:ascii="Times New Roman" w:hAnsi="Times New Roman"/>
                <w:sz w:val="16"/>
              </w:rPr>
              <w:t>p. 6, lines 212–215; p. 7, lines 216–240</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21b</w:t>
            </w:r>
          </w:p>
        </w:tc>
        <w:tc>
          <w:tcPr>
            <w:tcW w:w="9356" w:type="dxa"/>
          </w:tcPr>
          <w:p w14:paraId="096BC753">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Definition of who is included in each analysis (e.g., all randomised participants), and in which group</w:t>
            </w:r>
          </w:p>
        </w:tc>
        <w:tc>
          <w:tcPr>
            <w:tcW w:w="1417" w:type="dxa"/>
            <w:vAlign w:val="center"/>
          </w:tcPr>
          <w:p w14:paraId="2AEF96F4">
            <w:pPr>
              <w:jc w:val="left"/>
            </w:pPr>
            <w:r>
              <w:rPr>
                <w:rFonts w:ascii="Times New Roman" w:hAnsi="Times New Roman"/>
                <w:sz w:val="16"/>
              </w:rPr>
              <w:t>p. 6, lines 212–215; p. 7, lines 247–249</w:t>
            </w:r>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21c</w:t>
            </w:r>
          </w:p>
        </w:tc>
        <w:tc>
          <w:tcPr>
            <w:tcW w:w="9356" w:type="dxa"/>
          </w:tcPr>
          <w:p w14:paraId="06CE57AE">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How missing data were handled in the analysis</w:t>
            </w:r>
          </w:p>
        </w:tc>
        <w:tc>
          <w:tcPr>
            <w:tcW w:w="1417" w:type="dxa"/>
            <w:vAlign w:val="center"/>
          </w:tcPr>
          <w:p w14:paraId="6321A3BC">
            <w:pPr>
              <w:jc w:val="left"/>
            </w:pPr>
            <w:r>
              <w:rPr>
                <w:rFonts w:ascii="Times New Roman" w:hAnsi="Times New Roman"/>
                <w:sz w:val="16"/>
              </w:rPr>
              <w:t>p. 6, lines 212–215; p. 7, lines 246–249</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21d</w:t>
            </w:r>
          </w:p>
        </w:tc>
        <w:tc>
          <w:tcPr>
            <w:tcW w:w="9356" w:type="dxa"/>
          </w:tcPr>
          <w:p w14:paraId="25A70C8A">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Methods for any additional analyses (e.g., subgroup and sensitivity analyses), distinguishing prespecified from post-hoc</w:t>
            </w:r>
          </w:p>
        </w:tc>
        <w:tc>
          <w:tcPr>
            <w:tcW w:w="1417" w:type="dxa"/>
            <w:vAlign w:val="center"/>
          </w:tcPr>
          <w:p w14:paraId="125253B2">
            <w:pPr>
              <w:jc w:val="left"/>
            </w:pPr>
            <w:r>
              <w:rPr>
                <w:rFonts w:ascii="Times New Roman" w:hAnsi="Times New Roman"/>
                <w:sz w:val="16"/>
              </w:rPr>
              <w:t>p. 7, lines 225–235; p. 8, lines 267–271; p. 9, lines 289–292</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Results</w:t>
            </w:r>
          </w:p>
        </w:tc>
        <w:tc>
          <w:tcPr>
            <w:tcW w:w="1417"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22a</w:t>
            </w:r>
          </w:p>
        </w:tc>
        <w:tc>
          <w:tcPr>
            <w:tcW w:w="9356" w:type="dxa"/>
          </w:tcPr>
          <w:p w14:paraId="5407FA0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For each group, the numbers of participants who were randomly assigned, received intended intervention, and were analysed for the primary outcome</w:t>
            </w:r>
          </w:p>
        </w:tc>
        <w:tc>
          <w:tcPr>
            <w:tcW w:w="1417" w:type="dxa"/>
            <w:vAlign w:val="center"/>
          </w:tcPr>
          <w:p w14:paraId="4DDEA4FB">
            <w:pPr>
              <w:jc w:val="left"/>
            </w:pPr>
            <w:r>
              <w:rPr>
                <w:rFonts w:ascii="Times New Roman" w:hAnsi="Times New Roman"/>
                <w:sz w:val="16"/>
              </w:rPr>
              <w:t>p. 7, lines 244–249; Fig. 1, p. 15, lines 523–525</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22b</w:t>
            </w:r>
          </w:p>
        </w:tc>
        <w:tc>
          <w:tcPr>
            <w:tcW w:w="9356" w:type="dxa"/>
          </w:tcPr>
          <w:p w14:paraId="1DDC84FB">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For each group, losses and exclusions after randomisation, together with reasons</w:t>
            </w:r>
          </w:p>
        </w:tc>
        <w:tc>
          <w:tcPr>
            <w:tcW w:w="1417" w:type="dxa"/>
            <w:vAlign w:val="center"/>
          </w:tcPr>
          <w:p w14:paraId="04DCFFB9">
            <w:pPr>
              <w:jc w:val="left"/>
            </w:pPr>
            <w:r>
              <w:rPr>
                <w:rFonts w:ascii="Times New Roman" w:hAnsi="Times New Roman"/>
                <w:sz w:val="16"/>
              </w:rPr>
              <w:t>p. 6, lines 212–215; p. 7, lines 246–249</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23a</w:t>
            </w:r>
          </w:p>
        </w:tc>
        <w:tc>
          <w:tcPr>
            <w:tcW w:w="9356" w:type="dxa"/>
          </w:tcPr>
          <w:p w14:paraId="0570F75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Dates defining the periods of recruitment and follow-up for outcomes of benefits and harms</w:t>
            </w:r>
          </w:p>
        </w:tc>
        <w:tc>
          <w:tcPr>
            <w:tcW w:w="1417" w:type="dxa"/>
            <w:vAlign w:val="center"/>
          </w:tcPr>
          <w:p w14:paraId="7A0DCE41">
            <w:pPr>
              <w:jc w:val="left"/>
            </w:pPr>
            <w:r>
              <w:rPr>
                <w:rFonts w:ascii="Times New Roman" w:hAnsi="Times New Roman"/>
                <w:sz w:val="16"/>
              </w:rPr>
              <w:t>p. 3, lines 76–77; p. 6, lines 181–195</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23b</w:t>
            </w:r>
          </w:p>
        </w:tc>
        <w:tc>
          <w:tcPr>
            <w:tcW w:w="9356" w:type="dxa"/>
          </w:tcPr>
          <w:p w14:paraId="1CC3415B">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If relevant, why the trial ended or was stopped</w:t>
            </w:r>
          </w:p>
        </w:tc>
        <w:tc>
          <w:tcPr>
            <w:tcW w:w="1417" w:type="dxa"/>
            <w:vAlign w:val="center"/>
          </w:tcPr>
          <w:p w14:paraId="1D9608AA">
            <w:pPr>
              <w:jc w:val="left"/>
            </w:pPr>
            <w:r>
              <w:rPr>
                <w:rFonts w:ascii="Times New Roman" w:hAnsi="Times New Roman"/>
                <w:sz w:val="16"/>
              </w:rPr>
              <w:t>Not applicable; no early stopping reported. Planned randomized sample reported at p. 7, lines 244–249</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24a</w:t>
            </w:r>
          </w:p>
        </w:tc>
        <w:tc>
          <w:tcPr>
            <w:tcW w:w="9356" w:type="dxa"/>
          </w:tcPr>
          <w:p w14:paraId="4BFDE35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vAlign w:val="center"/>
          </w:tcPr>
          <w:p w14:paraId="5EA9AD0E">
            <w:pPr>
              <w:jc w:val="left"/>
            </w:pPr>
            <w:r>
              <w:rPr>
                <w:rFonts w:ascii="Times New Roman" w:hAnsi="Times New Roman"/>
                <w:sz w:val="16"/>
              </w:rPr>
              <w:t>p. 4, lines 106–142; p. 7, lines 244–249</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24b</w:t>
            </w:r>
          </w:p>
        </w:tc>
        <w:tc>
          <w:tcPr>
            <w:tcW w:w="9356" w:type="dxa"/>
          </w:tcPr>
          <w:p w14:paraId="10AE211E">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Concomitant care received during the trial for each group</w:t>
            </w:r>
          </w:p>
        </w:tc>
        <w:tc>
          <w:tcPr>
            <w:tcW w:w="1417" w:type="dxa"/>
            <w:vAlign w:val="center"/>
          </w:tcPr>
          <w:p w14:paraId="053EBF54">
            <w:pPr>
              <w:jc w:val="left"/>
            </w:pPr>
            <w:r>
              <w:rPr>
                <w:rFonts w:ascii="Times New Roman" w:hAnsi="Times New Roman"/>
                <w:sz w:val="16"/>
              </w:rPr>
              <w:t>p. 5, lines 143–175</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25</w:t>
            </w:r>
          </w:p>
        </w:tc>
        <w:tc>
          <w:tcPr>
            <w:tcW w:w="9356" w:type="dxa"/>
          </w:tcPr>
          <w:p w14:paraId="5EB86B3D">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A table showing baseline demographic and clinical characteristics for each group</w:t>
            </w:r>
          </w:p>
        </w:tc>
        <w:tc>
          <w:tcPr>
            <w:tcW w:w="1417" w:type="dxa"/>
            <w:vAlign w:val="center"/>
          </w:tcPr>
          <w:p w14:paraId="32BC0D7D">
            <w:pPr>
              <w:jc w:val="left"/>
            </w:pPr>
            <w:r>
              <w:rPr>
                <w:rFonts w:ascii="Times New Roman" w:hAnsi="Times New Roman"/>
                <w:sz w:val="16"/>
              </w:rPr>
              <w:t>Table 1, p. 16, lines 555–557</w:t>
            </w: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26</w:t>
            </w:r>
          </w:p>
        </w:tc>
        <w:tc>
          <w:tcPr>
            <w:tcW w:w="9356" w:type="dxa"/>
          </w:tcPr>
          <w:p w14:paraId="2508DC5A">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Times New Roman" w:hAnsi="Times New Roman"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Times New Roman" w:hAnsi="Times New Roman"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Times New Roman" w:hAnsi="Times New Roman"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Times New Roman" w:hAnsi="Times New Roman" w:eastAsia="Calibri" w:cs="Calibri"/>
                <w:color w:val="000000"/>
                <w:sz w:val="22"/>
                <w:szCs w:val="22"/>
                <w:lang w:val="en-GB"/>
              </w:rPr>
              <w:t xml:space="preserve">for binary outcomes, presentation of both absolute and relative effect size </w:t>
            </w:r>
          </w:p>
        </w:tc>
        <w:tc>
          <w:tcPr>
            <w:tcW w:w="1417" w:type="dxa"/>
            <w:vAlign w:val="center"/>
          </w:tcPr>
          <w:p w14:paraId="2255E208">
            <w:pPr>
              <w:jc w:val="left"/>
            </w:pPr>
            <w:r>
              <w:rPr>
                <w:rFonts w:ascii="Times New Roman" w:hAnsi="Times New Roman"/>
                <w:sz w:val="16"/>
              </w:rPr>
              <w:t>p. 8, lines 254–283; p. 8, lines 284–288; p. 9, lines 289–298; Table 2, p. 16, lines 562–566; Table 3, p. 17, lines 567–573</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27</w:t>
            </w:r>
          </w:p>
        </w:tc>
        <w:tc>
          <w:tcPr>
            <w:tcW w:w="9356" w:type="dxa"/>
          </w:tcPr>
          <w:p w14:paraId="687024A2">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 xml:space="preserve">All harms or unintended events in each group </w:t>
            </w:r>
          </w:p>
        </w:tc>
        <w:tc>
          <w:tcPr>
            <w:tcW w:w="1417" w:type="dxa"/>
            <w:vAlign w:val="center"/>
          </w:tcPr>
          <w:p w14:paraId="53F3677F">
            <w:pPr>
              <w:jc w:val="left"/>
            </w:pPr>
            <w:r>
              <w:rPr>
                <w:rFonts w:ascii="Times New Roman" w:hAnsi="Times New Roman"/>
                <w:sz w:val="16"/>
              </w:rPr>
              <w:t>p. 9, lines 299–303; Table 3, p. 17, lines 567–573</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28</w:t>
            </w:r>
          </w:p>
        </w:tc>
        <w:tc>
          <w:tcPr>
            <w:tcW w:w="9356" w:type="dxa"/>
          </w:tcPr>
          <w:p w14:paraId="68E7918B">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Any other analyses performed, including subgroup and sensitivity analyses, distinguishing pre-specified from post-hoc</w:t>
            </w:r>
          </w:p>
        </w:tc>
        <w:tc>
          <w:tcPr>
            <w:tcW w:w="1417" w:type="dxa"/>
            <w:vAlign w:val="center"/>
          </w:tcPr>
          <w:p w14:paraId="1A6E3B90">
            <w:pPr>
              <w:jc w:val="left"/>
            </w:pPr>
            <w:r>
              <w:rPr>
                <w:rFonts w:ascii="Times New Roman" w:hAnsi="Times New Roman"/>
                <w:sz w:val="16"/>
              </w:rPr>
              <w:t>p. 7, lines 225–235; p. 8, lines 267–271; p. 9, lines 289–292; p. 11, lines 395–404</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Times New Roman" w:hAnsi="Times New Roman" w:eastAsia="Calibri" w:cs="Calibri"/>
                <w:b/>
                <w:color w:val="000000"/>
                <w:sz w:val="22"/>
                <w:szCs w:val="22"/>
                <w:lang w:val="en-GB"/>
              </w:rPr>
              <w:t>Discussion</w:t>
            </w:r>
          </w:p>
        </w:tc>
        <w:tc>
          <w:tcPr>
            <w:tcW w:w="1417"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29</w:t>
            </w:r>
          </w:p>
        </w:tc>
        <w:tc>
          <w:tcPr>
            <w:tcW w:w="9356" w:type="dxa"/>
          </w:tcPr>
          <w:p w14:paraId="6689FC98">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Interpretation consistent with results, balancing benefits and harms, and considering other relevant evidence</w:t>
            </w:r>
          </w:p>
        </w:tc>
        <w:tc>
          <w:tcPr>
            <w:tcW w:w="1417" w:type="dxa"/>
            <w:vAlign w:val="center"/>
          </w:tcPr>
          <w:p w14:paraId="750BF556">
            <w:pPr>
              <w:jc w:val="left"/>
            </w:pPr>
            <w:r>
              <w:rPr>
                <w:rFonts w:ascii="Times New Roman" w:hAnsi="Times New Roman"/>
                <w:sz w:val="16"/>
              </w:rPr>
              <w:t>p. 9, lines 306–317; p. 10, lines 327–365; p. 12, lines 405–412</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30</w:t>
            </w:r>
          </w:p>
        </w:tc>
        <w:tc>
          <w:tcPr>
            <w:tcW w:w="9356" w:type="dxa"/>
          </w:tcPr>
          <w:p w14:paraId="53F2EAD9">
            <w:pPr>
              <w:spacing w:line="240" w:lineRule="auto"/>
              <w:rPr>
                <w:rFonts w:ascii="Calibri" w:hAnsi="Calibri" w:eastAsia="Calibri" w:cs="Calibri"/>
                <w:color w:val="000000"/>
                <w:sz w:val="22"/>
                <w:szCs w:val="22"/>
                <w:lang w:val="en-GB"/>
              </w:rPr>
            </w:pPr>
            <w:r>
              <w:rPr>
                <w:rFonts w:ascii="Times New Roman" w:hAnsi="Times New Roman" w:eastAsia="Calibri" w:cs="Calibri"/>
                <w:color w:val="000000"/>
                <w:sz w:val="22"/>
                <w:szCs w:val="22"/>
                <w:lang w:val="en-GB"/>
              </w:rPr>
              <w:t>Trial limitations, addressing sources of potential bias, imprecision, generalisability, and, if relevant, multiplicity of analyses</w:t>
            </w:r>
          </w:p>
        </w:tc>
        <w:tc>
          <w:tcPr>
            <w:tcW w:w="1417" w:type="dxa"/>
            <w:vAlign w:val="center"/>
          </w:tcPr>
          <w:p w14:paraId="46423FEF">
            <w:pPr>
              <w:jc w:val="left"/>
            </w:pPr>
            <w:r>
              <w:rPr>
                <w:rFonts w:ascii="Times New Roman" w:hAnsi="Times New Roman"/>
                <w:sz w:val="16"/>
              </w:rPr>
              <w:t>p. 11, lines 385–404</w:t>
            </w:r>
          </w:p>
        </w:tc>
      </w:tr>
    </w:tbl>
    <w:p w14:paraId="306C2FFA">
      <w:pPr>
        <w:spacing w:line="240" w:lineRule="auto"/>
        <w:rPr>
          <w:rFonts w:ascii="Calibri" w:hAnsi="Calibri" w:cs="Calibri"/>
          <w:b/>
          <w:sz w:val="22"/>
          <w:szCs w:val="22"/>
          <w:lang w:val="en-GB"/>
        </w:rPr>
      </w:pPr>
    </w:p>
    <w:p w14:paraId="7222F6F7">
      <w:pPr>
        <w:pStyle w:val="39"/>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20"/>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p w14:paraId="42695FFC">
      <w:pPr>
        <w:spacing w:line="240" w:lineRule="auto"/>
        <w:rPr>
          <w:rFonts w:ascii="Calibri" w:hAnsi="Calibri" w:cs="Calibri"/>
          <w:b/>
          <w:sz w:val="20"/>
          <w:szCs w:val="20"/>
          <w:lang w:val="en-GB"/>
        </w:rPr>
      </w:pPr>
    </w:p>
    <w:p w14:paraId="510D033D">
      <w:pPr>
        <w:pStyle w:val="39"/>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20"/>
          <w:rFonts w:ascii="Calibri" w:hAnsi="Calibri" w:cs="Calibri"/>
          <w:color w:val="0070C0"/>
          <w:sz w:val="20"/>
        </w:rPr>
        <w:t>https://dx.doi.org/10.1136/bmj-2024-081123</w:t>
      </w:r>
      <w:r>
        <w:rPr>
          <w:rStyle w:val="20"/>
          <w:rFonts w:ascii="Calibri" w:hAnsi="Calibri" w:cs="Calibri"/>
          <w:color w:val="0070C0"/>
          <w:sz w:val="20"/>
        </w:rPr>
        <w:fldChar w:fldCharType="end"/>
      </w:r>
      <w:r>
        <w:rPr>
          <w:rFonts w:ascii="Calibri" w:hAnsi="Calibri" w:cs="Calibri"/>
          <w:color w:val="0070C0"/>
          <w:sz w:val="20"/>
        </w:rPr>
        <w:t xml:space="preserve">. </w:t>
      </w:r>
    </w:p>
    <w:p w14:paraId="0B985716">
      <w:pPr>
        <w:pStyle w:val="39"/>
        <w:tabs>
          <w:tab w:val="left" w:pos="4830"/>
        </w:tabs>
        <w:spacing w:line="240" w:lineRule="auto"/>
        <w:rPr>
          <w:rFonts w:ascii="Calibri" w:hAnsi="Calibri" w:cs="Calibri"/>
          <w:sz w:val="20"/>
        </w:rPr>
      </w:pPr>
      <w:r>
        <w:rPr>
          <w:rFonts w:ascii="Calibri" w:hAnsi="Calibri" w:cs="Calibri"/>
          <w:sz w:val="20"/>
        </w:rPr>
        <w:br w:type="textWrapping"/>
      </w:r>
      <w:r>
        <w:rPr>
          <w:rFonts w:ascii="Calibri" w:hAnsi="Calibri" w:cs="Calibri"/>
          <w:sz w:val="20"/>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20"/>
          <w:rFonts w:ascii="Calibri" w:hAnsi="Calibri" w:cs="Calibri"/>
          <w:color w:val="0070C0"/>
          <w:sz w:val="20"/>
        </w:rPr>
        <w:t>https://creativecommons.org/licenses/by/4.0/</w:t>
      </w:r>
      <w:r>
        <w:rPr>
          <w:rStyle w:val="20"/>
          <w:rFonts w:ascii="Calibri" w:hAnsi="Calibri" w:cs="Calibri"/>
          <w:color w:val="0070C0"/>
          <w:sz w:val="20"/>
        </w:rPr>
        <w:fldChar w:fldCharType="end"/>
      </w:r>
      <w:r>
        <w:rPr>
          <w:rFonts w:ascii="Calibri" w:hAnsi="Calibri" w:cs="Calibri"/>
          <w:sz w:val="20"/>
        </w:rPr>
        <w:t>), which permits unrestricted use, distribution, and reproduction in any medium, provided the original work is properly cited.</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 w:name="KY_MEDREF_DOCUID" w:val="{C101C047-BF54-4294-8A48-6ADD7FA7AB8D}"/>
    <w:docVar w:name="KY_MEDREF_VERSION" w:val="3"/>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4F37387"/>
    <w:rsid w:val="788E56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Times New Roman" w:cs="Times New Roman"/>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uiPriority w:val="99"/>
    <w:pPr>
      <w:spacing w:line="240" w:lineRule="auto"/>
    </w:pPr>
    <w:rPr>
      <w:sz w:val="20"/>
      <w:szCs w:val="20"/>
    </w:rPr>
  </w:style>
  <w:style w:type="paragraph" w:styleId="9">
    <w:name w:val="Balloon Text"/>
    <w:basedOn w:val="1"/>
    <w:link w:val="33"/>
    <w:semiHidden/>
    <w:unhideWhenUsed/>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uiPriority w:val="99"/>
    <w:rPr>
      <w:b/>
      <w:bCs/>
    </w:rPr>
  </w:style>
  <w:style w:type="table" w:styleId="17">
    <w:name w:val="Table Grid"/>
    <w:basedOn w:val="16"/>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0"/>
    <w:rPr>
      <w:color w:val="CC0000"/>
      <w:u w:val="single"/>
    </w:rPr>
  </w:style>
  <w:style w:type="character" w:styleId="21">
    <w:name w:val="annotation reference"/>
    <w:basedOn w:val="18"/>
    <w:semiHidden/>
    <w:unhideWhenUsed/>
    <w:uiPriority w:val="99"/>
    <w:rPr>
      <w:sz w:val="16"/>
      <w:szCs w:val="16"/>
    </w:rPr>
  </w:style>
  <w:style w:type="table" w:customStyle="1" w:styleId="22">
    <w:name w:val="_Style 11"/>
    <w:basedOn w:val="16"/>
    <w:uiPriority w:val="0"/>
    <w:pPr>
      <w:spacing w:line="240" w:lineRule="auto"/>
    </w:pPr>
  </w:style>
  <w:style w:type="table" w:customStyle="1" w:styleId="23">
    <w:name w:val="_Style 12"/>
    <w:basedOn w:val="16"/>
    <w:qFormat/>
    <w:uiPriority w:val="0"/>
    <w:tblPr>
      <w:tblCellMar>
        <w:left w:w="115" w:type="dxa"/>
        <w:right w:w="115" w:type="dxa"/>
      </w:tblCellMar>
    </w:tblPr>
  </w:style>
  <w:style w:type="table" w:customStyle="1" w:styleId="24">
    <w:name w:val="_Style 13"/>
    <w:basedOn w:val="16"/>
    <w:uiPriority w:val="0"/>
    <w:tblPr>
      <w:tblCellMar>
        <w:left w:w="115" w:type="dxa"/>
        <w:right w:w="115" w:type="dxa"/>
      </w:tblCellMar>
    </w:tblPr>
  </w:style>
  <w:style w:type="character" w:customStyle="1" w:styleId="25">
    <w:name w:val="Comment Text Char"/>
    <w:basedOn w:val="18"/>
    <w:link w:val="8"/>
    <w:uiPriority w:val="99"/>
    <w:rPr>
      <w:sz w:val="20"/>
      <w:szCs w:val="20"/>
    </w:rPr>
  </w:style>
  <w:style w:type="character" w:customStyle="1" w:styleId="26">
    <w:name w:val="Comment Subject Char"/>
    <w:basedOn w:val="25"/>
    <w:link w:val="15"/>
    <w:semiHidden/>
    <w:uiPriority w:val="99"/>
    <w:rPr>
      <w:b/>
      <w:bCs/>
      <w:sz w:val="20"/>
      <w:szCs w:val="20"/>
    </w:rPr>
  </w:style>
  <w:style w:type="paragraph" w:customStyle="1" w:styleId="27">
    <w:name w:val="EndNote Bibliography Title"/>
    <w:basedOn w:val="1"/>
    <w:link w:val="28"/>
    <w:qFormat/>
    <w:uiPriority w:val="0"/>
    <w:pPr>
      <w:jc w:val="center"/>
    </w:pPr>
    <w:rPr>
      <w:lang w:val="en-GB"/>
    </w:rPr>
  </w:style>
  <w:style w:type="character" w:customStyle="1" w:styleId="28">
    <w:name w:val="EndNote Bibliography Title Char"/>
    <w:basedOn w:val="18"/>
    <w:link w:val="27"/>
    <w:uiPriority w:val="0"/>
    <w:rPr>
      <w:lang w:val="en-GB"/>
    </w:rPr>
  </w:style>
  <w:style w:type="paragraph" w:customStyle="1" w:styleId="29">
    <w:name w:val="EndNote Bibliography"/>
    <w:basedOn w:val="1"/>
    <w:link w:val="30"/>
    <w:qFormat/>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qFormat/>
    <w:uiPriority w:val="0"/>
    <w:rPr>
      <w:rFonts w:hint="default" w:ascii="Segoe UI" w:hAnsi="Segoe UI" w:cs="Segoe UI"/>
      <w:sz w:val="18"/>
      <w:szCs w:val="18"/>
    </w:rPr>
  </w:style>
  <w:style w:type="character" w:customStyle="1" w:styleId="33">
    <w:name w:val="Balloon Text Char"/>
    <w:basedOn w:val="18"/>
    <w:link w:val="9"/>
    <w:semiHidden/>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Header Char"/>
    <w:basedOn w:val="18"/>
    <w:link w:val="11"/>
    <w:qFormat/>
    <w:uiPriority w:val="99"/>
  </w:style>
  <w:style w:type="character" w:customStyle="1" w:styleId="36">
    <w:name w:val="Footer Char"/>
    <w:basedOn w:val="18"/>
    <w:link w:val="10"/>
    <w:qFormat/>
    <w:uiPriority w:val="99"/>
  </w:style>
  <w:style w:type="paragraph" w:customStyle="1" w:styleId="37">
    <w:name w:val="Revision"/>
    <w:hidden/>
    <w:semiHidden/>
    <w:qFormat/>
    <w:uiPriority w:val="99"/>
    <w:pPr>
      <w:spacing w:line="240" w:lineRule="auto"/>
    </w:pPr>
    <w:rPr>
      <w:rFonts w:ascii="Times New Roman" w:hAnsi="Times New Roman" w:eastAsia="Times New Roman" w:cs="Times New Roman"/>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1244</Words>
  <Characters>7116</Characters>
  <Lines>48</Lines>
  <Paragraphs>13</Paragraphs>
  <TotalTime>79</TotalTime>
  <ScaleCrop>false</ScaleCrop>
  <LinksUpToDate>false</LinksUpToDate>
  <CharactersWithSpaces>8198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2024-10-08T14:14:00Z</dcterms:created>
  <dc:creator>Sally Hopewell</dc:creator>
  <cp:lastModifiedBy>朱开来</cp:lastModifiedBy>
  <cp:lastPrinted>2024-03-26T08:52:00Z</cp:lastPrinted>
  <dcterms:modified xsi:type="dcterms:W3CDTF">2026-06-17T14:31:56Z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eyJoZGlkIjoiZTNiMmJjMGUyMDNhMGI0MjllZTc4OTE3ODRjOTBjMWQiLCJ1c2VySWQiOiIyMjc3MDAwMDkifQ==</vt:lpwstr>
  </property>
  <property fmtid="{D5CDD505-2E9C-101B-9397-08002B2CF9AE}" pid="3" name="KSOProductBuildVer">
    <vt:lpwstr>2052-12.1.0.26895</vt:lpwstr>
  </property>
  <property fmtid="{D5CDD505-2E9C-101B-9397-08002B2CF9AE}" pid="4" name="ICV">
    <vt:lpwstr>341C3DA623624249B7744F72935A66A4_13</vt:lpwstr>
  </property>
</Properties>
</file>