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D67B2">
      <w:pPr>
        <w:spacing w:after="200"/>
        <w:jc w:val="center"/>
        <w:rPr>
          <w:sz w:val="32"/>
          <w:szCs w:val="32"/>
        </w:rPr>
      </w:pPr>
      <w:r>
        <w:rPr>
          <w:rFonts w:ascii="Times New Roman" w:hAnsi="Times New Roman" w:eastAsia="Times New Roman" w:cs="Times New Roman"/>
          <w:b/>
          <w:bCs/>
          <w:sz w:val="32"/>
          <w:szCs w:val="32"/>
        </w:rPr>
        <w:t>Supplementary Information</w:t>
      </w:r>
    </w:p>
    <w:p w14:paraId="304C1077">
      <w:pPr>
        <w:spacing w:before="280" w:after="140" w:line="480" w:lineRule="auto"/>
      </w:pPr>
      <w:r>
        <w:rPr>
          <w:rFonts w:ascii="Times New Roman" w:hAnsi="Times New Roman" w:eastAsia="Times New Roman" w:cs="Times New Roman"/>
          <w:b/>
          <w:bCs/>
          <w:sz w:val="28"/>
          <w:szCs w:val="28"/>
        </w:rPr>
        <w:t>Supplementary Methods</w:t>
      </w:r>
    </w:p>
    <w:p w14:paraId="08D0CE0D">
      <w:pPr>
        <w:spacing w:before="200" w:after="80" w:line="480" w:lineRule="auto"/>
      </w:pPr>
      <w:r>
        <w:rPr>
          <w:rFonts w:ascii="Times New Roman" w:hAnsi="Times New Roman" w:eastAsia="Times New Roman" w:cs="Times New Roman"/>
          <w:b/>
          <w:bCs/>
          <w:sz w:val="24"/>
          <w:szCs w:val="24"/>
        </w:rPr>
        <w:t>Data source and record linkage</w:t>
      </w:r>
    </w:p>
    <w:p w14:paraId="47F0A97B">
      <w:pPr>
        <w:spacing w:after="0" w:line="480" w:lineRule="auto"/>
        <w:jc w:val="both"/>
      </w:pPr>
      <w:r>
        <w:rPr>
          <w:rFonts w:ascii="Times New Roman" w:hAnsi="Times New Roman" w:eastAsia="Times New Roman" w:cs="Times New Roman"/>
          <w:b w:val="0"/>
          <w:bCs w:val="0"/>
          <w:i w:val="0"/>
          <w:iCs w:val="0"/>
          <w:sz w:val="24"/>
          <w:szCs w:val="24"/>
        </w:rPr>
        <w:t>Clinical data were obtained from MIMIC-IV version 3.1, and echocardiographic measurements from the MIMIC-IV-ECHO module (Echocardiogram Matched Subset, version 1.0), which is derived from MIMIC-IV version 2.2. The de-identified patient, hospitalization, and ICU-stay identifiers and the per-patient temporal offsets are preserved across MIMIC-</w:t>
      </w:r>
      <w:bookmarkStart w:id="0" w:name="_GoBack"/>
      <w:bookmarkEnd w:id="0"/>
      <w:r>
        <w:rPr>
          <w:rFonts w:ascii="Times New Roman" w:hAnsi="Times New Roman" w:eastAsia="Times New Roman" w:cs="Times New Roman"/>
          <w:b w:val="0"/>
          <w:bCs w:val="0"/>
          <w:i w:val="0"/>
          <w:iCs w:val="0"/>
          <w:sz w:val="24"/>
          <w:szCs w:val="24"/>
        </w:rPr>
        <w:t>IV releases; echocardiographic records were therefore linked to the version 3.1 clinical tables by these identifiers. Linkage succeeded for all echocardiography patients, and the distribution of the interval between the index echocardiogram and ICU admission was consistent with the prespecified window, supporting temporal alignment of the two sources. The structured echocardiographic measurements were obtained from studies performed between 2008 and 2022. Because the de-identified identifiers and per-patient temporal offsets are preserved across MIMIC-IV releases, these records linked unambiguously to the version 3.1 clinical tables regardless of the calendar interval. All extraction was performed in Google BigQuery.</w:t>
      </w:r>
    </w:p>
    <w:p w14:paraId="7435980E">
      <w:pPr>
        <w:spacing w:before="200" w:after="80" w:line="480" w:lineRule="auto"/>
      </w:pPr>
      <w:r>
        <w:rPr>
          <w:rFonts w:ascii="Times New Roman" w:hAnsi="Times New Roman" w:eastAsia="Times New Roman" w:cs="Times New Roman"/>
          <w:b/>
          <w:bCs/>
          <w:sz w:val="24"/>
          <w:szCs w:val="24"/>
        </w:rPr>
        <w:t>Cohort derivation and index time</w:t>
      </w:r>
    </w:p>
    <w:p w14:paraId="4CB7901A">
      <w:pPr>
        <w:spacing w:after="0" w:line="480" w:lineRule="auto"/>
        <w:jc w:val="both"/>
      </w:pPr>
      <w:r>
        <w:rPr>
          <w:rFonts w:ascii="Times New Roman" w:hAnsi="Times New Roman" w:eastAsia="Times New Roman" w:cs="Times New Roman"/>
          <w:b w:val="0"/>
          <w:bCs w:val="0"/>
          <w:i w:val="0"/>
          <w:iCs w:val="0"/>
          <w:sz w:val="24"/>
          <w:szCs w:val="24"/>
        </w:rPr>
        <w:t>Only the first ICU admission per patient was considered. For each ICU stay, the transthoracic echocardiogram closest to ICU admission within the window of 24 hours before to 48 hours after admission was selected, and the time of that study defined the index time (time zero). The cohort was restricted to studies with an interpretable mean E/e′ and a left ventricular ejection fraction of at least 50%. Exclusions and the number of patients removed at each step are shown in Figure 1.</w:t>
      </w:r>
    </w:p>
    <w:p w14:paraId="5E063F00">
      <w:pPr>
        <w:spacing w:before="200" w:after="80" w:line="480" w:lineRule="auto"/>
      </w:pPr>
      <w:r>
        <w:rPr>
          <w:rFonts w:ascii="Times New Roman" w:hAnsi="Times New Roman" w:eastAsia="Times New Roman" w:cs="Times New Roman"/>
          <w:b/>
          <w:bCs/>
          <w:sz w:val="24"/>
          <w:szCs w:val="24"/>
        </w:rPr>
        <w:t>Echocardiographic measurements</w:t>
      </w:r>
    </w:p>
    <w:p w14:paraId="35EF6B42">
      <w:pPr>
        <w:spacing w:after="0" w:line="480" w:lineRule="auto"/>
        <w:jc w:val="both"/>
      </w:pPr>
      <w:r>
        <w:rPr>
          <w:rFonts w:ascii="Times New Roman" w:hAnsi="Times New Roman" w:eastAsia="Times New Roman" w:cs="Times New Roman"/>
          <w:b w:val="0"/>
          <w:bCs w:val="0"/>
          <w:i w:val="0"/>
          <w:iCs w:val="0"/>
          <w:sz w:val="24"/>
          <w:szCs w:val="24"/>
        </w:rPr>
        <w:t>Echocardiographic variables were taken from the structured measurement table. Mean E/e′ (field mean_E_to_eprime), a non-invasive index of left ventricular filling pressure, was the primary exposure; septal E/e′ (septal_E_to_eprime) was used in a sensitivity analysis. Because mean_E_to_eprime is a pre-computed field in the structured measurement table, it was available for all patients, including a small number in whom the separate septal e′ field was missing. Left ventricular ejection fraction (lvef) defined preserved systolic function. Physiologically implausible values were removed before analysis using the ranges given in Supplementary Table S4.</w:t>
      </w:r>
    </w:p>
    <w:p w14:paraId="65AEB2D3">
      <w:pPr>
        <w:spacing w:before="200" w:after="80" w:line="480" w:lineRule="auto"/>
      </w:pPr>
      <w:r>
        <w:rPr>
          <w:rFonts w:ascii="Times New Roman" w:hAnsi="Times New Roman" w:eastAsia="Times New Roman" w:cs="Times New Roman"/>
          <w:b/>
          <w:bCs/>
          <w:sz w:val="24"/>
          <w:szCs w:val="24"/>
        </w:rPr>
        <w:t>Acute kidney injury: definition and temporal anchoring</w:t>
      </w:r>
    </w:p>
    <w:p w14:paraId="1B3E82A4">
      <w:pPr>
        <w:spacing w:after="0" w:line="480" w:lineRule="auto"/>
        <w:jc w:val="both"/>
      </w:pPr>
      <w:r>
        <w:rPr>
          <w:rFonts w:ascii="Times New Roman" w:hAnsi="Times New Roman" w:eastAsia="Times New Roman" w:cs="Times New Roman"/>
          <w:b w:val="0"/>
          <w:bCs w:val="0"/>
          <w:i w:val="0"/>
          <w:iCs w:val="0"/>
          <w:sz w:val="24"/>
          <w:szCs w:val="24"/>
        </w:rPr>
        <w:t>Acute kidney injury was defined by the KDIGO serum-creatinine criteria. The baseline creatinine was the lowest value recorded during the 7 days before the index echocardiogram. A patient was classified as having incident acute kidney injury if any creatinine value measured after the index echocardiogram and within 7 days rose by at least 0.3 mg/dL (26.5 µmol/L) above baseline or to at least 1.5 times baseline; the time of onset was the time of the first such value. Patients whose creatinine already satisfied these criteria at the index time (relative to the pre-index baseline) were excluded as prevalent cases, and patients without a pre-index baseline creatinine were excluded, so that the exposure necessarily preceded the outcome. The 0.3 mg/dL absolute-increase criterion, conventionally evaluated over 48 hours, was assessed across the 7-day post-index window—a deliberate, transparent deviation from the strict KDIGO timeframe; a sensitivity analysis restricting AKI to events within 48 hours of the index echocardiogram is reported in the Results.</w:t>
      </w:r>
    </w:p>
    <w:p w14:paraId="5416DCBC">
      <w:pPr>
        <w:spacing w:before="200" w:after="80" w:line="480" w:lineRule="auto"/>
      </w:pPr>
      <w:r>
        <w:rPr>
          <w:rFonts w:ascii="Times New Roman" w:hAnsi="Times New Roman" w:eastAsia="Times New Roman" w:cs="Times New Roman"/>
          <w:b/>
          <w:bCs/>
          <w:sz w:val="24"/>
          <w:szCs w:val="24"/>
        </w:rPr>
        <w:t>Covariate definitions and data sources</w:t>
      </w:r>
    </w:p>
    <w:p w14:paraId="3E9997E9">
      <w:pPr>
        <w:spacing w:after="0" w:line="480" w:lineRule="auto"/>
        <w:jc w:val="both"/>
      </w:pPr>
      <w:r>
        <w:rPr>
          <w:rFonts w:ascii="Times New Roman" w:hAnsi="Times New Roman" w:eastAsia="Times New Roman" w:cs="Times New Roman"/>
          <w:b w:val="0"/>
          <w:bCs w:val="0"/>
          <w:i w:val="0"/>
          <w:iCs w:val="0"/>
          <w:sz w:val="24"/>
          <w:szCs w:val="24"/>
        </w:rPr>
        <w:t>Comorbidities (chronic kidney disease, diabetes mellitus) and the Charlson comorbidity index were obtained from the derived comorbidity tables; the first-24-hour Sequential Organ Failure Assessment score, sepsis (Sepsis-3), and invasive mechanical ventilation from the corresponding derived concept tables; hypertension and end-stage renal disease from diagnostic codes; and vasopressor or inotrope administration from infusion records. The exact tables, diagnostic codes, and item identifiers are listed in Supplementary Table S4.</w:t>
      </w:r>
    </w:p>
    <w:p w14:paraId="770A70E4">
      <w:pPr>
        <w:spacing w:before="200" w:after="80" w:line="480" w:lineRule="auto"/>
      </w:pPr>
      <w:r>
        <w:rPr>
          <w:rFonts w:ascii="Times New Roman" w:hAnsi="Times New Roman" w:eastAsia="Times New Roman" w:cs="Times New Roman"/>
          <w:b/>
          <w:bCs/>
          <w:sz w:val="24"/>
          <w:szCs w:val="24"/>
        </w:rPr>
        <w:t>Statistical methods</w:t>
      </w:r>
    </w:p>
    <w:p w14:paraId="34E51FDD">
      <w:pPr>
        <w:spacing w:after="0" w:line="480" w:lineRule="auto"/>
        <w:jc w:val="both"/>
      </w:pPr>
      <w:r>
        <w:rPr>
          <w:rFonts w:ascii="Times New Roman" w:hAnsi="Times New Roman" w:eastAsia="Times New Roman" w:cs="Times New Roman"/>
          <w:b w:val="0"/>
          <w:bCs w:val="0"/>
          <w:i w:val="0"/>
          <w:iCs w:val="0"/>
          <w:sz w:val="24"/>
          <w:szCs w:val="24"/>
        </w:rPr>
        <w:t>The primary analysis was a Fine–Gray subdistribution hazard model for incident acute kidney injury, with death within 7 days as the competing event and a 7-day administrative censoring time; observations without an event by day 7 were censored. Patients discharged alive before day 7 without a further qualifying creatinine value were treated as free of incident AKI through day 7; because creatinine ascertainment depends on continued inpatient testing, AKI arising after early discharge may be under-captured, as noted among the limitations. The model was adjusted for all prespecified covariates and fitted with the cmprsk package. Sensitivity analyses for the 7-day cumulative outcome used multivariable logistic regression and a modified Poisson model with heteroscedasticity-consistent (sandwich) variance. The dose–response relationship was modelled with restricted cubic splines (four knots), with the test for nonlinearity reported in Supplementary Table S3. Effect modification by sepsis was assessed with a multiplicative interaction term. All 3,067 patients had complete data for the model covariates: derived comorbidity and organ-support variables encode the absence of a condition as not present, and the continuous covariates were complete after cohort construction, so no patients were excluded for missing data. All tests were two-sided at a significance threshold of 0.05. Analyses were performed in R version 4.5.2 (packages cmprsk, rms, tableone, sandwich, lmtest, and EValue).</w:t>
      </w:r>
    </w:p>
    <w:p w14:paraId="09896770">
      <w:r>
        <w:rPr>
          <w:rFonts w:ascii="Times New Roman" w:hAnsi="Times New Roman" w:eastAsia="Times New Roman" w:cs="Times New Roman"/>
        </w:rPr>
        <w:br w:type="page"/>
      </w:r>
    </w:p>
    <w:p w14:paraId="61292ECB">
      <w:pPr>
        <w:spacing w:before="120" w:after="80" w:line="276" w:lineRule="auto"/>
      </w:pPr>
      <w:r>
        <w:rPr>
          <w:rFonts w:ascii="Times New Roman" w:hAnsi="Times New Roman" w:eastAsia="Times New Roman" w:cs="Times New Roman"/>
          <w:b/>
          <w:bCs/>
          <w:sz w:val="24"/>
          <w:szCs w:val="24"/>
        </w:rPr>
        <w:t xml:space="preserve">Supplementary Table S1. </w:t>
      </w:r>
      <w:r>
        <w:rPr>
          <w:rFonts w:ascii="Times New Roman" w:hAnsi="Times New Roman" w:eastAsia="Times New Roman" w:cs="Times New Roman"/>
          <w:sz w:val="24"/>
          <w:szCs w:val="24"/>
        </w:rPr>
        <w:t>Fully adjusted multivariable logistic regression model for incident 7-day acute kidney injury.</w:t>
      </w:r>
    </w:p>
    <w:tbl>
      <w:tblPr>
        <w:tblStyle w:val="11"/>
        <w:tblW w:w="9360" w:type="dxa"/>
        <w:tblInd w:w="0" w:type="dxa"/>
        <w:tblBorders>
          <w:top w:val="single" w:color="auto" w:sz="4" w:space="0"/>
          <w:left w:val="none" w:color="auto" w:sz="4" w:space="0"/>
          <w:bottom w:val="single" w:color="auto" w:sz="4" w:space="0"/>
          <w:right w:val="none" w:color="auto" w:sz="4" w:space="0"/>
          <w:insideH w:val="single" w:color="auto" w:sz="4" w:space="0"/>
          <w:insideV w:val="none" w:color="auto" w:sz="4" w:space="0"/>
        </w:tblBorders>
        <w:tblLayout w:type="autofit"/>
        <w:tblCellMar>
          <w:top w:w="0" w:type="dxa"/>
          <w:left w:w="10" w:type="dxa"/>
          <w:bottom w:w="0" w:type="dxa"/>
          <w:right w:w="10" w:type="dxa"/>
        </w:tblCellMar>
      </w:tblPr>
      <w:tblGrid>
        <w:gridCol w:w="5200"/>
        <w:gridCol w:w="4160"/>
      </w:tblGrid>
      <w:tr w14:paraId="0AB46BFA">
        <w:trPr>
          <w:tblHeader/>
        </w:trPr>
        <w:tc>
          <w:tcPr>
            <w:tcW w:w="5200" w:type="dxa"/>
            <w:tcBorders>
              <w:top w:val="single" w:color="000000" w:sz="12" w:space="0"/>
              <w:left w:val="nil"/>
              <w:bottom w:val="single" w:color="000000" w:sz="4" w:space="0"/>
              <w:right w:val="nil"/>
            </w:tcBorders>
            <w:tcMar>
              <w:top w:w="40" w:type="dxa"/>
              <w:left w:w="80" w:type="dxa"/>
              <w:bottom w:w="40" w:type="dxa"/>
              <w:right w:w="80" w:type="dxa"/>
            </w:tcMar>
          </w:tcPr>
          <w:p w14:paraId="76B19582">
            <w:pPr>
              <w:spacing w:after="0" w:line="240" w:lineRule="auto"/>
              <w:jc w:val="left"/>
            </w:pPr>
            <w:r>
              <w:rPr>
                <w:rFonts w:ascii="Times New Roman" w:hAnsi="Times New Roman" w:eastAsia="Times New Roman" w:cs="Times New Roman"/>
                <w:b/>
                <w:bCs/>
                <w:sz w:val="20"/>
                <w:szCs w:val="20"/>
              </w:rPr>
              <w:t>Variable</w:t>
            </w:r>
          </w:p>
        </w:tc>
        <w:tc>
          <w:tcPr>
            <w:tcW w:w="4160" w:type="dxa"/>
            <w:tcBorders>
              <w:top w:val="single" w:color="000000" w:sz="12" w:space="0"/>
              <w:left w:val="nil"/>
              <w:bottom w:val="single" w:color="000000" w:sz="4" w:space="0"/>
              <w:right w:val="nil"/>
            </w:tcBorders>
            <w:tcMar>
              <w:top w:w="40" w:type="dxa"/>
              <w:left w:w="80" w:type="dxa"/>
              <w:bottom w:w="40" w:type="dxa"/>
              <w:right w:w="80" w:type="dxa"/>
            </w:tcMar>
          </w:tcPr>
          <w:p w14:paraId="5A824D3A">
            <w:pPr>
              <w:spacing w:after="0" w:line="240" w:lineRule="auto"/>
              <w:jc w:val="center"/>
            </w:pPr>
            <w:r>
              <w:rPr>
                <w:rFonts w:ascii="Times New Roman" w:hAnsi="Times New Roman" w:eastAsia="Times New Roman" w:cs="Times New Roman"/>
                <w:b/>
                <w:bCs/>
                <w:sz w:val="20"/>
                <w:szCs w:val="20"/>
              </w:rPr>
              <w:t>Adjusted odds ratio</w:t>
            </w:r>
          </w:p>
          <w:p w14:paraId="28A17DCD">
            <w:pPr>
              <w:spacing w:after="0" w:line="240" w:lineRule="auto"/>
              <w:jc w:val="center"/>
            </w:pPr>
            <w:r>
              <w:rPr>
                <w:rFonts w:ascii="Times New Roman" w:hAnsi="Times New Roman" w:eastAsia="Times New Roman" w:cs="Times New Roman"/>
                <w:b/>
                <w:bCs/>
                <w:sz w:val="20"/>
                <w:szCs w:val="20"/>
              </w:rPr>
              <w:t>(95% CI)</w:t>
            </w:r>
          </w:p>
        </w:tc>
      </w:tr>
      <w:tr w14:paraId="7837F132">
        <w:tc>
          <w:tcPr>
            <w:tcW w:w="5200" w:type="dxa"/>
            <w:tcBorders>
              <w:top w:val="nil"/>
              <w:left w:val="nil"/>
              <w:bottom w:val="nil"/>
              <w:right w:val="nil"/>
            </w:tcBorders>
            <w:tcMar>
              <w:top w:w="40" w:type="dxa"/>
              <w:left w:w="80" w:type="dxa"/>
              <w:bottom w:w="40" w:type="dxa"/>
              <w:right w:w="80" w:type="dxa"/>
            </w:tcMar>
          </w:tcPr>
          <w:p w14:paraId="3B18876D">
            <w:pPr>
              <w:spacing w:after="0" w:line="240" w:lineRule="auto"/>
              <w:jc w:val="left"/>
            </w:pPr>
            <w:r>
              <w:rPr>
                <w:rFonts w:ascii="Times New Roman" w:hAnsi="Times New Roman" w:eastAsia="Times New Roman" w:cs="Times New Roman"/>
                <w:b w:val="0"/>
                <w:bCs w:val="0"/>
                <w:sz w:val="20"/>
                <w:szCs w:val="20"/>
              </w:rPr>
              <w:t>Mean E/e′ (per 1-unit)</w:t>
            </w:r>
          </w:p>
        </w:tc>
        <w:tc>
          <w:tcPr>
            <w:tcW w:w="4160" w:type="dxa"/>
            <w:tcBorders>
              <w:top w:val="nil"/>
              <w:left w:val="nil"/>
              <w:bottom w:val="nil"/>
              <w:right w:val="nil"/>
            </w:tcBorders>
            <w:tcMar>
              <w:top w:w="40" w:type="dxa"/>
              <w:left w:w="80" w:type="dxa"/>
              <w:bottom w:w="40" w:type="dxa"/>
              <w:right w:w="80" w:type="dxa"/>
            </w:tcMar>
          </w:tcPr>
          <w:p w14:paraId="5693F6D9">
            <w:pPr>
              <w:spacing w:after="0" w:line="240" w:lineRule="auto"/>
              <w:jc w:val="center"/>
            </w:pPr>
            <w:r>
              <w:rPr>
                <w:rFonts w:ascii="Times New Roman" w:hAnsi="Times New Roman" w:eastAsia="Times New Roman" w:cs="Times New Roman"/>
                <w:b w:val="0"/>
                <w:bCs w:val="0"/>
                <w:sz w:val="20"/>
                <w:szCs w:val="20"/>
              </w:rPr>
              <w:t>1.038 (1.015–1.060)</w:t>
            </w:r>
          </w:p>
        </w:tc>
      </w:tr>
      <w:tr w14:paraId="7D42A779">
        <w:tc>
          <w:tcPr>
            <w:tcW w:w="5200" w:type="dxa"/>
            <w:tcBorders>
              <w:top w:val="nil"/>
              <w:left w:val="nil"/>
              <w:bottom w:val="nil"/>
              <w:right w:val="nil"/>
            </w:tcBorders>
            <w:tcMar>
              <w:top w:w="40" w:type="dxa"/>
              <w:left w:w="80" w:type="dxa"/>
              <w:bottom w:w="40" w:type="dxa"/>
              <w:right w:w="80" w:type="dxa"/>
            </w:tcMar>
          </w:tcPr>
          <w:p w14:paraId="55F6ACDA">
            <w:pPr>
              <w:spacing w:after="0" w:line="240" w:lineRule="auto"/>
              <w:jc w:val="left"/>
            </w:pPr>
            <w:r>
              <w:rPr>
                <w:rFonts w:ascii="Times New Roman" w:hAnsi="Times New Roman" w:eastAsia="Times New Roman" w:cs="Times New Roman"/>
                <w:b w:val="0"/>
                <w:bCs w:val="0"/>
                <w:sz w:val="20"/>
                <w:szCs w:val="20"/>
              </w:rPr>
              <w:t>Age (per year)</w:t>
            </w:r>
          </w:p>
        </w:tc>
        <w:tc>
          <w:tcPr>
            <w:tcW w:w="4160" w:type="dxa"/>
            <w:tcBorders>
              <w:top w:val="nil"/>
              <w:left w:val="nil"/>
              <w:bottom w:val="nil"/>
              <w:right w:val="nil"/>
            </w:tcBorders>
            <w:tcMar>
              <w:top w:w="40" w:type="dxa"/>
              <w:left w:w="80" w:type="dxa"/>
              <w:bottom w:w="40" w:type="dxa"/>
              <w:right w:w="80" w:type="dxa"/>
            </w:tcMar>
          </w:tcPr>
          <w:p w14:paraId="5F958A22">
            <w:pPr>
              <w:spacing w:after="0" w:line="240" w:lineRule="auto"/>
              <w:jc w:val="center"/>
            </w:pPr>
            <w:r>
              <w:rPr>
                <w:rFonts w:ascii="Times New Roman" w:hAnsi="Times New Roman" w:eastAsia="Times New Roman" w:cs="Times New Roman"/>
                <w:b w:val="0"/>
                <w:bCs w:val="0"/>
                <w:sz w:val="20"/>
                <w:szCs w:val="20"/>
              </w:rPr>
              <w:t>0.991 (0.984–0.999)</w:t>
            </w:r>
          </w:p>
        </w:tc>
      </w:tr>
      <w:tr w14:paraId="389B45FA">
        <w:tc>
          <w:tcPr>
            <w:tcW w:w="5200" w:type="dxa"/>
            <w:tcBorders>
              <w:top w:val="nil"/>
              <w:left w:val="nil"/>
              <w:bottom w:val="nil"/>
              <w:right w:val="nil"/>
            </w:tcBorders>
            <w:tcMar>
              <w:top w:w="40" w:type="dxa"/>
              <w:left w:w="80" w:type="dxa"/>
              <w:bottom w:w="40" w:type="dxa"/>
              <w:right w:w="80" w:type="dxa"/>
            </w:tcMar>
          </w:tcPr>
          <w:p w14:paraId="1F52194B">
            <w:pPr>
              <w:spacing w:after="0" w:line="240" w:lineRule="auto"/>
              <w:jc w:val="left"/>
            </w:pPr>
            <w:r>
              <w:rPr>
                <w:rFonts w:ascii="Times New Roman" w:hAnsi="Times New Roman" w:eastAsia="Times New Roman" w:cs="Times New Roman"/>
                <w:b w:val="0"/>
                <w:bCs w:val="0"/>
                <w:sz w:val="20"/>
                <w:szCs w:val="20"/>
              </w:rPr>
              <w:t>Female sex</w:t>
            </w:r>
          </w:p>
        </w:tc>
        <w:tc>
          <w:tcPr>
            <w:tcW w:w="4160" w:type="dxa"/>
            <w:tcBorders>
              <w:top w:val="nil"/>
              <w:left w:val="nil"/>
              <w:bottom w:val="nil"/>
              <w:right w:val="nil"/>
            </w:tcBorders>
            <w:tcMar>
              <w:top w:w="40" w:type="dxa"/>
              <w:left w:w="80" w:type="dxa"/>
              <w:bottom w:w="40" w:type="dxa"/>
              <w:right w:w="80" w:type="dxa"/>
            </w:tcMar>
          </w:tcPr>
          <w:p w14:paraId="2B2AFBEF">
            <w:pPr>
              <w:spacing w:after="0" w:line="240" w:lineRule="auto"/>
              <w:jc w:val="center"/>
            </w:pPr>
            <w:r>
              <w:rPr>
                <w:rFonts w:ascii="Times New Roman" w:hAnsi="Times New Roman" w:eastAsia="Times New Roman" w:cs="Times New Roman"/>
                <w:b w:val="0"/>
                <w:bCs w:val="0"/>
                <w:sz w:val="20"/>
                <w:szCs w:val="20"/>
              </w:rPr>
              <w:t>0.883 (0.727–1.072)</w:t>
            </w:r>
          </w:p>
        </w:tc>
      </w:tr>
      <w:tr w14:paraId="57EF234D">
        <w:tc>
          <w:tcPr>
            <w:tcW w:w="5200" w:type="dxa"/>
            <w:tcBorders>
              <w:top w:val="nil"/>
              <w:left w:val="nil"/>
              <w:bottom w:val="nil"/>
              <w:right w:val="nil"/>
            </w:tcBorders>
            <w:tcMar>
              <w:top w:w="40" w:type="dxa"/>
              <w:left w:w="80" w:type="dxa"/>
              <w:bottom w:w="40" w:type="dxa"/>
              <w:right w:w="80" w:type="dxa"/>
            </w:tcMar>
          </w:tcPr>
          <w:p w14:paraId="0EF4AB98">
            <w:pPr>
              <w:spacing w:after="0" w:line="240" w:lineRule="auto"/>
              <w:jc w:val="left"/>
            </w:pPr>
            <w:r>
              <w:rPr>
                <w:rFonts w:ascii="Times New Roman" w:hAnsi="Times New Roman" w:eastAsia="Times New Roman" w:cs="Times New Roman"/>
                <w:b w:val="0"/>
                <w:bCs w:val="0"/>
                <w:sz w:val="20"/>
                <w:szCs w:val="20"/>
              </w:rPr>
              <w:t>SOFA score (first 24 h)</w:t>
            </w:r>
          </w:p>
        </w:tc>
        <w:tc>
          <w:tcPr>
            <w:tcW w:w="4160" w:type="dxa"/>
            <w:tcBorders>
              <w:top w:val="nil"/>
              <w:left w:val="nil"/>
              <w:bottom w:val="nil"/>
              <w:right w:val="nil"/>
            </w:tcBorders>
            <w:tcMar>
              <w:top w:w="40" w:type="dxa"/>
              <w:left w:w="80" w:type="dxa"/>
              <w:bottom w:w="40" w:type="dxa"/>
              <w:right w:w="80" w:type="dxa"/>
            </w:tcMar>
          </w:tcPr>
          <w:p w14:paraId="503F7B3E">
            <w:pPr>
              <w:spacing w:after="0" w:line="240" w:lineRule="auto"/>
              <w:jc w:val="center"/>
            </w:pPr>
            <w:r>
              <w:rPr>
                <w:rFonts w:ascii="Times New Roman" w:hAnsi="Times New Roman" w:eastAsia="Times New Roman" w:cs="Times New Roman"/>
                <w:b w:val="0"/>
                <w:bCs w:val="0"/>
                <w:sz w:val="20"/>
                <w:szCs w:val="20"/>
              </w:rPr>
              <w:t>1.104 (1.060–1.149)</w:t>
            </w:r>
          </w:p>
        </w:tc>
      </w:tr>
      <w:tr w14:paraId="04A2CF71">
        <w:tc>
          <w:tcPr>
            <w:tcW w:w="5200" w:type="dxa"/>
            <w:tcBorders>
              <w:top w:val="nil"/>
              <w:left w:val="nil"/>
              <w:bottom w:val="nil"/>
              <w:right w:val="nil"/>
            </w:tcBorders>
            <w:tcMar>
              <w:top w:w="40" w:type="dxa"/>
              <w:left w:w="80" w:type="dxa"/>
              <w:bottom w:w="40" w:type="dxa"/>
              <w:right w:w="80" w:type="dxa"/>
            </w:tcMar>
          </w:tcPr>
          <w:p w14:paraId="5AB49EBF">
            <w:pPr>
              <w:spacing w:after="0" w:line="240" w:lineRule="auto"/>
              <w:jc w:val="left"/>
            </w:pPr>
            <w:r>
              <w:rPr>
                <w:rFonts w:ascii="Times New Roman" w:hAnsi="Times New Roman" w:eastAsia="Times New Roman" w:cs="Times New Roman"/>
                <w:b w:val="0"/>
                <w:bCs w:val="0"/>
                <w:sz w:val="20"/>
                <w:szCs w:val="20"/>
              </w:rPr>
              <w:t>Charlson comorbidity index</w:t>
            </w:r>
          </w:p>
        </w:tc>
        <w:tc>
          <w:tcPr>
            <w:tcW w:w="4160" w:type="dxa"/>
            <w:tcBorders>
              <w:top w:val="nil"/>
              <w:left w:val="nil"/>
              <w:bottom w:val="nil"/>
              <w:right w:val="nil"/>
            </w:tcBorders>
            <w:tcMar>
              <w:top w:w="40" w:type="dxa"/>
              <w:left w:w="80" w:type="dxa"/>
              <w:bottom w:w="40" w:type="dxa"/>
              <w:right w:w="80" w:type="dxa"/>
            </w:tcMar>
          </w:tcPr>
          <w:p w14:paraId="7DBFBF28">
            <w:pPr>
              <w:spacing w:after="0" w:line="240" w:lineRule="auto"/>
              <w:jc w:val="center"/>
            </w:pPr>
            <w:r>
              <w:rPr>
                <w:rFonts w:ascii="Times New Roman" w:hAnsi="Times New Roman" w:eastAsia="Times New Roman" w:cs="Times New Roman"/>
                <w:b w:val="0"/>
                <w:bCs w:val="0"/>
                <w:sz w:val="20"/>
                <w:szCs w:val="20"/>
              </w:rPr>
              <w:t>1.069 (1.021–1.120)</w:t>
            </w:r>
          </w:p>
        </w:tc>
      </w:tr>
      <w:tr w14:paraId="51D8A3DD">
        <w:tc>
          <w:tcPr>
            <w:tcW w:w="5200" w:type="dxa"/>
            <w:tcBorders>
              <w:top w:val="nil"/>
              <w:left w:val="nil"/>
              <w:bottom w:val="nil"/>
              <w:right w:val="nil"/>
            </w:tcBorders>
            <w:tcMar>
              <w:top w:w="40" w:type="dxa"/>
              <w:left w:w="80" w:type="dxa"/>
              <w:bottom w:w="40" w:type="dxa"/>
              <w:right w:w="80" w:type="dxa"/>
            </w:tcMar>
          </w:tcPr>
          <w:p w14:paraId="197ED2AF">
            <w:pPr>
              <w:spacing w:after="0" w:line="240" w:lineRule="auto"/>
              <w:jc w:val="left"/>
            </w:pPr>
            <w:r>
              <w:rPr>
                <w:rFonts w:ascii="Times New Roman" w:hAnsi="Times New Roman" w:eastAsia="Times New Roman" w:cs="Times New Roman"/>
                <w:b w:val="0"/>
                <w:bCs w:val="0"/>
                <w:sz w:val="20"/>
                <w:szCs w:val="20"/>
              </w:rPr>
              <w:t>Chronic kidney disease</w:t>
            </w:r>
          </w:p>
        </w:tc>
        <w:tc>
          <w:tcPr>
            <w:tcW w:w="4160" w:type="dxa"/>
            <w:tcBorders>
              <w:top w:val="nil"/>
              <w:left w:val="nil"/>
              <w:bottom w:val="nil"/>
              <w:right w:val="nil"/>
            </w:tcBorders>
            <w:tcMar>
              <w:top w:w="40" w:type="dxa"/>
              <w:left w:w="80" w:type="dxa"/>
              <w:bottom w:w="40" w:type="dxa"/>
              <w:right w:w="80" w:type="dxa"/>
            </w:tcMar>
          </w:tcPr>
          <w:p w14:paraId="4FA37BF7">
            <w:pPr>
              <w:spacing w:after="0" w:line="240" w:lineRule="auto"/>
              <w:jc w:val="center"/>
            </w:pPr>
            <w:r>
              <w:rPr>
                <w:rFonts w:ascii="Times New Roman" w:hAnsi="Times New Roman" w:eastAsia="Times New Roman" w:cs="Times New Roman"/>
                <w:b w:val="0"/>
                <w:bCs w:val="0"/>
                <w:sz w:val="20"/>
                <w:szCs w:val="20"/>
              </w:rPr>
              <w:t>1.760 (1.341–2.310)</w:t>
            </w:r>
          </w:p>
        </w:tc>
      </w:tr>
      <w:tr w14:paraId="48F03B42">
        <w:tc>
          <w:tcPr>
            <w:tcW w:w="5200" w:type="dxa"/>
            <w:tcBorders>
              <w:top w:val="nil"/>
              <w:left w:val="nil"/>
              <w:bottom w:val="nil"/>
              <w:right w:val="nil"/>
            </w:tcBorders>
            <w:tcMar>
              <w:top w:w="40" w:type="dxa"/>
              <w:left w:w="80" w:type="dxa"/>
              <w:bottom w:w="40" w:type="dxa"/>
              <w:right w:w="80" w:type="dxa"/>
            </w:tcMar>
          </w:tcPr>
          <w:p w14:paraId="25916F86">
            <w:pPr>
              <w:spacing w:after="0" w:line="240" w:lineRule="auto"/>
              <w:jc w:val="left"/>
            </w:pPr>
            <w:r>
              <w:rPr>
                <w:rFonts w:ascii="Times New Roman" w:hAnsi="Times New Roman" w:eastAsia="Times New Roman" w:cs="Times New Roman"/>
                <w:b w:val="0"/>
                <w:bCs w:val="0"/>
                <w:sz w:val="20"/>
                <w:szCs w:val="20"/>
              </w:rPr>
              <w:t>Diabetes mellitus</w:t>
            </w:r>
          </w:p>
        </w:tc>
        <w:tc>
          <w:tcPr>
            <w:tcW w:w="4160" w:type="dxa"/>
            <w:tcBorders>
              <w:top w:val="nil"/>
              <w:left w:val="nil"/>
              <w:bottom w:val="nil"/>
              <w:right w:val="nil"/>
            </w:tcBorders>
            <w:tcMar>
              <w:top w:w="40" w:type="dxa"/>
              <w:left w:w="80" w:type="dxa"/>
              <w:bottom w:w="40" w:type="dxa"/>
              <w:right w:w="80" w:type="dxa"/>
            </w:tcMar>
          </w:tcPr>
          <w:p w14:paraId="67448EFA">
            <w:pPr>
              <w:spacing w:after="0" w:line="240" w:lineRule="auto"/>
              <w:jc w:val="center"/>
            </w:pPr>
            <w:r>
              <w:rPr>
                <w:rFonts w:ascii="Times New Roman" w:hAnsi="Times New Roman" w:eastAsia="Times New Roman" w:cs="Times New Roman"/>
                <w:b w:val="0"/>
                <w:bCs w:val="0"/>
                <w:sz w:val="20"/>
                <w:szCs w:val="20"/>
              </w:rPr>
              <w:t>1.090 (0.877–1.354)</w:t>
            </w:r>
          </w:p>
        </w:tc>
      </w:tr>
      <w:tr w14:paraId="60AD3990">
        <w:tc>
          <w:tcPr>
            <w:tcW w:w="5200" w:type="dxa"/>
            <w:tcBorders>
              <w:top w:val="nil"/>
              <w:left w:val="nil"/>
              <w:bottom w:val="nil"/>
              <w:right w:val="nil"/>
            </w:tcBorders>
            <w:tcMar>
              <w:top w:w="40" w:type="dxa"/>
              <w:left w:w="80" w:type="dxa"/>
              <w:bottom w:w="40" w:type="dxa"/>
              <w:right w:w="80" w:type="dxa"/>
            </w:tcMar>
          </w:tcPr>
          <w:p w14:paraId="259BDF03">
            <w:pPr>
              <w:spacing w:after="0" w:line="240" w:lineRule="auto"/>
              <w:jc w:val="left"/>
            </w:pPr>
            <w:r>
              <w:rPr>
                <w:rFonts w:ascii="Times New Roman" w:hAnsi="Times New Roman" w:eastAsia="Times New Roman" w:cs="Times New Roman"/>
                <w:b w:val="0"/>
                <w:bCs w:val="0"/>
                <w:sz w:val="20"/>
                <w:szCs w:val="20"/>
              </w:rPr>
              <w:t>Hypertension</w:t>
            </w:r>
          </w:p>
        </w:tc>
        <w:tc>
          <w:tcPr>
            <w:tcW w:w="4160" w:type="dxa"/>
            <w:tcBorders>
              <w:top w:val="nil"/>
              <w:left w:val="nil"/>
              <w:bottom w:val="nil"/>
              <w:right w:val="nil"/>
            </w:tcBorders>
            <w:tcMar>
              <w:top w:w="40" w:type="dxa"/>
              <w:left w:w="80" w:type="dxa"/>
              <w:bottom w:w="40" w:type="dxa"/>
              <w:right w:w="80" w:type="dxa"/>
            </w:tcMar>
          </w:tcPr>
          <w:p w14:paraId="63AC97D7">
            <w:pPr>
              <w:spacing w:after="0" w:line="240" w:lineRule="auto"/>
              <w:jc w:val="center"/>
            </w:pPr>
            <w:r>
              <w:rPr>
                <w:rFonts w:ascii="Times New Roman" w:hAnsi="Times New Roman" w:eastAsia="Times New Roman" w:cs="Times New Roman"/>
                <w:b w:val="0"/>
                <w:bCs w:val="0"/>
                <w:sz w:val="20"/>
                <w:szCs w:val="20"/>
              </w:rPr>
              <w:t>1.306 (1.041–1.639)</w:t>
            </w:r>
          </w:p>
        </w:tc>
      </w:tr>
      <w:tr w14:paraId="378EFF85">
        <w:tc>
          <w:tcPr>
            <w:tcW w:w="5200" w:type="dxa"/>
            <w:tcBorders>
              <w:top w:val="nil"/>
              <w:left w:val="nil"/>
              <w:bottom w:val="nil"/>
              <w:right w:val="nil"/>
            </w:tcBorders>
            <w:tcMar>
              <w:top w:w="40" w:type="dxa"/>
              <w:left w:w="80" w:type="dxa"/>
              <w:bottom w:w="40" w:type="dxa"/>
              <w:right w:w="80" w:type="dxa"/>
            </w:tcMar>
          </w:tcPr>
          <w:p w14:paraId="177836C2">
            <w:pPr>
              <w:spacing w:after="0" w:line="240" w:lineRule="auto"/>
              <w:jc w:val="left"/>
            </w:pPr>
            <w:r>
              <w:rPr>
                <w:rFonts w:ascii="Times New Roman" w:hAnsi="Times New Roman" w:eastAsia="Times New Roman" w:cs="Times New Roman"/>
                <w:b w:val="0"/>
                <w:bCs w:val="0"/>
                <w:sz w:val="20"/>
                <w:szCs w:val="20"/>
              </w:rPr>
              <w:t>Baseline serum creatinine</w:t>
            </w:r>
          </w:p>
        </w:tc>
        <w:tc>
          <w:tcPr>
            <w:tcW w:w="4160" w:type="dxa"/>
            <w:tcBorders>
              <w:top w:val="nil"/>
              <w:left w:val="nil"/>
              <w:bottom w:val="nil"/>
              <w:right w:val="nil"/>
            </w:tcBorders>
            <w:tcMar>
              <w:top w:w="40" w:type="dxa"/>
              <w:left w:w="80" w:type="dxa"/>
              <w:bottom w:w="40" w:type="dxa"/>
              <w:right w:w="80" w:type="dxa"/>
            </w:tcMar>
          </w:tcPr>
          <w:p w14:paraId="4BE032BD">
            <w:pPr>
              <w:spacing w:after="0" w:line="240" w:lineRule="auto"/>
              <w:jc w:val="center"/>
            </w:pPr>
            <w:r>
              <w:rPr>
                <w:rFonts w:ascii="Times New Roman" w:hAnsi="Times New Roman" w:eastAsia="Times New Roman" w:cs="Times New Roman"/>
                <w:b w:val="0"/>
                <w:bCs w:val="0"/>
                <w:sz w:val="20"/>
                <w:szCs w:val="20"/>
              </w:rPr>
              <w:t>0.984 (0.889–1.090)</w:t>
            </w:r>
          </w:p>
        </w:tc>
      </w:tr>
      <w:tr w14:paraId="696EB576">
        <w:tc>
          <w:tcPr>
            <w:tcW w:w="5200" w:type="dxa"/>
            <w:tcBorders>
              <w:top w:val="nil"/>
              <w:left w:val="nil"/>
              <w:bottom w:val="nil"/>
              <w:right w:val="nil"/>
            </w:tcBorders>
            <w:tcMar>
              <w:top w:w="40" w:type="dxa"/>
              <w:left w:w="80" w:type="dxa"/>
              <w:bottom w:w="40" w:type="dxa"/>
              <w:right w:w="80" w:type="dxa"/>
            </w:tcMar>
          </w:tcPr>
          <w:p w14:paraId="3187A45A">
            <w:pPr>
              <w:spacing w:after="0" w:line="240" w:lineRule="auto"/>
              <w:jc w:val="left"/>
            </w:pPr>
            <w:r>
              <w:rPr>
                <w:rFonts w:ascii="Times New Roman" w:hAnsi="Times New Roman" w:eastAsia="Times New Roman" w:cs="Times New Roman"/>
                <w:b w:val="0"/>
                <w:bCs w:val="0"/>
                <w:sz w:val="20"/>
                <w:szCs w:val="20"/>
              </w:rPr>
              <w:t>Vasopressor or inotrope use (first 24 h)</w:t>
            </w:r>
          </w:p>
        </w:tc>
        <w:tc>
          <w:tcPr>
            <w:tcW w:w="4160" w:type="dxa"/>
            <w:tcBorders>
              <w:top w:val="nil"/>
              <w:left w:val="nil"/>
              <w:bottom w:val="nil"/>
              <w:right w:val="nil"/>
            </w:tcBorders>
            <w:tcMar>
              <w:top w:w="40" w:type="dxa"/>
              <w:left w:w="80" w:type="dxa"/>
              <w:bottom w:w="40" w:type="dxa"/>
              <w:right w:w="80" w:type="dxa"/>
            </w:tcMar>
          </w:tcPr>
          <w:p w14:paraId="4948380A">
            <w:pPr>
              <w:spacing w:after="0" w:line="240" w:lineRule="auto"/>
              <w:jc w:val="center"/>
            </w:pPr>
            <w:r>
              <w:rPr>
                <w:rFonts w:ascii="Times New Roman" w:hAnsi="Times New Roman" w:eastAsia="Times New Roman" w:cs="Times New Roman"/>
                <w:b w:val="0"/>
                <w:bCs w:val="0"/>
                <w:sz w:val="20"/>
                <w:szCs w:val="20"/>
              </w:rPr>
              <w:t>0.889 (0.689–1.147)</w:t>
            </w:r>
          </w:p>
        </w:tc>
      </w:tr>
      <w:tr w14:paraId="4DDB4088">
        <w:tc>
          <w:tcPr>
            <w:tcW w:w="5200" w:type="dxa"/>
            <w:tcBorders>
              <w:top w:val="nil"/>
              <w:left w:val="nil"/>
              <w:bottom w:val="nil"/>
              <w:right w:val="nil"/>
            </w:tcBorders>
            <w:tcMar>
              <w:top w:w="40" w:type="dxa"/>
              <w:left w:w="80" w:type="dxa"/>
              <w:bottom w:w="40" w:type="dxa"/>
              <w:right w:w="80" w:type="dxa"/>
            </w:tcMar>
          </w:tcPr>
          <w:p w14:paraId="4EFE69C4">
            <w:pPr>
              <w:spacing w:after="0" w:line="240" w:lineRule="auto"/>
              <w:jc w:val="left"/>
            </w:pPr>
            <w:r>
              <w:rPr>
                <w:rFonts w:ascii="Times New Roman" w:hAnsi="Times New Roman" w:eastAsia="Times New Roman" w:cs="Times New Roman"/>
                <w:b w:val="0"/>
                <w:bCs w:val="0"/>
                <w:sz w:val="20"/>
                <w:szCs w:val="20"/>
              </w:rPr>
              <w:t>Invasive mechanical ventilation (first 24 h)</w:t>
            </w:r>
          </w:p>
        </w:tc>
        <w:tc>
          <w:tcPr>
            <w:tcW w:w="4160" w:type="dxa"/>
            <w:tcBorders>
              <w:top w:val="nil"/>
              <w:left w:val="nil"/>
              <w:bottom w:val="nil"/>
              <w:right w:val="nil"/>
            </w:tcBorders>
            <w:tcMar>
              <w:top w:w="40" w:type="dxa"/>
              <w:left w:w="80" w:type="dxa"/>
              <w:bottom w:w="40" w:type="dxa"/>
              <w:right w:w="80" w:type="dxa"/>
            </w:tcMar>
          </w:tcPr>
          <w:p w14:paraId="37F03F3A">
            <w:pPr>
              <w:spacing w:after="0" w:line="240" w:lineRule="auto"/>
              <w:jc w:val="center"/>
            </w:pPr>
            <w:r>
              <w:rPr>
                <w:rFonts w:ascii="Times New Roman" w:hAnsi="Times New Roman" w:eastAsia="Times New Roman" w:cs="Times New Roman"/>
                <w:b w:val="0"/>
                <w:bCs w:val="0"/>
                <w:sz w:val="20"/>
                <w:szCs w:val="20"/>
              </w:rPr>
              <w:t>1.270 (1.002–1.609)</w:t>
            </w:r>
          </w:p>
        </w:tc>
      </w:tr>
      <w:tr w14:paraId="2873B6E6">
        <w:tc>
          <w:tcPr>
            <w:tcW w:w="5200" w:type="dxa"/>
            <w:tcBorders>
              <w:top w:val="nil"/>
              <w:left w:val="nil"/>
              <w:bottom w:val="single" w:color="000000" w:sz="12" w:space="0"/>
              <w:right w:val="nil"/>
            </w:tcBorders>
            <w:tcMar>
              <w:top w:w="40" w:type="dxa"/>
              <w:left w:w="80" w:type="dxa"/>
              <w:bottom w:w="40" w:type="dxa"/>
              <w:right w:w="80" w:type="dxa"/>
            </w:tcMar>
          </w:tcPr>
          <w:p w14:paraId="062BEAE0">
            <w:pPr>
              <w:spacing w:after="0" w:line="240" w:lineRule="auto"/>
              <w:jc w:val="left"/>
            </w:pPr>
            <w:r>
              <w:rPr>
                <w:rFonts w:ascii="Times New Roman" w:hAnsi="Times New Roman" w:eastAsia="Times New Roman" w:cs="Times New Roman"/>
                <w:b w:val="0"/>
                <w:bCs w:val="0"/>
                <w:sz w:val="20"/>
                <w:szCs w:val="20"/>
              </w:rPr>
              <w:t>Sepsis (Sepsis-3)</w:t>
            </w:r>
          </w:p>
        </w:tc>
        <w:tc>
          <w:tcPr>
            <w:tcW w:w="4160" w:type="dxa"/>
            <w:tcBorders>
              <w:top w:val="nil"/>
              <w:left w:val="nil"/>
              <w:bottom w:val="single" w:color="000000" w:sz="12" w:space="0"/>
              <w:right w:val="nil"/>
            </w:tcBorders>
            <w:tcMar>
              <w:top w:w="40" w:type="dxa"/>
              <w:left w:w="80" w:type="dxa"/>
              <w:bottom w:w="40" w:type="dxa"/>
              <w:right w:w="80" w:type="dxa"/>
            </w:tcMar>
          </w:tcPr>
          <w:p w14:paraId="69260D67">
            <w:pPr>
              <w:spacing w:after="0" w:line="240" w:lineRule="auto"/>
              <w:jc w:val="center"/>
            </w:pPr>
            <w:r>
              <w:rPr>
                <w:rFonts w:ascii="Times New Roman" w:hAnsi="Times New Roman" w:eastAsia="Times New Roman" w:cs="Times New Roman"/>
                <w:b w:val="0"/>
                <w:bCs w:val="0"/>
                <w:sz w:val="20"/>
                <w:szCs w:val="20"/>
              </w:rPr>
              <w:t>1.230 (0.995–1.521)</w:t>
            </w:r>
          </w:p>
        </w:tc>
      </w:tr>
    </w:tbl>
    <w:p w14:paraId="3DA97DBF">
      <w:pPr>
        <w:spacing w:before="60" w:after="0" w:line="240" w:lineRule="auto"/>
      </w:pPr>
      <w:r>
        <w:rPr>
          <w:rFonts w:ascii="Times New Roman" w:hAnsi="Times New Roman" w:eastAsia="Times New Roman" w:cs="Times New Roman"/>
          <w:i/>
          <w:iCs/>
          <w:sz w:val="20"/>
          <w:szCs w:val="20"/>
        </w:rPr>
        <w:t>Odds ratios are mutually adjusted for all listed variables (n = 3067). Statistical significance is indicated by 95% confidence intervals that exclude 1.00. CI, confidence interval; E/e′, ratio of early transmitral inflow velocity to early diastolic mitral annular velocity; SOFA, Sequential Organ Failure Assessment.</w:t>
      </w:r>
    </w:p>
    <w:p w14:paraId="2B8FCBAA">
      <w:r>
        <w:rPr>
          <w:rFonts w:ascii="Times New Roman" w:hAnsi="Times New Roman" w:eastAsia="Times New Roman" w:cs="Times New Roman"/>
        </w:rPr>
        <w:br w:type="page"/>
      </w:r>
    </w:p>
    <w:p w14:paraId="1575B48D">
      <w:pPr>
        <w:spacing w:before="120" w:after="80" w:line="276" w:lineRule="auto"/>
      </w:pPr>
      <w:r>
        <w:rPr>
          <w:rFonts w:ascii="Times New Roman" w:hAnsi="Times New Roman" w:eastAsia="Times New Roman" w:cs="Times New Roman"/>
          <w:b/>
          <w:bCs/>
          <w:sz w:val="24"/>
          <w:szCs w:val="24"/>
        </w:rPr>
        <w:t xml:space="preserve">Supplementary Table S2. </w:t>
      </w:r>
      <w:r>
        <w:rPr>
          <w:rFonts w:ascii="Times New Roman" w:hAnsi="Times New Roman" w:eastAsia="Times New Roman" w:cs="Times New Roman"/>
          <w:sz w:val="24"/>
          <w:szCs w:val="24"/>
        </w:rPr>
        <w:t>Fully adjusted modified Poisson regression model (risk ratios) for incident 7-day acute kidney injury.</w:t>
      </w:r>
    </w:p>
    <w:tbl>
      <w:tblPr>
        <w:tblStyle w:val="11"/>
        <w:tblW w:w="9360" w:type="dxa"/>
        <w:tblInd w:w="0" w:type="dxa"/>
        <w:tblBorders>
          <w:top w:val="single" w:color="auto" w:sz="4" w:space="0"/>
          <w:left w:val="none" w:color="auto" w:sz="4" w:space="0"/>
          <w:bottom w:val="single" w:color="auto" w:sz="4" w:space="0"/>
          <w:right w:val="none" w:color="auto" w:sz="4" w:space="0"/>
          <w:insideH w:val="single" w:color="auto" w:sz="4" w:space="0"/>
          <w:insideV w:val="none" w:color="auto" w:sz="4" w:space="0"/>
        </w:tblBorders>
        <w:tblLayout w:type="autofit"/>
        <w:tblCellMar>
          <w:top w:w="0" w:type="dxa"/>
          <w:left w:w="10" w:type="dxa"/>
          <w:bottom w:w="0" w:type="dxa"/>
          <w:right w:w="10" w:type="dxa"/>
        </w:tblCellMar>
      </w:tblPr>
      <w:tblGrid>
        <w:gridCol w:w="4400"/>
        <w:gridCol w:w="2960"/>
        <w:gridCol w:w="2000"/>
      </w:tblGrid>
      <w:tr w14:paraId="52F4CE12">
        <w:trPr>
          <w:tblHeader/>
        </w:trPr>
        <w:tc>
          <w:tcPr>
            <w:tcW w:w="4400" w:type="dxa"/>
            <w:tcBorders>
              <w:top w:val="single" w:color="000000" w:sz="12" w:space="0"/>
              <w:left w:val="nil"/>
              <w:bottom w:val="single" w:color="000000" w:sz="4" w:space="0"/>
              <w:right w:val="nil"/>
            </w:tcBorders>
            <w:tcMar>
              <w:top w:w="40" w:type="dxa"/>
              <w:left w:w="80" w:type="dxa"/>
              <w:bottom w:w="40" w:type="dxa"/>
              <w:right w:w="80" w:type="dxa"/>
            </w:tcMar>
          </w:tcPr>
          <w:p w14:paraId="5833B92E">
            <w:pPr>
              <w:spacing w:after="0" w:line="240" w:lineRule="auto"/>
              <w:jc w:val="left"/>
            </w:pPr>
            <w:r>
              <w:rPr>
                <w:rFonts w:ascii="Times New Roman" w:hAnsi="Times New Roman" w:eastAsia="Times New Roman" w:cs="Times New Roman"/>
                <w:b/>
                <w:bCs/>
                <w:sz w:val="20"/>
                <w:szCs w:val="20"/>
              </w:rPr>
              <w:t>Variable</w:t>
            </w:r>
          </w:p>
        </w:tc>
        <w:tc>
          <w:tcPr>
            <w:tcW w:w="2960" w:type="dxa"/>
            <w:tcBorders>
              <w:top w:val="single" w:color="000000" w:sz="12" w:space="0"/>
              <w:left w:val="nil"/>
              <w:bottom w:val="single" w:color="000000" w:sz="4" w:space="0"/>
              <w:right w:val="nil"/>
            </w:tcBorders>
            <w:tcMar>
              <w:top w:w="40" w:type="dxa"/>
              <w:left w:w="80" w:type="dxa"/>
              <w:bottom w:w="40" w:type="dxa"/>
              <w:right w:w="80" w:type="dxa"/>
            </w:tcMar>
          </w:tcPr>
          <w:p w14:paraId="017956C7">
            <w:pPr>
              <w:spacing w:after="0" w:line="240" w:lineRule="auto"/>
              <w:jc w:val="center"/>
            </w:pPr>
            <w:r>
              <w:rPr>
                <w:rFonts w:ascii="Times New Roman" w:hAnsi="Times New Roman" w:eastAsia="Times New Roman" w:cs="Times New Roman"/>
                <w:b/>
                <w:bCs/>
                <w:sz w:val="20"/>
                <w:szCs w:val="20"/>
              </w:rPr>
              <w:t>Adjusted risk ratio</w:t>
            </w:r>
          </w:p>
          <w:p w14:paraId="788635E6">
            <w:pPr>
              <w:spacing w:after="0" w:line="240" w:lineRule="auto"/>
              <w:jc w:val="center"/>
            </w:pPr>
            <w:r>
              <w:rPr>
                <w:rFonts w:ascii="Times New Roman" w:hAnsi="Times New Roman" w:eastAsia="Times New Roman" w:cs="Times New Roman"/>
                <w:b/>
                <w:bCs/>
                <w:sz w:val="20"/>
                <w:szCs w:val="20"/>
              </w:rPr>
              <w:t>(95% CI)</w:t>
            </w:r>
          </w:p>
        </w:tc>
        <w:tc>
          <w:tcPr>
            <w:tcW w:w="2000" w:type="dxa"/>
            <w:tcBorders>
              <w:top w:val="single" w:color="000000" w:sz="12" w:space="0"/>
              <w:left w:val="nil"/>
              <w:bottom w:val="single" w:color="000000" w:sz="4" w:space="0"/>
              <w:right w:val="nil"/>
            </w:tcBorders>
            <w:tcMar>
              <w:top w:w="40" w:type="dxa"/>
              <w:left w:w="80" w:type="dxa"/>
              <w:bottom w:w="40" w:type="dxa"/>
              <w:right w:w="80" w:type="dxa"/>
            </w:tcMar>
          </w:tcPr>
          <w:p w14:paraId="7042B794">
            <w:pPr>
              <w:spacing w:after="0" w:line="240" w:lineRule="auto"/>
              <w:jc w:val="center"/>
            </w:pPr>
            <w:r>
              <w:rPr>
                <w:rFonts w:ascii="Times New Roman" w:hAnsi="Times New Roman" w:eastAsia="Times New Roman" w:cs="Times New Roman"/>
                <w:b/>
                <w:bCs/>
                <w:sz w:val="20"/>
                <w:szCs w:val="20"/>
              </w:rPr>
              <w:t>P value</w:t>
            </w:r>
          </w:p>
        </w:tc>
      </w:tr>
      <w:tr w14:paraId="3BEF0B62">
        <w:tc>
          <w:tcPr>
            <w:tcW w:w="4400" w:type="dxa"/>
            <w:tcBorders>
              <w:top w:val="nil"/>
              <w:left w:val="nil"/>
              <w:bottom w:val="nil"/>
              <w:right w:val="nil"/>
            </w:tcBorders>
            <w:tcMar>
              <w:top w:w="40" w:type="dxa"/>
              <w:left w:w="80" w:type="dxa"/>
              <w:bottom w:w="40" w:type="dxa"/>
              <w:right w:w="80" w:type="dxa"/>
            </w:tcMar>
          </w:tcPr>
          <w:p w14:paraId="11018188">
            <w:pPr>
              <w:spacing w:after="0" w:line="240" w:lineRule="auto"/>
              <w:jc w:val="left"/>
            </w:pPr>
            <w:r>
              <w:rPr>
                <w:rFonts w:ascii="Times New Roman" w:hAnsi="Times New Roman" w:eastAsia="Times New Roman" w:cs="Times New Roman"/>
                <w:b w:val="0"/>
                <w:bCs w:val="0"/>
                <w:sz w:val="20"/>
                <w:szCs w:val="20"/>
              </w:rPr>
              <w:t>Mean E/e′ (per 1-unit)</w:t>
            </w:r>
          </w:p>
        </w:tc>
        <w:tc>
          <w:tcPr>
            <w:tcW w:w="2960" w:type="dxa"/>
            <w:tcBorders>
              <w:top w:val="nil"/>
              <w:left w:val="nil"/>
              <w:bottom w:val="nil"/>
              <w:right w:val="nil"/>
            </w:tcBorders>
            <w:tcMar>
              <w:top w:w="40" w:type="dxa"/>
              <w:left w:w="80" w:type="dxa"/>
              <w:bottom w:w="40" w:type="dxa"/>
              <w:right w:w="80" w:type="dxa"/>
            </w:tcMar>
          </w:tcPr>
          <w:p w14:paraId="2C86CB94">
            <w:pPr>
              <w:spacing w:after="0" w:line="240" w:lineRule="auto"/>
              <w:jc w:val="center"/>
            </w:pPr>
            <w:r>
              <w:rPr>
                <w:rFonts w:ascii="Times New Roman" w:hAnsi="Times New Roman" w:eastAsia="Times New Roman" w:cs="Times New Roman"/>
                <w:b w:val="0"/>
                <w:bCs w:val="0"/>
                <w:sz w:val="20"/>
                <w:szCs w:val="20"/>
              </w:rPr>
              <w:t>1.026 (1.012–1.041)</w:t>
            </w:r>
          </w:p>
        </w:tc>
        <w:tc>
          <w:tcPr>
            <w:tcW w:w="2000" w:type="dxa"/>
            <w:tcBorders>
              <w:top w:val="nil"/>
              <w:left w:val="nil"/>
              <w:bottom w:val="nil"/>
              <w:right w:val="nil"/>
            </w:tcBorders>
            <w:tcMar>
              <w:top w:w="40" w:type="dxa"/>
              <w:left w:w="80" w:type="dxa"/>
              <w:bottom w:w="40" w:type="dxa"/>
              <w:right w:w="80" w:type="dxa"/>
            </w:tcMar>
          </w:tcPr>
          <w:p w14:paraId="412EFBFF">
            <w:pPr>
              <w:spacing w:after="0" w:line="240" w:lineRule="auto"/>
              <w:jc w:val="center"/>
            </w:pPr>
            <w:r>
              <w:rPr>
                <w:rFonts w:ascii="Times New Roman" w:hAnsi="Times New Roman" w:eastAsia="Times New Roman" w:cs="Times New Roman"/>
                <w:b w:val="0"/>
                <w:bCs w:val="0"/>
                <w:sz w:val="20"/>
                <w:szCs w:val="20"/>
              </w:rPr>
              <w:t>&lt; 0.001</w:t>
            </w:r>
          </w:p>
        </w:tc>
      </w:tr>
      <w:tr w14:paraId="0E553C51">
        <w:tc>
          <w:tcPr>
            <w:tcW w:w="4400" w:type="dxa"/>
            <w:tcBorders>
              <w:top w:val="nil"/>
              <w:left w:val="nil"/>
              <w:bottom w:val="nil"/>
              <w:right w:val="nil"/>
            </w:tcBorders>
            <w:tcMar>
              <w:top w:w="40" w:type="dxa"/>
              <w:left w:w="80" w:type="dxa"/>
              <w:bottom w:w="40" w:type="dxa"/>
              <w:right w:w="80" w:type="dxa"/>
            </w:tcMar>
          </w:tcPr>
          <w:p w14:paraId="05D6E0BB">
            <w:pPr>
              <w:spacing w:after="0" w:line="240" w:lineRule="auto"/>
              <w:jc w:val="left"/>
            </w:pPr>
            <w:r>
              <w:rPr>
                <w:rFonts w:ascii="Times New Roman" w:hAnsi="Times New Roman" w:eastAsia="Times New Roman" w:cs="Times New Roman"/>
                <w:b w:val="0"/>
                <w:bCs w:val="0"/>
                <w:sz w:val="20"/>
                <w:szCs w:val="20"/>
              </w:rPr>
              <w:t>Age (per year)</w:t>
            </w:r>
          </w:p>
        </w:tc>
        <w:tc>
          <w:tcPr>
            <w:tcW w:w="2960" w:type="dxa"/>
            <w:tcBorders>
              <w:top w:val="nil"/>
              <w:left w:val="nil"/>
              <w:bottom w:val="nil"/>
              <w:right w:val="nil"/>
            </w:tcBorders>
            <w:tcMar>
              <w:top w:w="40" w:type="dxa"/>
              <w:left w:w="80" w:type="dxa"/>
              <w:bottom w:w="40" w:type="dxa"/>
              <w:right w:w="80" w:type="dxa"/>
            </w:tcMar>
          </w:tcPr>
          <w:p w14:paraId="54F7DC80">
            <w:pPr>
              <w:spacing w:after="0" w:line="240" w:lineRule="auto"/>
              <w:jc w:val="center"/>
            </w:pPr>
            <w:r>
              <w:rPr>
                <w:rFonts w:ascii="Times New Roman" w:hAnsi="Times New Roman" w:eastAsia="Times New Roman" w:cs="Times New Roman"/>
                <w:b w:val="0"/>
                <w:bCs w:val="0"/>
                <w:sz w:val="20"/>
                <w:szCs w:val="20"/>
              </w:rPr>
              <w:t>0.994 (0.988–1.000)</w:t>
            </w:r>
          </w:p>
        </w:tc>
        <w:tc>
          <w:tcPr>
            <w:tcW w:w="2000" w:type="dxa"/>
            <w:tcBorders>
              <w:top w:val="nil"/>
              <w:left w:val="nil"/>
              <w:bottom w:val="nil"/>
              <w:right w:val="nil"/>
            </w:tcBorders>
            <w:tcMar>
              <w:top w:w="40" w:type="dxa"/>
              <w:left w:w="80" w:type="dxa"/>
              <w:bottom w:w="40" w:type="dxa"/>
              <w:right w:w="80" w:type="dxa"/>
            </w:tcMar>
          </w:tcPr>
          <w:p w14:paraId="5AD6EF4C">
            <w:pPr>
              <w:spacing w:after="0" w:line="240" w:lineRule="auto"/>
              <w:jc w:val="center"/>
            </w:pPr>
            <w:r>
              <w:rPr>
                <w:rFonts w:ascii="Times New Roman" w:hAnsi="Times New Roman" w:eastAsia="Times New Roman" w:cs="Times New Roman"/>
                <w:b w:val="0"/>
                <w:bCs w:val="0"/>
                <w:sz w:val="20"/>
                <w:szCs w:val="20"/>
              </w:rPr>
              <w:t>0.041</w:t>
            </w:r>
          </w:p>
        </w:tc>
      </w:tr>
      <w:tr w14:paraId="3782AD33">
        <w:tc>
          <w:tcPr>
            <w:tcW w:w="4400" w:type="dxa"/>
            <w:tcBorders>
              <w:top w:val="nil"/>
              <w:left w:val="nil"/>
              <w:bottom w:val="nil"/>
              <w:right w:val="nil"/>
            </w:tcBorders>
            <w:tcMar>
              <w:top w:w="40" w:type="dxa"/>
              <w:left w:w="80" w:type="dxa"/>
              <w:bottom w:w="40" w:type="dxa"/>
              <w:right w:w="80" w:type="dxa"/>
            </w:tcMar>
          </w:tcPr>
          <w:p w14:paraId="771D47D3">
            <w:pPr>
              <w:spacing w:after="0" w:line="240" w:lineRule="auto"/>
              <w:jc w:val="left"/>
            </w:pPr>
            <w:r>
              <w:rPr>
                <w:rFonts w:ascii="Times New Roman" w:hAnsi="Times New Roman" w:eastAsia="Times New Roman" w:cs="Times New Roman"/>
                <w:b w:val="0"/>
                <w:bCs w:val="0"/>
                <w:sz w:val="20"/>
                <w:szCs w:val="20"/>
              </w:rPr>
              <w:t>Female sex</w:t>
            </w:r>
          </w:p>
        </w:tc>
        <w:tc>
          <w:tcPr>
            <w:tcW w:w="2960" w:type="dxa"/>
            <w:tcBorders>
              <w:top w:val="nil"/>
              <w:left w:val="nil"/>
              <w:bottom w:val="nil"/>
              <w:right w:val="nil"/>
            </w:tcBorders>
            <w:tcMar>
              <w:top w:w="40" w:type="dxa"/>
              <w:left w:w="80" w:type="dxa"/>
              <w:bottom w:w="40" w:type="dxa"/>
              <w:right w:w="80" w:type="dxa"/>
            </w:tcMar>
          </w:tcPr>
          <w:p w14:paraId="3417940F">
            <w:pPr>
              <w:spacing w:after="0" w:line="240" w:lineRule="auto"/>
              <w:jc w:val="center"/>
            </w:pPr>
            <w:r>
              <w:rPr>
                <w:rFonts w:ascii="Times New Roman" w:hAnsi="Times New Roman" w:eastAsia="Times New Roman" w:cs="Times New Roman"/>
                <w:b w:val="0"/>
                <w:bCs w:val="0"/>
                <w:sz w:val="20"/>
                <w:szCs w:val="20"/>
              </w:rPr>
              <w:t>0.911 (0.789–1.052)</w:t>
            </w:r>
          </w:p>
        </w:tc>
        <w:tc>
          <w:tcPr>
            <w:tcW w:w="2000" w:type="dxa"/>
            <w:tcBorders>
              <w:top w:val="nil"/>
              <w:left w:val="nil"/>
              <w:bottom w:val="nil"/>
              <w:right w:val="nil"/>
            </w:tcBorders>
            <w:tcMar>
              <w:top w:w="40" w:type="dxa"/>
              <w:left w:w="80" w:type="dxa"/>
              <w:bottom w:w="40" w:type="dxa"/>
              <w:right w:w="80" w:type="dxa"/>
            </w:tcMar>
          </w:tcPr>
          <w:p w14:paraId="35B7ADB2">
            <w:pPr>
              <w:spacing w:after="0" w:line="240" w:lineRule="auto"/>
              <w:jc w:val="center"/>
            </w:pPr>
            <w:r>
              <w:rPr>
                <w:rFonts w:ascii="Times New Roman" w:hAnsi="Times New Roman" w:eastAsia="Times New Roman" w:cs="Times New Roman"/>
                <w:b w:val="0"/>
                <w:bCs w:val="0"/>
                <w:sz w:val="20"/>
                <w:szCs w:val="20"/>
              </w:rPr>
              <w:t>0.206</w:t>
            </w:r>
          </w:p>
        </w:tc>
      </w:tr>
      <w:tr w14:paraId="6A1FFE53">
        <w:tc>
          <w:tcPr>
            <w:tcW w:w="4400" w:type="dxa"/>
            <w:tcBorders>
              <w:top w:val="nil"/>
              <w:left w:val="nil"/>
              <w:bottom w:val="nil"/>
              <w:right w:val="nil"/>
            </w:tcBorders>
            <w:tcMar>
              <w:top w:w="40" w:type="dxa"/>
              <w:left w:w="80" w:type="dxa"/>
              <w:bottom w:w="40" w:type="dxa"/>
              <w:right w:w="80" w:type="dxa"/>
            </w:tcMar>
          </w:tcPr>
          <w:p w14:paraId="55E5922A">
            <w:pPr>
              <w:spacing w:after="0" w:line="240" w:lineRule="auto"/>
              <w:jc w:val="left"/>
            </w:pPr>
            <w:r>
              <w:rPr>
                <w:rFonts w:ascii="Times New Roman" w:hAnsi="Times New Roman" w:eastAsia="Times New Roman" w:cs="Times New Roman"/>
                <w:b w:val="0"/>
                <w:bCs w:val="0"/>
                <w:sz w:val="20"/>
                <w:szCs w:val="20"/>
              </w:rPr>
              <w:t>SOFA score (first 24 h)</w:t>
            </w:r>
          </w:p>
        </w:tc>
        <w:tc>
          <w:tcPr>
            <w:tcW w:w="2960" w:type="dxa"/>
            <w:tcBorders>
              <w:top w:val="nil"/>
              <w:left w:val="nil"/>
              <w:bottom w:val="nil"/>
              <w:right w:val="nil"/>
            </w:tcBorders>
            <w:tcMar>
              <w:top w:w="40" w:type="dxa"/>
              <w:left w:w="80" w:type="dxa"/>
              <w:bottom w:w="40" w:type="dxa"/>
              <w:right w:w="80" w:type="dxa"/>
            </w:tcMar>
          </w:tcPr>
          <w:p w14:paraId="1A7102DE">
            <w:pPr>
              <w:spacing w:after="0" w:line="240" w:lineRule="auto"/>
              <w:jc w:val="center"/>
            </w:pPr>
            <w:r>
              <w:rPr>
                <w:rFonts w:ascii="Times New Roman" w:hAnsi="Times New Roman" w:eastAsia="Times New Roman" w:cs="Times New Roman"/>
                <w:b w:val="0"/>
                <w:bCs w:val="0"/>
                <w:sz w:val="20"/>
                <w:szCs w:val="20"/>
              </w:rPr>
              <w:t>1.074 (1.043–1.105)</w:t>
            </w:r>
          </w:p>
        </w:tc>
        <w:tc>
          <w:tcPr>
            <w:tcW w:w="2000" w:type="dxa"/>
            <w:tcBorders>
              <w:top w:val="nil"/>
              <w:left w:val="nil"/>
              <w:bottom w:val="nil"/>
              <w:right w:val="nil"/>
            </w:tcBorders>
            <w:tcMar>
              <w:top w:w="40" w:type="dxa"/>
              <w:left w:w="80" w:type="dxa"/>
              <w:bottom w:w="40" w:type="dxa"/>
              <w:right w:w="80" w:type="dxa"/>
            </w:tcMar>
          </w:tcPr>
          <w:p w14:paraId="5CDB8B9B">
            <w:pPr>
              <w:spacing w:after="0" w:line="240" w:lineRule="auto"/>
              <w:jc w:val="center"/>
            </w:pPr>
            <w:r>
              <w:rPr>
                <w:rFonts w:ascii="Times New Roman" w:hAnsi="Times New Roman" w:eastAsia="Times New Roman" w:cs="Times New Roman"/>
                <w:b w:val="0"/>
                <w:bCs w:val="0"/>
                <w:sz w:val="20"/>
                <w:szCs w:val="20"/>
              </w:rPr>
              <w:t>&lt; 0.001</w:t>
            </w:r>
          </w:p>
        </w:tc>
      </w:tr>
      <w:tr w14:paraId="47AA51E9">
        <w:tc>
          <w:tcPr>
            <w:tcW w:w="4400" w:type="dxa"/>
            <w:tcBorders>
              <w:top w:val="nil"/>
              <w:left w:val="nil"/>
              <w:bottom w:val="nil"/>
              <w:right w:val="nil"/>
            </w:tcBorders>
            <w:tcMar>
              <w:top w:w="40" w:type="dxa"/>
              <w:left w:w="80" w:type="dxa"/>
              <w:bottom w:w="40" w:type="dxa"/>
              <w:right w:w="80" w:type="dxa"/>
            </w:tcMar>
          </w:tcPr>
          <w:p w14:paraId="3D461AD7">
            <w:pPr>
              <w:spacing w:after="0" w:line="240" w:lineRule="auto"/>
              <w:jc w:val="left"/>
            </w:pPr>
            <w:r>
              <w:rPr>
                <w:rFonts w:ascii="Times New Roman" w:hAnsi="Times New Roman" w:eastAsia="Times New Roman" w:cs="Times New Roman"/>
                <w:b w:val="0"/>
                <w:bCs w:val="0"/>
                <w:sz w:val="20"/>
                <w:szCs w:val="20"/>
              </w:rPr>
              <w:t>Charlson comorbidity index</w:t>
            </w:r>
          </w:p>
        </w:tc>
        <w:tc>
          <w:tcPr>
            <w:tcW w:w="2960" w:type="dxa"/>
            <w:tcBorders>
              <w:top w:val="nil"/>
              <w:left w:val="nil"/>
              <w:bottom w:val="nil"/>
              <w:right w:val="nil"/>
            </w:tcBorders>
            <w:tcMar>
              <w:top w:w="40" w:type="dxa"/>
              <w:left w:w="80" w:type="dxa"/>
              <w:bottom w:w="40" w:type="dxa"/>
              <w:right w:w="80" w:type="dxa"/>
            </w:tcMar>
          </w:tcPr>
          <w:p w14:paraId="03EF9084">
            <w:pPr>
              <w:spacing w:after="0" w:line="240" w:lineRule="auto"/>
              <w:jc w:val="center"/>
            </w:pPr>
            <w:r>
              <w:rPr>
                <w:rFonts w:ascii="Times New Roman" w:hAnsi="Times New Roman" w:eastAsia="Times New Roman" w:cs="Times New Roman"/>
                <w:b w:val="0"/>
                <w:bCs w:val="0"/>
                <w:sz w:val="20"/>
                <w:szCs w:val="20"/>
              </w:rPr>
              <w:t>1.050 (1.015–1.087)</w:t>
            </w:r>
          </w:p>
        </w:tc>
        <w:tc>
          <w:tcPr>
            <w:tcW w:w="2000" w:type="dxa"/>
            <w:tcBorders>
              <w:top w:val="nil"/>
              <w:left w:val="nil"/>
              <w:bottom w:val="nil"/>
              <w:right w:val="nil"/>
            </w:tcBorders>
            <w:tcMar>
              <w:top w:w="40" w:type="dxa"/>
              <w:left w:w="80" w:type="dxa"/>
              <w:bottom w:w="40" w:type="dxa"/>
              <w:right w:w="80" w:type="dxa"/>
            </w:tcMar>
          </w:tcPr>
          <w:p w14:paraId="082C2FD9">
            <w:pPr>
              <w:spacing w:after="0" w:line="240" w:lineRule="auto"/>
              <w:jc w:val="center"/>
            </w:pPr>
            <w:r>
              <w:rPr>
                <w:rFonts w:ascii="Times New Roman" w:hAnsi="Times New Roman" w:eastAsia="Times New Roman" w:cs="Times New Roman"/>
                <w:b w:val="0"/>
                <w:bCs w:val="0"/>
                <w:sz w:val="20"/>
                <w:szCs w:val="20"/>
              </w:rPr>
              <w:t>0.005</w:t>
            </w:r>
          </w:p>
        </w:tc>
      </w:tr>
      <w:tr w14:paraId="2C734036">
        <w:tc>
          <w:tcPr>
            <w:tcW w:w="4400" w:type="dxa"/>
            <w:tcBorders>
              <w:top w:val="nil"/>
              <w:left w:val="nil"/>
              <w:bottom w:val="nil"/>
              <w:right w:val="nil"/>
            </w:tcBorders>
            <w:tcMar>
              <w:top w:w="40" w:type="dxa"/>
              <w:left w:w="80" w:type="dxa"/>
              <w:bottom w:w="40" w:type="dxa"/>
              <w:right w:w="80" w:type="dxa"/>
            </w:tcMar>
          </w:tcPr>
          <w:p w14:paraId="2A1712A8">
            <w:pPr>
              <w:spacing w:after="0" w:line="240" w:lineRule="auto"/>
              <w:jc w:val="left"/>
            </w:pPr>
            <w:r>
              <w:rPr>
                <w:rFonts w:ascii="Times New Roman" w:hAnsi="Times New Roman" w:eastAsia="Times New Roman" w:cs="Times New Roman"/>
                <w:b w:val="0"/>
                <w:bCs w:val="0"/>
                <w:sz w:val="20"/>
                <w:szCs w:val="20"/>
              </w:rPr>
              <w:t>Chronic kidney disease</w:t>
            </w:r>
          </w:p>
        </w:tc>
        <w:tc>
          <w:tcPr>
            <w:tcW w:w="2960" w:type="dxa"/>
            <w:tcBorders>
              <w:top w:val="nil"/>
              <w:left w:val="nil"/>
              <w:bottom w:val="nil"/>
              <w:right w:val="nil"/>
            </w:tcBorders>
            <w:tcMar>
              <w:top w:w="40" w:type="dxa"/>
              <w:left w:w="80" w:type="dxa"/>
              <w:bottom w:w="40" w:type="dxa"/>
              <w:right w:w="80" w:type="dxa"/>
            </w:tcMar>
          </w:tcPr>
          <w:p w14:paraId="42B3820F">
            <w:pPr>
              <w:spacing w:after="0" w:line="240" w:lineRule="auto"/>
              <w:jc w:val="center"/>
            </w:pPr>
            <w:r>
              <w:rPr>
                <w:rFonts w:ascii="Times New Roman" w:hAnsi="Times New Roman" w:eastAsia="Times New Roman" w:cs="Times New Roman"/>
                <w:b w:val="0"/>
                <w:bCs w:val="0"/>
                <w:sz w:val="20"/>
                <w:szCs w:val="20"/>
              </w:rPr>
              <w:t>1.483 (1.219–1.805)</w:t>
            </w:r>
          </w:p>
        </w:tc>
        <w:tc>
          <w:tcPr>
            <w:tcW w:w="2000" w:type="dxa"/>
            <w:tcBorders>
              <w:top w:val="nil"/>
              <w:left w:val="nil"/>
              <w:bottom w:val="nil"/>
              <w:right w:val="nil"/>
            </w:tcBorders>
            <w:tcMar>
              <w:top w:w="40" w:type="dxa"/>
              <w:left w:w="80" w:type="dxa"/>
              <w:bottom w:w="40" w:type="dxa"/>
              <w:right w:w="80" w:type="dxa"/>
            </w:tcMar>
          </w:tcPr>
          <w:p w14:paraId="184140D0">
            <w:pPr>
              <w:spacing w:after="0" w:line="240" w:lineRule="auto"/>
              <w:jc w:val="center"/>
            </w:pPr>
            <w:r>
              <w:rPr>
                <w:rFonts w:ascii="Times New Roman" w:hAnsi="Times New Roman" w:eastAsia="Times New Roman" w:cs="Times New Roman"/>
                <w:b w:val="0"/>
                <w:bCs w:val="0"/>
                <w:sz w:val="20"/>
                <w:szCs w:val="20"/>
              </w:rPr>
              <w:t>&lt; 0.001</w:t>
            </w:r>
          </w:p>
        </w:tc>
      </w:tr>
      <w:tr w14:paraId="44EED4AE">
        <w:tc>
          <w:tcPr>
            <w:tcW w:w="4400" w:type="dxa"/>
            <w:tcBorders>
              <w:top w:val="nil"/>
              <w:left w:val="nil"/>
              <w:bottom w:val="nil"/>
              <w:right w:val="nil"/>
            </w:tcBorders>
            <w:tcMar>
              <w:top w:w="40" w:type="dxa"/>
              <w:left w:w="80" w:type="dxa"/>
              <w:bottom w:w="40" w:type="dxa"/>
              <w:right w:w="80" w:type="dxa"/>
            </w:tcMar>
          </w:tcPr>
          <w:p w14:paraId="65A5B98A">
            <w:pPr>
              <w:spacing w:after="0" w:line="240" w:lineRule="auto"/>
              <w:jc w:val="left"/>
            </w:pPr>
            <w:r>
              <w:rPr>
                <w:rFonts w:ascii="Times New Roman" w:hAnsi="Times New Roman" w:eastAsia="Times New Roman" w:cs="Times New Roman"/>
                <w:b w:val="0"/>
                <w:bCs w:val="0"/>
                <w:sz w:val="20"/>
                <w:szCs w:val="20"/>
              </w:rPr>
              <w:t>Diabetes mellitus</w:t>
            </w:r>
          </w:p>
        </w:tc>
        <w:tc>
          <w:tcPr>
            <w:tcW w:w="2960" w:type="dxa"/>
            <w:tcBorders>
              <w:top w:val="nil"/>
              <w:left w:val="nil"/>
              <w:bottom w:val="nil"/>
              <w:right w:val="nil"/>
            </w:tcBorders>
            <w:tcMar>
              <w:top w:w="40" w:type="dxa"/>
              <w:left w:w="80" w:type="dxa"/>
              <w:bottom w:w="40" w:type="dxa"/>
              <w:right w:w="80" w:type="dxa"/>
            </w:tcMar>
          </w:tcPr>
          <w:p w14:paraId="352C40F8">
            <w:pPr>
              <w:spacing w:after="0" w:line="240" w:lineRule="auto"/>
              <w:jc w:val="center"/>
            </w:pPr>
            <w:r>
              <w:rPr>
                <w:rFonts w:ascii="Times New Roman" w:hAnsi="Times New Roman" w:eastAsia="Times New Roman" w:cs="Times New Roman"/>
                <w:b w:val="0"/>
                <w:bCs w:val="0"/>
                <w:sz w:val="20"/>
                <w:szCs w:val="20"/>
              </w:rPr>
              <w:t>1.061 (0.900–1.252)</w:t>
            </w:r>
          </w:p>
        </w:tc>
        <w:tc>
          <w:tcPr>
            <w:tcW w:w="2000" w:type="dxa"/>
            <w:tcBorders>
              <w:top w:val="nil"/>
              <w:left w:val="nil"/>
              <w:bottom w:val="nil"/>
              <w:right w:val="nil"/>
            </w:tcBorders>
            <w:tcMar>
              <w:top w:w="40" w:type="dxa"/>
              <w:left w:w="80" w:type="dxa"/>
              <w:bottom w:w="40" w:type="dxa"/>
              <w:right w:w="80" w:type="dxa"/>
            </w:tcMar>
          </w:tcPr>
          <w:p w14:paraId="39DD3973">
            <w:pPr>
              <w:spacing w:after="0" w:line="240" w:lineRule="auto"/>
              <w:jc w:val="center"/>
            </w:pPr>
            <w:r>
              <w:rPr>
                <w:rFonts w:ascii="Times New Roman" w:hAnsi="Times New Roman" w:eastAsia="Times New Roman" w:cs="Times New Roman"/>
                <w:b w:val="0"/>
                <w:bCs w:val="0"/>
                <w:sz w:val="20"/>
                <w:szCs w:val="20"/>
              </w:rPr>
              <w:t>0.480</w:t>
            </w:r>
          </w:p>
        </w:tc>
      </w:tr>
      <w:tr w14:paraId="4EBDA804">
        <w:tc>
          <w:tcPr>
            <w:tcW w:w="4400" w:type="dxa"/>
            <w:tcBorders>
              <w:top w:val="nil"/>
              <w:left w:val="nil"/>
              <w:bottom w:val="nil"/>
              <w:right w:val="nil"/>
            </w:tcBorders>
            <w:tcMar>
              <w:top w:w="40" w:type="dxa"/>
              <w:left w:w="80" w:type="dxa"/>
              <w:bottom w:w="40" w:type="dxa"/>
              <w:right w:w="80" w:type="dxa"/>
            </w:tcMar>
          </w:tcPr>
          <w:p w14:paraId="2540C5DC">
            <w:pPr>
              <w:spacing w:after="0" w:line="240" w:lineRule="auto"/>
              <w:jc w:val="left"/>
            </w:pPr>
            <w:r>
              <w:rPr>
                <w:rFonts w:ascii="Times New Roman" w:hAnsi="Times New Roman" w:eastAsia="Times New Roman" w:cs="Times New Roman"/>
                <w:b w:val="0"/>
                <w:bCs w:val="0"/>
                <w:sz w:val="20"/>
                <w:szCs w:val="20"/>
              </w:rPr>
              <w:t>Hypertension</w:t>
            </w:r>
          </w:p>
        </w:tc>
        <w:tc>
          <w:tcPr>
            <w:tcW w:w="2960" w:type="dxa"/>
            <w:tcBorders>
              <w:top w:val="nil"/>
              <w:left w:val="nil"/>
              <w:bottom w:val="nil"/>
              <w:right w:val="nil"/>
            </w:tcBorders>
            <w:tcMar>
              <w:top w:w="40" w:type="dxa"/>
              <w:left w:w="80" w:type="dxa"/>
              <w:bottom w:w="40" w:type="dxa"/>
              <w:right w:w="80" w:type="dxa"/>
            </w:tcMar>
          </w:tcPr>
          <w:p w14:paraId="08012143">
            <w:pPr>
              <w:spacing w:after="0" w:line="240" w:lineRule="auto"/>
              <w:jc w:val="center"/>
            </w:pPr>
            <w:r>
              <w:rPr>
                <w:rFonts w:ascii="Times New Roman" w:hAnsi="Times New Roman" w:eastAsia="Times New Roman" w:cs="Times New Roman"/>
                <w:b w:val="0"/>
                <w:bCs w:val="0"/>
                <w:sz w:val="20"/>
                <w:szCs w:val="20"/>
              </w:rPr>
              <w:t>1.244 (1.040–1.488)</w:t>
            </w:r>
          </w:p>
        </w:tc>
        <w:tc>
          <w:tcPr>
            <w:tcW w:w="2000" w:type="dxa"/>
            <w:tcBorders>
              <w:top w:val="nil"/>
              <w:left w:val="nil"/>
              <w:bottom w:val="nil"/>
              <w:right w:val="nil"/>
            </w:tcBorders>
            <w:tcMar>
              <w:top w:w="40" w:type="dxa"/>
              <w:left w:w="80" w:type="dxa"/>
              <w:bottom w:w="40" w:type="dxa"/>
              <w:right w:w="80" w:type="dxa"/>
            </w:tcMar>
          </w:tcPr>
          <w:p w14:paraId="2EAB6449">
            <w:pPr>
              <w:spacing w:after="0" w:line="240" w:lineRule="auto"/>
              <w:jc w:val="center"/>
            </w:pPr>
            <w:r>
              <w:rPr>
                <w:rFonts w:ascii="Times New Roman" w:hAnsi="Times New Roman" w:eastAsia="Times New Roman" w:cs="Times New Roman"/>
                <w:b w:val="0"/>
                <w:bCs w:val="0"/>
                <w:sz w:val="20"/>
                <w:szCs w:val="20"/>
              </w:rPr>
              <w:t>0.017</w:t>
            </w:r>
          </w:p>
        </w:tc>
      </w:tr>
      <w:tr w14:paraId="4DD5E5D5">
        <w:tc>
          <w:tcPr>
            <w:tcW w:w="4400" w:type="dxa"/>
            <w:tcBorders>
              <w:top w:val="nil"/>
              <w:left w:val="nil"/>
              <w:bottom w:val="nil"/>
              <w:right w:val="nil"/>
            </w:tcBorders>
            <w:tcMar>
              <w:top w:w="40" w:type="dxa"/>
              <w:left w:w="80" w:type="dxa"/>
              <w:bottom w:w="40" w:type="dxa"/>
              <w:right w:w="80" w:type="dxa"/>
            </w:tcMar>
          </w:tcPr>
          <w:p w14:paraId="7BADE20E">
            <w:pPr>
              <w:spacing w:after="0" w:line="240" w:lineRule="auto"/>
              <w:jc w:val="left"/>
            </w:pPr>
            <w:r>
              <w:rPr>
                <w:rFonts w:ascii="Times New Roman" w:hAnsi="Times New Roman" w:eastAsia="Times New Roman" w:cs="Times New Roman"/>
                <w:b w:val="0"/>
                <w:bCs w:val="0"/>
                <w:sz w:val="20"/>
                <w:szCs w:val="20"/>
              </w:rPr>
              <w:t>Baseline serum creatinine</w:t>
            </w:r>
          </w:p>
        </w:tc>
        <w:tc>
          <w:tcPr>
            <w:tcW w:w="2960" w:type="dxa"/>
            <w:tcBorders>
              <w:top w:val="nil"/>
              <w:left w:val="nil"/>
              <w:bottom w:val="nil"/>
              <w:right w:val="nil"/>
            </w:tcBorders>
            <w:tcMar>
              <w:top w:w="40" w:type="dxa"/>
              <w:left w:w="80" w:type="dxa"/>
              <w:bottom w:w="40" w:type="dxa"/>
              <w:right w:w="80" w:type="dxa"/>
            </w:tcMar>
          </w:tcPr>
          <w:p w14:paraId="33D72F14">
            <w:pPr>
              <w:spacing w:after="0" w:line="240" w:lineRule="auto"/>
              <w:jc w:val="center"/>
            </w:pPr>
            <w:r>
              <w:rPr>
                <w:rFonts w:ascii="Times New Roman" w:hAnsi="Times New Roman" w:eastAsia="Times New Roman" w:cs="Times New Roman"/>
                <w:b w:val="0"/>
                <w:bCs w:val="0"/>
                <w:sz w:val="20"/>
                <w:szCs w:val="20"/>
              </w:rPr>
              <w:t>0.988 (0.919–1.061)</w:t>
            </w:r>
          </w:p>
        </w:tc>
        <w:tc>
          <w:tcPr>
            <w:tcW w:w="2000" w:type="dxa"/>
            <w:tcBorders>
              <w:top w:val="nil"/>
              <w:left w:val="nil"/>
              <w:bottom w:val="nil"/>
              <w:right w:val="nil"/>
            </w:tcBorders>
            <w:tcMar>
              <w:top w:w="40" w:type="dxa"/>
              <w:left w:w="80" w:type="dxa"/>
              <w:bottom w:w="40" w:type="dxa"/>
              <w:right w:w="80" w:type="dxa"/>
            </w:tcMar>
          </w:tcPr>
          <w:p w14:paraId="7A7EE311">
            <w:pPr>
              <w:spacing w:after="0" w:line="240" w:lineRule="auto"/>
              <w:jc w:val="center"/>
            </w:pPr>
            <w:r>
              <w:rPr>
                <w:rFonts w:ascii="Times New Roman" w:hAnsi="Times New Roman" w:eastAsia="Times New Roman" w:cs="Times New Roman"/>
                <w:b w:val="0"/>
                <w:bCs w:val="0"/>
                <w:sz w:val="20"/>
                <w:szCs w:val="20"/>
              </w:rPr>
              <w:t>0.738</w:t>
            </w:r>
          </w:p>
        </w:tc>
      </w:tr>
      <w:tr w14:paraId="10C772DC">
        <w:tc>
          <w:tcPr>
            <w:tcW w:w="4400" w:type="dxa"/>
            <w:tcBorders>
              <w:top w:val="nil"/>
              <w:left w:val="nil"/>
              <w:bottom w:val="nil"/>
              <w:right w:val="nil"/>
            </w:tcBorders>
            <w:tcMar>
              <w:top w:w="40" w:type="dxa"/>
              <w:left w:w="80" w:type="dxa"/>
              <w:bottom w:w="40" w:type="dxa"/>
              <w:right w:w="80" w:type="dxa"/>
            </w:tcMar>
          </w:tcPr>
          <w:p w14:paraId="7D7827F0">
            <w:pPr>
              <w:spacing w:after="0" w:line="240" w:lineRule="auto"/>
              <w:jc w:val="left"/>
            </w:pPr>
            <w:r>
              <w:rPr>
                <w:rFonts w:ascii="Times New Roman" w:hAnsi="Times New Roman" w:eastAsia="Times New Roman" w:cs="Times New Roman"/>
                <w:b w:val="0"/>
                <w:bCs w:val="0"/>
                <w:sz w:val="20"/>
                <w:szCs w:val="20"/>
              </w:rPr>
              <w:t>Vasopressor or inotrope use (first 24 h)</w:t>
            </w:r>
          </w:p>
        </w:tc>
        <w:tc>
          <w:tcPr>
            <w:tcW w:w="2960" w:type="dxa"/>
            <w:tcBorders>
              <w:top w:val="nil"/>
              <w:left w:val="nil"/>
              <w:bottom w:val="nil"/>
              <w:right w:val="nil"/>
            </w:tcBorders>
            <w:tcMar>
              <w:top w:w="40" w:type="dxa"/>
              <w:left w:w="80" w:type="dxa"/>
              <w:bottom w:w="40" w:type="dxa"/>
              <w:right w:w="80" w:type="dxa"/>
            </w:tcMar>
          </w:tcPr>
          <w:p w14:paraId="1DC1BB31">
            <w:pPr>
              <w:spacing w:after="0" w:line="240" w:lineRule="auto"/>
              <w:jc w:val="center"/>
            </w:pPr>
            <w:r>
              <w:rPr>
                <w:rFonts w:ascii="Times New Roman" w:hAnsi="Times New Roman" w:eastAsia="Times New Roman" w:cs="Times New Roman"/>
                <w:b w:val="0"/>
                <w:bCs w:val="0"/>
                <w:sz w:val="20"/>
                <w:szCs w:val="20"/>
              </w:rPr>
              <w:t>0.908 (0.752–1.096)</w:t>
            </w:r>
          </w:p>
        </w:tc>
        <w:tc>
          <w:tcPr>
            <w:tcW w:w="2000" w:type="dxa"/>
            <w:tcBorders>
              <w:top w:val="nil"/>
              <w:left w:val="nil"/>
              <w:bottom w:val="nil"/>
              <w:right w:val="nil"/>
            </w:tcBorders>
            <w:tcMar>
              <w:top w:w="40" w:type="dxa"/>
              <w:left w:w="80" w:type="dxa"/>
              <w:bottom w:w="40" w:type="dxa"/>
              <w:right w:w="80" w:type="dxa"/>
            </w:tcMar>
          </w:tcPr>
          <w:p w14:paraId="308EC356">
            <w:pPr>
              <w:spacing w:after="0" w:line="240" w:lineRule="auto"/>
              <w:jc w:val="center"/>
            </w:pPr>
            <w:r>
              <w:rPr>
                <w:rFonts w:ascii="Times New Roman" w:hAnsi="Times New Roman" w:eastAsia="Times New Roman" w:cs="Times New Roman"/>
                <w:b w:val="0"/>
                <w:bCs w:val="0"/>
                <w:sz w:val="20"/>
                <w:szCs w:val="20"/>
              </w:rPr>
              <w:t>0.313</w:t>
            </w:r>
          </w:p>
        </w:tc>
      </w:tr>
      <w:tr w14:paraId="7C09FC64">
        <w:tc>
          <w:tcPr>
            <w:tcW w:w="4400" w:type="dxa"/>
            <w:tcBorders>
              <w:top w:val="nil"/>
              <w:left w:val="nil"/>
              <w:bottom w:val="nil"/>
              <w:right w:val="nil"/>
            </w:tcBorders>
            <w:tcMar>
              <w:top w:w="40" w:type="dxa"/>
              <w:left w:w="80" w:type="dxa"/>
              <w:bottom w:w="40" w:type="dxa"/>
              <w:right w:w="80" w:type="dxa"/>
            </w:tcMar>
          </w:tcPr>
          <w:p w14:paraId="3AE9063C">
            <w:pPr>
              <w:spacing w:after="0" w:line="240" w:lineRule="auto"/>
              <w:jc w:val="left"/>
            </w:pPr>
            <w:r>
              <w:rPr>
                <w:rFonts w:ascii="Times New Roman" w:hAnsi="Times New Roman" w:eastAsia="Times New Roman" w:cs="Times New Roman"/>
                <w:b w:val="0"/>
                <w:bCs w:val="0"/>
                <w:sz w:val="20"/>
                <w:szCs w:val="20"/>
              </w:rPr>
              <w:t>Invasive mechanical ventilation (first 24 h)</w:t>
            </w:r>
          </w:p>
        </w:tc>
        <w:tc>
          <w:tcPr>
            <w:tcW w:w="2960" w:type="dxa"/>
            <w:tcBorders>
              <w:top w:val="nil"/>
              <w:left w:val="nil"/>
              <w:bottom w:val="nil"/>
              <w:right w:val="nil"/>
            </w:tcBorders>
            <w:tcMar>
              <w:top w:w="40" w:type="dxa"/>
              <w:left w:w="80" w:type="dxa"/>
              <w:bottom w:w="40" w:type="dxa"/>
              <w:right w:w="80" w:type="dxa"/>
            </w:tcMar>
          </w:tcPr>
          <w:p w14:paraId="7554368E">
            <w:pPr>
              <w:spacing w:after="0" w:line="240" w:lineRule="auto"/>
              <w:jc w:val="center"/>
            </w:pPr>
            <w:r>
              <w:rPr>
                <w:rFonts w:ascii="Times New Roman" w:hAnsi="Times New Roman" w:eastAsia="Times New Roman" w:cs="Times New Roman"/>
                <w:b w:val="0"/>
                <w:bCs w:val="0"/>
                <w:sz w:val="20"/>
                <w:szCs w:val="20"/>
              </w:rPr>
              <w:t>1.194 (1.007–1.416)</w:t>
            </w:r>
          </w:p>
        </w:tc>
        <w:tc>
          <w:tcPr>
            <w:tcW w:w="2000" w:type="dxa"/>
            <w:tcBorders>
              <w:top w:val="nil"/>
              <w:left w:val="nil"/>
              <w:bottom w:val="nil"/>
              <w:right w:val="nil"/>
            </w:tcBorders>
            <w:tcMar>
              <w:top w:w="40" w:type="dxa"/>
              <w:left w:w="80" w:type="dxa"/>
              <w:bottom w:w="40" w:type="dxa"/>
              <w:right w:w="80" w:type="dxa"/>
            </w:tcMar>
          </w:tcPr>
          <w:p w14:paraId="2F8E6E65">
            <w:pPr>
              <w:spacing w:after="0" w:line="240" w:lineRule="auto"/>
              <w:jc w:val="center"/>
            </w:pPr>
            <w:r>
              <w:rPr>
                <w:rFonts w:ascii="Times New Roman" w:hAnsi="Times New Roman" w:eastAsia="Times New Roman" w:cs="Times New Roman"/>
                <w:b w:val="0"/>
                <w:bCs w:val="0"/>
                <w:sz w:val="20"/>
                <w:szCs w:val="20"/>
              </w:rPr>
              <w:t>0.042</w:t>
            </w:r>
          </w:p>
        </w:tc>
      </w:tr>
      <w:tr w14:paraId="7E8CF6C7">
        <w:tc>
          <w:tcPr>
            <w:tcW w:w="4400" w:type="dxa"/>
            <w:tcBorders>
              <w:top w:val="nil"/>
              <w:left w:val="nil"/>
              <w:bottom w:val="single" w:color="000000" w:sz="12" w:space="0"/>
              <w:right w:val="nil"/>
            </w:tcBorders>
            <w:tcMar>
              <w:top w:w="40" w:type="dxa"/>
              <w:left w:w="80" w:type="dxa"/>
              <w:bottom w:w="40" w:type="dxa"/>
              <w:right w:w="80" w:type="dxa"/>
            </w:tcMar>
          </w:tcPr>
          <w:p w14:paraId="49B744C4">
            <w:pPr>
              <w:spacing w:after="0" w:line="240" w:lineRule="auto"/>
              <w:jc w:val="left"/>
            </w:pPr>
            <w:r>
              <w:rPr>
                <w:rFonts w:ascii="Times New Roman" w:hAnsi="Times New Roman" w:eastAsia="Times New Roman" w:cs="Times New Roman"/>
                <w:b w:val="0"/>
                <w:bCs w:val="0"/>
                <w:sz w:val="20"/>
                <w:szCs w:val="20"/>
              </w:rPr>
              <w:t>Sepsis (Sepsis-3)</w:t>
            </w:r>
          </w:p>
        </w:tc>
        <w:tc>
          <w:tcPr>
            <w:tcW w:w="2960" w:type="dxa"/>
            <w:tcBorders>
              <w:top w:val="nil"/>
              <w:left w:val="nil"/>
              <w:bottom w:val="single" w:color="000000" w:sz="12" w:space="0"/>
              <w:right w:val="nil"/>
            </w:tcBorders>
            <w:tcMar>
              <w:top w:w="40" w:type="dxa"/>
              <w:left w:w="80" w:type="dxa"/>
              <w:bottom w:w="40" w:type="dxa"/>
              <w:right w:w="80" w:type="dxa"/>
            </w:tcMar>
          </w:tcPr>
          <w:p w14:paraId="435D5501">
            <w:pPr>
              <w:spacing w:after="0" w:line="240" w:lineRule="auto"/>
              <w:jc w:val="center"/>
            </w:pPr>
            <w:r>
              <w:rPr>
                <w:rFonts w:ascii="Times New Roman" w:hAnsi="Times New Roman" w:eastAsia="Times New Roman" w:cs="Times New Roman"/>
                <w:b w:val="0"/>
                <w:bCs w:val="0"/>
                <w:sz w:val="20"/>
                <w:szCs w:val="20"/>
              </w:rPr>
              <w:t>1.192 (1.012–1.405)</w:t>
            </w:r>
          </w:p>
        </w:tc>
        <w:tc>
          <w:tcPr>
            <w:tcW w:w="2000" w:type="dxa"/>
            <w:tcBorders>
              <w:top w:val="nil"/>
              <w:left w:val="nil"/>
              <w:bottom w:val="single" w:color="000000" w:sz="12" w:space="0"/>
              <w:right w:val="nil"/>
            </w:tcBorders>
            <w:tcMar>
              <w:top w:w="40" w:type="dxa"/>
              <w:left w:w="80" w:type="dxa"/>
              <w:bottom w:w="40" w:type="dxa"/>
              <w:right w:w="80" w:type="dxa"/>
            </w:tcMar>
          </w:tcPr>
          <w:p w14:paraId="0FD3B88C">
            <w:pPr>
              <w:spacing w:after="0" w:line="240" w:lineRule="auto"/>
              <w:jc w:val="center"/>
            </w:pPr>
            <w:r>
              <w:rPr>
                <w:rFonts w:ascii="Times New Roman" w:hAnsi="Times New Roman" w:eastAsia="Times New Roman" w:cs="Times New Roman"/>
                <w:b w:val="0"/>
                <w:bCs w:val="0"/>
                <w:sz w:val="20"/>
                <w:szCs w:val="20"/>
              </w:rPr>
              <w:t>0.036</w:t>
            </w:r>
          </w:p>
        </w:tc>
      </w:tr>
    </w:tbl>
    <w:p w14:paraId="1292580E">
      <w:pPr>
        <w:spacing w:before="60" w:after="0" w:line="240" w:lineRule="auto"/>
      </w:pPr>
      <w:r>
        <w:rPr>
          <w:rFonts w:ascii="Times New Roman" w:hAnsi="Times New Roman" w:eastAsia="Times New Roman" w:cs="Times New Roman"/>
          <w:i/>
          <w:iCs/>
          <w:sz w:val="20"/>
          <w:szCs w:val="20"/>
        </w:rPr>
        <w:t>Risk ratios were estimated by a Poisson model with robust (sandwich) variance and are mutually adjusted for all listed variables (n = 3067). CI, confidence interval; E/e′, ratio of early transmitral inflow velocity to early diastolic mitral annular velocity; SOFA, Sequential Organ Failure Assessment.</w:t>
      </w:r>
    </w:p>
    <w:p w14:paraId="66490313">
      <w:r>
        <w:rPr>
          <w:rFonts w:ascii="Times New Roman" w:hAnsi="Times New Roman" w:eastAsia="Times New Roman" w:cs="Times New Roman"/>
        </w:rPr>
        <w:br w:type="page"/>
      </w:r>
    </w:p>
    <w:p w14:paraId="6F3E7A14">
      <w:pPr>
        <w:spacing w:before="120" w:after="80" w:line="276" w:lineRule="auto"/>
      </w:pPr>
      <w:r>
        <w:rPr>
          <w:rFonts w:ascii="Times New Roman" w:hAnsi="Times New Roman" w:eastAsia="Times New Roman" w:cs="Times New Roman"/>
          <w:b/>
          <w:bCs/>
          <w:sz w:val="24"/>
          <w:szCs w:val="24"/>
        </w:rPr>
        <w:t xml:space="preserve">Supplementary Table S3. </w:t>
      </w:r>
      <w:r>
        <w:rPr>
          <w:rFonts w:ascii="Times New Roman" w:hAnsi="Times New Roman" w:eastAsia="Times New Roman" w:cs="Times New Roman"/>
          <w:sz w:val="24"/>
          <w:szCs w:val="24"/>
        </w:rPr>
        <w:t>Wald statistics from the restricted cubic spline model of mean E/e′ and incident 7-day acute kidney injury.</w:t>
      </w:r>
    </w:p>
    <w:tbl>
      <w:tblPr>
        <w:tblStyle w:val="11"/>
        <w:tblW w:w="9360" w:type="dxa"/>
        <w:tblInd w:w="0" w:type="dxa"/>
        <w:tblBorders>
          <w:top w:val="single" w:color="auto" w:sz="4" w:space="0"/>
          <w:left w:val="none" w:color="auto" w:sz="4" w:space="0"/>
          <w:bottom w:val="single" w:color="auto" w:sz="4" w:space="0"/>
          <w:right w:val="none" w:color="auto" w:sz="4" w:space="0"/>
          <w:insideH w:val="single" w:color="auto" w:sz="4" w:space="0"/>
          <w:insideV w:val="none" w:color="auto" w:sz="4" w:space="0"/>
        </w:tblBorders>
        <w:tblLayout w:type="autofit"/>
        <w:tblCellMar>
          <w:top w:w="0" w:type="dxa"/>
          <w:left w:w="10" w:type="dxa"/>
          <w:bottom w:w="0" w:type="dxa"/>
          <w:right w:w="10" w:type="dxa"/>
        </w:tblCellMar>
      </w:tblPr>
      <w:tblGrid>
        <w:gridCol w:w="4200"/>
        <w:gridCol w:w="1800"/>
        <w:gridCol w:w="1360"/>
        <w:gridCol w:w="2000"/>
      </w:tblGrid>
      <w:tr w14:paraId="38338C84">
        <w:trPr>
          <w:tblHeader/>
        </w:trPr>
        <w:tc>
          <w:tcPr>
            <w:tcW w:w="4200" w:type="dxa"/>
            <w:tcBorders>
              <w:top w:val="single" w:color="000000" w:sz="12" w:space="0"/>
              <w:left w:val="nil"/>
              <w:bottom w:val="single" w:color="000000" w:sz="4" w:space="0"/>
              <w:right w:val="nil"/>
            </w:tcBorders>
            <w:tcMar>
              <w:top w:w="40" w:type="dxa"/>
              <w:left w:w="80" w:type="dxa"/>
              <w:bottom w:w="40" w:type="dxa"/>
              <w:right w:w="80" w:type="dxa"/>
            </w:tcMar>
          </w:tcPr>
          <w:p w14:paraId="371EC6CE">
            <w:pPr>
              <w:spacing w:after="0" w:line="240" w:lineRule="auto"/>
              <w:jc w:val="left"/>
            </w:pPr>
            <w:r>
              <w:rPr>
                <w:rFonts w:ascii="Times New Roman" w:hAnsi="Times New Roman" w:eastAsia="Times New Roman" w:cs="Times New Roman"/>
                <w:b/>
                <w:bCs/>
                <w:sz w:val="20"/>
                <w:szCs w:val="20"/>
              </w:rPr>
              <w:t>Term</w:t>
            </w:r>
          </w:p>
        </w:tc>
        <w:tc>
          <w:tcPr>
            <w:tcW w:w="1800" w:type="dxa"/>
            <w:tcBorders>
              <w:top w:val="single" w:color="000000" w:sz="12" w:space="0"/>
              <w:left w:val="nil"/>
              <w:bottom w:val="single" w:color="000000" w:sz="4" w:space="0"/>
              <w:right w:val="nil"/>
            </w:tcBorders>
            <w:tcMar>
              <w:top w:w="40" w:type="dxa"/>
              <w:left w:w="80" w:type="dxa"/>
              <w:bottom w:w="40" w:type="dxa"/>
              <w:right w:w="80" w:type="dxa"/>
            </w:tcMar>
          </w:tcPr>
          <w:p w14:paraId="6B22C658">
            <w:pPr>
              <w:spacing w:after="0" w:line="240" w:lineRule="auto"/>
              <w:jc w:val="center"/>
            </w:pPr>
            <w:r>
              <w:rPr>
                <w:rFonts w:ascii="Times New Roman" w:hAnsi="Times New Roman" w:eastAsia="Times New Roman" w:cs="Times New Roman"/>
                <w:b/>
                <w:bCs/>
                <w:sz w:val="20"/>
                <w:szCs w:val="20"/>
              </w:rPr>
              <w:t>χ²</w:t>
            </w:r>
          </w:p>
        </w:tc>
        <w:tc>
          <w:tcPr>
            <w:tcW w:w="1360" w:type="dxa"/>
            <w:tcBorders>
              <w:top w:val="single" w:color="000000" w:sz="12" w:space="0"/>
              <w:left w:val="nil"/>
              <w:bottom w:val="single" w:color="000000" w:sz="4" w:space="0"/>
              <w:right w:val="nil"/>
            </w:tcBorders>
            <w:tcMar>
              <w:top w:w="40" w:type="dxa"/>
              <w:left w:w="80" w:type="dxa"/>
              <w:bottom w:w="40" w:type="dxa"/>
              <w:right w:w="80" w:type="dxa"/>
            </w:tcMar>
          </w:tcPr>
          <w:p w14:paraId="28C88A4D">
            <w:pPr>
              <w:spacing w:after="0" w:line="240" w:lineRule="auto"/>
              <w:jc w:val="center"/>
            </w:pPr>
            <w:r>
              <w:rPr>
                <w:rFonts w:ascii="Times New Roman" w:hAnsi="Times New Roman" w:eastAsia="Times New Roman" w:cs="Times New Roman"/>
                <w:b/>
                <w:bCs/>
                <w:sz w:val="20"/>
                <w:szCs w:val="20"/>
              </w:rPr>
              <w:t>df</w:t>
            </w:r>
          </w:p>
        </w:tc>
        <w:tc>
          <w:tcPr>
            <w:tcW w:w="2000" w:type="dxa"/>
            <w:tcBorders>
              <w:top w:val="single" w:color="000000" w:sz="12" w:space="0"/>
              <w:left w:val="nil"/>
              <w:bottom w:val="single" w:color="000000" w:sz="4" w:space="0"/>
              <w:right w:val="nil"/>
            </w:tcBorders>
            <w:tcMar>
              <w:top w:w="40" w:type="dxa"/>
              <w:left w:w="80" w:type="dxa"/>
              <w:bottom w:w="40" w:type="dxa"/>
              <w:right w:w="80" w:type="dxa"/>
            </w:tcMar>
          </w:tcPr>
          <w:p w14:paraId="6BF08507">
            <w:pPr>
              <w:spacing w:after="0" w:line="240" w:lineRule="auto"/>
              <w:jc w:val="center"/>
            </w:pPr>
            <w:r>
              <w:rPr>
                <w:rFonts w:ascii="Times New Roman" w:hAnsi="Times New Roman" w:eastAsia="Times New Roman" w:cs="Times New Roman"/>
                <w:b/>
                <w:bCs/>
                <w:sz w:val="20"/>
                <w:szCs w:val="20"/>
              </w:rPr>
              <w:t>P value</w:t>
            </w:r>
          </w:p>
        </w:tc>
      </w:tr>
      <w:tr w14:paraId="31A29133">
        <w:tc>
          <w:tcPr>
            <w:tcW w:w="4200" w:type="dxa"/>
            <w:tcBorders>
              <w:top w:val="nil"/>
              <w:left w:val="nil"/>
              <w:bottom w:val="nil"/>
              <w:right w:val="nil"/>
            </w:tcBorders>
            <w:tcMar>
              <w:top w:w="40" w:type="dxa"/>
              <w:left w:w="80" w:type="dxa"/>
              <w:bottom w:w="40" w:type="dxa"/>
              <w:right w:w="80" w:type="dxa"/>
            </w:tcMar>
          </w:tcPr>
          <w:p w14:paraId="478135B4">
            <w:pPr>
              <w:spacing w:after="0" w:line="240" w:lineRule="auto"/>
              <w:jc w:val="left"/>
            </w:pPr>
            <w:r>
              <w:rPr>
                <w:rFonts w:ascii="Times New Roman" w:hAnsi="Times New Roman" w:eastAsia="Times New Roman" w:cs="Times New Roman"/>
                <w:b w:val="0"/>
                <w:bCs w:val="0"/>
                <w:sz w:val="20"/>
                <w:szCs w:val="20"/>
              </w:rPr>
              <w:t>Mean E/e′ (overall)</w:t>
            </w:r>
          </w:p>
        </w:tc>
        <w:tc>
          <w:tcPr>
            <w:tcW w:w="1800" w:type="dxa"/>
            <w:tcBorders>
              <w:top w:val="nil"/>
              <w:left w:val="nil"/>
              <w:bottom w:val="nil"/>
              <w:right w:val="nil"/>
            </w:tcBorders>
            <w:tcMar>
              <w:top w:w="40" w:type="dxa"/>
              <w:left w:w="80" w:type="dxa"/>
              <w:bottom w:w="40" w:type="dxa"/>
              <w:right w:w="80" w:type="dxa"/>
            </w:tcMar>
          </w:tcPr>
          <w:p w14:paraId="20BCD1EE">
            <w:pPr>
              <w:spacing w:after="0" w:line="240" w:lineRule="auto"/>
              <w:jc w:val="center"/>
            </w:pPr>
            <w:r>
              <w:rPr>
                <w:rFonts w:ascii="Times New Roman" w:hAnsi="Times New Roman" w:eastAsia="Times New Roman" w:cs="Times New Roman"/>
                <w:b w:val="0"/>
                <w:bCs w:val="0"/>
                <w:sz w:val="20"/>
                <w:szCs w:val="20"/>
              </w:rPr>
              <w:t>13.40</w:t>
            </w:r>
          </w:p>
        </w:tc>
        <w:tc>
          <w:tcPr>
            <w:tcW w:w="1360" w:type="dxa"/>
            <w:tcBorders>
              <w:top w:val="nil"/>
              <w:left w:val="nil"/>
              <w:bottom w:val="nil"/>
              <w:right w:val="nil"/>
            </w:tcBorders>
            <w:tcMar>
              <w:top w:w="40" w:type="dxa"/>
              <w:left w:w="80" w:type="dxa"/>
              <w:bottom w:w="40" w:type="dxa"/>
              <w:right w:w="80" w:type="dxa"/>
            </w:tcMar>
          </w:tcPr>
          <w:p w14:paraId="032021AD">
            <w:pPr>
              <w:spacing w:after="0" w:line="240" w:lineRule="auto"/>
              <w:jc w:val="center"/>
            </w:pPr>
            <w:r>
              <w:rPr>
                <w:rFonts w:ascii="Times New Roman" w:hAnsi="Times New Roman" w:eastAsia="Times New Roman" w:cs="Times New Roman"/>
                <w:b w:val="0"/>
                <w:bCs w:val="0"/>
                <w:sz w:val="20"/>
                <w:szCs w:val="20"/>
              </w:rPr>
              <w:t>3</w:t>
            </w:r>
          </w:p>
        </w:tc>
        <w:tc>
          <w:tcPr>
            <w:tcW w:w="2000" w:type="dxa"/>
            <w:tcBorders>
              <w:top w:val="nil"/>
              <w:left w:val="nil"/>
              <w:bottom w:val="nil"/>
              <w:right w:val="nil"/>
            </w:tcBorders>
            <w:tcMar>
              <w:top w:w="40" w:type="dxa"/>
              <w:left w:w="80" w:type="dxa"/>
              <w:bottom w:w="40" w:type="dxa"/>
              <w:right w:w="80" w:type="dxa"/>
            </w:tcMar>
          </w:tcPr>
          <w:p w14:paraId="20EDF5B2">
            <w:pPr>
              <w:spacing w:after="0" w:line="240" w:lineRule="auto"/>
              <w:jc w:val="center"/>
            </w:pPr>
            <w:r>
              <w:rPr>
                <w:rFonts w:ascii="Times New Roman" w:hAnsi="Times New Roman" w:eastAsia="Times New Roman" w:cs="Times New Roman"/>
                <w:b w:val="0"/>
                <w:bCs w:val="0"/>
                <w:sz w:val="20"/>
                <w:szCs w:val="20"/>
              </w:rPr>
              <w:t>0.004</w:t>
            </w:r>
          </w:p>
        </w:tc>
      </w:tr>
      <w:tr w14:paraId="03B38D5D">
        <w:tc>
          <w:tcPr>
            <w:tcW w:w="4200" w:type="dxa"/>
            <w:tcBorders>
              <w:top w:val="nil"/>
              <w:left w:val="nil"/>
              <w:bottom w:val="nil"/>
              <w:right w:val="nil"/>
            </w:tcBorders>
            <w:tcMar>
              <w:top w:w="40" w:type="dxa"/>
              <w:left w:w="80" w:type="dxa"/>
              <w:bottom w:w="40" w:type="dxa"/>
              <w:right w:w="80" w:type="dxa"/>
            </w:tcMar>
          </w:tcPr>
          <w:p w14:paraId="7208187E">
            <w:pPr>
              <w:spacing w:after="0" w:line="240" w:lineRule="auto"/>
              <w:jc w:val="left"/>
            </w:pPr>
            <w:r>
              <w:rPr>
                <w:rFonts w:ascii="Times New Roman" w:hAnsi="Times New Roman" w:eastAsia="Times New Roman" w:cs="Times New Roman"/>
                <w:b w:val="0"/>
                <w:bCs w:val="0"/>
                <w:sz w:val="20"/>
                <w:szCs w:val="20"/>
              </w:rPr>
              <w:t xml:space="preserve">  Nonlinear component</w:t>
            </w:r>
          </w:p>
        </w:tc>
        <w:tc>
          <w:tcPr>
            <w:tcW w:w="1800" w:type="dxa"/>
            <w:tcBorders>
              <w:top w:val="nil"/>
              <w:left w:val="nil"/>
              <w:bottom w:val="nil"/>
              <w:right w:val="nil"/>
            </w:tcBorders>
            <w:tcMar>
              <w:top w:w="40" w:type="dxa"/>
              <w:left w:w="80" w:type="dxa"/>
              <w:bottom w:w="40" w:type="dxa"/>
              <w:right w:w="80" w:type="dxa"/>
            </w:tcMar>
          </w:tcPr>
          <w:p w14:paraId="2E7068E8">
            <w:pPr>
              <w:spacing w:after="0" w:line="240" w:lineRule="auto"/>
              <w:jc w:val="center"/>
            </w:pPr>
            <w:r>
              <w:rPr>
                <w:rFonts w:ascii="Times New Roman" w:hAnsi="Times New Roman" w:eastAsia="Times New Roman" w:cs="Times New Roman"/>
                <w:b w:val="0"/>
                <w:bCs w:val="0"/>
                <w:sz w:val="20"/>
                <w:szCs w:val="20"/>
              </w:rPr>
              <w:t>2.36</w:t>
            </w:r>
          </w:p>
        </w:tc>
        <w:tc>
          <w:tcPr>
            <w:tcW w:w="1360" w:type="dxa"/>
            <w:tcBorders>
              <w:top w:val="nil"/>
              <w:left w:val="nil"/>
              <w:bottom w:val="nil"/>
              <w:right w:val="nil"/>
            </w:tcBorders>
            <w:tcMar>
              <w:top w:w="40" w:type="dxa"/>
              <w:left w:w="80" w:type="dxa"/>
              <w:bottom w:w="40" w:type="dxa"/>
              <w:right w:w="80" w:type="dxa"/>
            </w:tcMar>
          </w:tcPr>
          <w:p w14:paraId="6F140713">
            <w:pPr>
              <w:spacing w:after="0" w:line="240" w:lineRule="auto"/>
              <w:jc w:val="center"/>
            </w:pPr>
            <w:r>
              <w:rPr>
                <w:rFonts w:ascii="Times New Roman" w:hAnsi="Times New Roman" w:eastAsia="Times New Roman" w:cs="Times New Roman"/>
                <w:b w:val="0"/>
                <w:bCs w:val="0"/>
                <w:sz w:val="20"/>
                <w:szCs w:val="20"/>
              </w:rPr>
              <w:t>2</w:t>
            </w:r>
          </w:p>
        </w:tc>
        <w:tc>
          <w:tcPr>
            <w:tcW w:w="2000" w:type="dxa"/>
            <w:tcBorders>
              <w:top w:val="nil"/>
              <w:left w:val="nil"/>
              <w:bottom w:val="nil"/>
              <w:right w:val="nil"/>
            </w:tcBorders>
            <w:tcMar>
              <w:top w:w="40" w:type="dxa"/>
              <w:left w:w="80" w:type="dxa"/>
              <w:bottom w:w="40" w:type="dxa"/>
              <w:right w:w="80" w:type="dxa"/>
            </w:tcMar>
          </w:tcPr>
          <w:p w14:paraId="1C9D7777">
            <w:pPr>
              <w:spacing w:after="0" w:line="240" w:lineRule="auto"/>
              <w:jc w:val="center"/>
            </w:pPr>
            <w:r>
              <w:rPr>
                <w:rFonts w:ascii="Times New Roman" w:hAnsi="Times New Roman" w:eastAsia="Times New Roman" w:cs="Times New Roman"/>
                <w:b w:val="0"/>
                <w:bCs w:val="0"/>
                <w:sz w:val="20"/>
                <w:szCs w:val="20"/>
              </w:rPr>
              <w:t>0.308</w:t>
            </w:r>
          </w:p>
        </w:tc>
      </w:tr>
      <w:tr w14:paraId="5061142C">
        <w:tc>
          <w:tcPr>
            <w:tcW w:w="4200" w:type="dxa"/>
            <w:tcBorders>
              <w:top w:val="nil"/>
              <w:left w:val="nil"/>
              <w:bottom w:val="nil"/>
              <w:right w:val="nil"/>
            </w:tcBorders>
            <w:tcMar>
              <w:top w:w="40" w:type="dxa"/>
              <w:left w:w="80" w:type="dxa"/>
              <w:bottom w:w="40" w:type="dxa"/>
              <w:right w:w="80" w:type="dxa"/>
            </w:tcMar>
          </w:tcPr>
          <w:p w14:paraId="24F4A8D3">
            <w:pPr>
              <w:spacing w:after="0" w:line="240" w:lineRule="auto"/>
              <w:jc w:val="left"/>
            </w:pPr>
            <w:r>
              <w:rPr>
                <w:rFonts w:ascii="Times New Roman" w:hAnsi="Times New Roman" w:eastAsia="Times New Roman" w:cs="Times New Roman"/>
                <w:b w:val="0"/>
                <w:bCs w:val="0"/>
                <w:sz w:val="20"/>
                <w:szCs w:val="20"/>
              </w:rPr>
              <w:t>Age</w:t>
            </w:r>
          </w:p>
        </w:tc>
        <w:tc>
          <w:tcPr>
            <w:tcW w:w="1800" w:type="dxa"/>
            <w:tcBorders>
              <w:top w:val="nil"/>
              <w:left w:val="nil"/>
              <w:bottom w:val="nil"/>
              <w:right w:val="nil"/>
            </w:tcBorders>
            <w:tcMar>
              <w:top w:w="40" w:type="dxa"/>
              <w:left w:w="80" w:type="dxa"/>
              <w:bottom w:w="40" w:type="dxa"/>
              <w:right w:w="80" w:type="dxa"/>
            </w:tcMar>
          </w:tcPr>
          <w:p w14:paraId="33A1004D">
            <w:pPr>
              <w:spacing w:after="0" w:line="240" w:lineRule="auto"/>
              <w:jc w:val="center"/>
            </w:pPr>
            <w:r>
              <w:rPr>
                <w:rFonts w:ascii="Times New Roman" w:hAnsi="Times New Roman" w:eastAsia="Times New Roman" w:cs="Times New Roman"/>
                <w:b w:val="0"/>
                <w:bCs w:val="0"/>
                <w:sz w:val="20"/>
                <w:szCs w:val="20"/>
              </w:rPr>
              <w:t>4.91</w:t>
            </w:r>
          </w:p>
        </w:tc>
        <w:tc>
          <w:tcPr>
            <w:tcW w:w="1360" w:type="dxa"/>
            <w:tcBorders>
              <w:top w:val="nil"/>
              <w:left w:val="nil"/>
              <w:bottom w:val="nil"/>
              <w:right w:val="nil"/>
            </w:tcBorders>
            <w:tcMar>
              <w:top w:w="40" w:type="dxa"/>
              <w:left w:w="80" w:type="dxa"/>
              <w:bottom w:w="40" w:type="dxa"/>
              <w:right w:w="80" w:type="dxa"/>
            </w:tcMar>
          </w:tcPr>
          <w:p w14:paraId="4BBAF0C0">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50182A51">
            <w:pPr>
              <w:spacing w:after="0" w:line="240" w:lineRule="auto"/>
              <w:jc w:val="center"/>
            </w:pPr>
            <w:r>
              <w:rPr>
                <w:rFonts w:ascii="Times New Roman" w:hAnsi="Times New Roman" w:eastAsia="Times New Roman" w:cs="Times New Roman"/>
                <w:b w:val="0"/>
                <w:bCs w:val="0"/>
                <w:sz w:val="20"/>
                <w:szCs w:val="20"/>
              </w:rPr>
              <w:t>0.027</w:t>
            </w:r>
          </w:p>
        </w:tc>
      </w:tr>
      <w:tr w14:paraId="3F7BEB7D">
        <w:tc>
          <w:tcPr>
            <w:tcW w:w="4200" w:type="dxa"/>
            <w:tcBorders>
              <w:top w:val="nil"/>
              <w:left w:val="nil"/>
              <w:bottom w:val="nil"/>
              <w:right w:val="nil"/>
            </w:tcBorders>
            <w:tcMar>
              <w:top w:w="40" w:type="dxa"/>
              <w:left w:w="80" w:type="dxa"/>
              <w:bottom w:w="40" w:type="dxa"/>
              <w:right w:w="80" w:type="dxa"/>
            </w:tcMar>
          </w:tcPr>
          <w:p w14:paraId="25DB620C">
            <w:pPr>
              <w:spacing w:after="0" w:line="240" w:lineRule="auto"/>
              <w:jc w:val="left"/>
            </w:pPr>
            <w:r>
              <w:rPr>
                <w:rFonts w:ascii="Times New Roman" w:hAnsi="Times New Roman" w:eastAsia="Times New Roman" w:cs="Times New Roman"/>
                <w:b w:val="0"/>
                <w:bCs w:val="0"/>
                <w:sz w:val="20"/>
                <w:szCs w:val="20"/>
              </w:rPr>
              <w:t>Female sex</w:t>
            </w:r>
          </w:p>
        </w:tc>
        <w:tc>
          <w:tcPr>
            <w:tcW w:w="1800" w:type="dxa"/>
            <w:tcBorders>
              <w:top w:val="nil"/>
              <w:left w:val="nil"/>
              <w:bottom w:val="nil"/>
              <w:right w:val="nil"/>
            </w:tcBorders>
            <w:tcMar>
              <w:top w:w="40" w:type="dxa"/>
              <w:left w:w="80" w:type="dxa"/>
              <w:bottom w:w="40" w:type="dxa"/>
              <w:right w:w="80" w:type="dxa"/>
            </w:tcMar>
          </w:tcPr>
          <w:p w14:paraId="74133538">
            <w:pPr>
              <w:spacing w:after="0" w:line="240" w:lineRule="auto"/>
              <w:jc w:val="center"/>
            </w:pPr>
            <w:r>
              <w:rPr>
                <w:rFonts w:ascii="Times New Roman" w:hAnsi="Times New Roman" w:eastAsia="Times New Roman" w:cs="Times New Roman"/>
                <w:b w:val="0"/>
                <w:bCs w:val="0"/>
                <w:sz w:val="20"/>
                <w:szCs w:val="20"/>
              </w:rPr>
              <w:t>1.79</w:t>
            </w:r>
          </w:p>
        </w:tc>
        <w:tc>
          <w:tcPr>
            <w:tcW w:w="1360" w:type="dxa"/>
            <w:tcBorders>
              <w:top w:val="nil"/>
              <w:left w:val="nil"/>
              <w:bottom w:val="nil"/>
              <w:right w:val="nil"/>
            </w:tcBorders>
            <w:tcMar>
              <w:top w:w="40" w:type="dxa"/>
              <w:left w:w="80" w:type="dxa"/>
              <w:bottom w:w="40" w:type="dxa"/>
              <w:right w:w="80" w:type="dxa"/>
            </w:tcMar>
          </w:tcPr>
          <w:p w14:paraId="15FAE0F4">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728B85E1">
            <w:pPr>
              <w:spacing w:after="0" w:line="240" w:lineRule="auto"/>
              <w:jc w:val="center"/>
            </w:pPr>
            <w:r>
              <w:rPr>
                <w:rFonts w:ascii="Times New Roman" w:hAnsi="Times New Roman" w:eastAsia="Times New Roman" w:cs="Times New Roman"/>
                <w:b w:val="0"/>
                <w:bCs w:val="0"/>
                <w:sz w:val="20"/>
                <w:szCs w:val="20"/>
              </w:rPr>
              <w:t>0.181</w:t>
            </w:r>
          </w:p>
        </w:tc>
      </w:tr>
      <w:tr w14:paraId="0FB528FC">
        <w:tc>
          <w:tcPr>
            <w:tcW w:w="4200" w:type="dxa"/>
            <w:tcBorders>
              <w:top w:val="nil"/>
              <w:left w:val="nil"/>
              <w:bottom w:val="nil"/>
              <w:right w:val="nil"/>
            </w:tcBorders>
            <w:tcMar>
              <w:top w:w="40" w:type="dxa"/>
              <w:left w:w="80" w:type="dxa"/>
              <w:bottom w:w="40" w:type="dxa"/>
              <w:right w:w="80" w:type="dxa"/>
            </w:tcMar>
          </w:tcPr>
          <w:p w14:paraId="49A47039">
            <w:pPr>
              <w:spacing w:after="0" w:line="240" w:lineRule="auto"/>
              <w:jc w:val="left"/>
            </w:pPr>
            <w:r>
              <w:rPr>
                <w:rFonts w:ascii="Times New Roman" w:hAnsi="Times New Roman" w:eastAsia="Times New Roman" w:cs="Times New Roman"/>
                <w:b w:val="0"/>
                <w:bCs w:val="0"/>
                <w:sz w:val="20"/>
                <w:szCs w:val="20"/>
              </w:rPr>
              <w:t>SOFA score (first 24 h)</w:t>
            </w:r>
          </w:p>
        </w:tc>
        <w:tc>
          <w:tcPr>
            <w:tcW w:w="1800" w:type="dxa"/>
            <w:tcBorders>
              <w:top w:val="nil"/>
              <w:left w:val="nil"/>
              <w:bottom w:val="nil"/>
              <w:right w:val="nil"/>
            </w:tcBorders>
            <w:tcMar>
              <w:top w:w="40" w:type="dxa"/>
              <w:left w:w="80" w:type="dxa"/>
              <w:bottom w:w="40" w:type="dxa"/>
              <w:right w:w="80" w:type="dxa"/>
            </w:tcMar>
          </w:tcPr>
          <w:p w14:paraId="48F4946D">
            <w:pPr>
              <w:spacing w:after="0" w:line="240" w:lineRule="auto"/>
              <w:jc w:val="center"/>
            </w:pPr>
            <w:r>
              <w:rPr>
                <w:rFonts w:ascii="Times New Roman" w:hAnsi="Times New Roman" w:eastAsia="Times New Roman" w:cs="Times New Roman"/>
                <w:b w:val="0"/>
                <w:bCs w:val="0"/>
                <w:sz w:val="20"/>
                <w:szCs w:val="20"/>
              </w:rPr>
              <w:t>23.27</w:t>
            </w:r>
          </w:p>
        </w:tc>
        <w:tc>
          <w:tcPr>
            <w:tcW w:w="1360" w:type="dxa"/>
            <w:tcBorders>
              <w:top w:val="nil"/>
              <w:left w:val="nil"/>
              <w:bottom w:val="nil"/>
              <w:right w:val="nil"/>
            </w:tcBorders>
            <w:tcMar>
              <w:top w:w="40" w:type="dxa"/>
              <w:left w:w="80" w:type="dxa"/>
              <w:bottom w:w="40" w:type="dxa"/>
              <w:right w:w="80" w:type="dxa"/>
            </w:tcMar>
          </w:tcPr>
          <w:p w14:paraId="100F8D71">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38061874">
            <w:pPr>
              <w:spacing w:after="0" w:line="240" w:lineRule="auto"/>
              <w:jc w:val="center"/>
            </w:pPr>
            <w:r>
              <w:rPr>
                <w:rFonts w:ascii="Times New Roman" w:hAnsi="Times New Roman" w:eastAsia="Times New Roman" w:cs="Times New Roman"/>
                <w:b w:val="0"/>
                <w:bCs w:val="0"/>
                <w:sz w:val="20"/>
                <w:szCs w:val="20"/>
              </w:rPr>
              <w:t>&lt; 0.001</w:t>
            </w:r>
          </w:p>
        </w:tc>
      </w:tr>
      <w:tr w14:paraId="3E22EF04">
        <w:tc>
          <w:tcPr>
            <w:tcW w:w="4200" w:type="dxa"/>
            <w:tcBorders>
              <w:top w:val="nil"/>
              <w:left w:val="nil"/>
              <w:bottom w:val="nil"/>
              <w:right w:val="nil"/>
            </w:tcBorders>
            <w:tcMar>
              <w:top w:w="40" w:type="dxa"/>
              <w:left w:w="80" w:type="dxa"/>
              <w:bottom w:w="40" w:type="dxa"/>
              <w:right w:w="80" w:type="dxa"/>
            </w:tcMar>
          </w:tcPr>
          <w:p w14:paraId="4B259996">
            <w:pPr>
              <w:spacing w:after="0" w:line="240" w:lineRule="auto"/>
              <w:jc w:val="left"/>
            </w:pPr>
            <w:r>
              <w:rPr>
                <w:rFonts w:ascii="Times New Roman" w:hAnsi="Times New Roman" w:eastAsia="Times New Roman" w:cs="Times New Roman"/>
                <w:b w:val="0"/>
                <w:bCs w:val="0"/>
                <w:sz w:val="20"/>
                <w:szCs w:val="20"/>
              </w:rPr>
              <w:t>Charlson comorbidity index</w:t>
            </w:r>
          </w:p>
        </w:tc>
        <w:tc>
          <w:tcPr>
            <w:tcW w:w="1800" w:type="dxa"/>
            <w:tcBorders>
              <w:top w:val="nil"/>
              <w:left w:val="nil"/>
              <w:bottom w:val="nil"/>
              <w:right w:val="nil"/>
            </w:tcBorders>
            <w:tcMar>
              <w:top w:w="40" w:type="dxa"/>
              <w:left w:w="80" w:type="dxa"/>
              <w:bottom w:w="40" w:type="dxa"/>
              <w:right w:w="80" w:type="dxa"/>
            </w:tcMar>
          </w:tcPr>
          <w:p w14:paraId="399A8F47">
            <w:pPr>
              <w:spacing w:after="0" w:line="240" w:lineRule="auto"/>
              <w:jc w:val="center"/>
            </w:pPr>
            <w:r>
              <w:rPr>
                <w:rFonts w:ascii="Times New Roman" w:hAnsi="Times New Roman" w:eastAsia="Times New Roman" w:cs="Times New Roman"/>
                <w:b w:val="0"/>
                <w:bCs w:val="0"/>
                <w:sz w:val="20"/>
                <w:szCs w:val="20"/>
              </w:rPr>
              <w:t>7.95</w:t>
            </w:r>
          </w:p>
        </w:tc>
        <w:tc>
          <w:tcPr>
            <w:tcW w:w="1360" w:type="dxa"/>
            <w:tcBorders>
              <w:top w:val="nil"/>
              <w:left w:val="nil"/>
              <w:bottom w:val="nil"/>
              <w:right w:val="nil"/>
            </w:tcBorders>
            <w:tcMar>
              <w:top w:w="40" w:type="dxa"/>
              <w:left w:w="80" w:type="dxa"/>
              <w:bottom w:w="40" w:type="dxa"/>
              <w:right w:w="80" w:type="dxa"/>
            </w:tcMar>
          </w:tcPr>
          <w:p w14:paraId="68478BA0">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7CCC355F">
            <w:pPr>
              <w:spacing w:after="0" w:line="240" w:lineRule="auto"/>
              <w:jc w:val="center"/>
            </w:pPr>
            <w:r>
              <w:rPr>
                <w:rFonts w:ascii="Times New Roman" w:hAnsi="Times New Roman" w:eastAsia="Times New Roman" w:cs="Times New Roman"/>
                <w:b w:val="0"/>
                <w:bCs w:val="0"/>
                <w:sz w:val="20"/>
                <w:szCs w:val="20"/>
              </w:rPr>
              <w:t>0.005</w:t>
            </w:r>
          </w:p>
        </w:tc>
      </w:tr>
      <w:tr w14:paraId="678418E3">
        <w:tc>
          <w:tcPr>
            <w:tcW w:w="4200" w:type="dxa"/>
            <w:tcBorders>
              <w:top w:val="nil"/>
              <w:left w:val="nil"/>
              <w:bottom w:val="nil"/>
              <w:right w:val="nil"/>
            </w:tcBorders>
            <w:tcMar>
              <w:top w:w="40" w:type="dxa"/>
              <w:left w:w="80" w:type="dxa"/>
              <w:bottom w:w="40" w:type="dxa"/>
              <w:right w:w="80" w:type="dxa"/>
            </w:tcMar>
          </w:tcPr>
          <w:p w14:paraId="37393605">
            <w:pPr>
              <w:spacing w:after="0" w:line="240" w:lineRule="auto"/>
              <w:jc w:val="left"/>
            </w:pPr>
            <w:r>
              <w:rPr>
                <w:rFonts w:ascii="Times New Roman" w:hAnsi="Times New Roman" w:eastAsia="Times New Roman" w:cs="Times New Roman"/>
                <w:b w:val="0"/>
                <w:bCs w:val="0"/>
                <w:sz w:val="20"/>
                <w:szCs w:val="20"/>
              </w:rPr>
              <w:t>Chronic kidney disease</w:t>
            </w:r>
          </w:p>
        </w:tc>
        <w:tc>
          <w:tcPr>
            <w:tcW w:w="1800" w:type="dxa"/>
            <w:tcBorders>
              <w:top w:val="nil"/>
              <w:left w:val="nil"/>
              <w:bottom w:val="nil"/>
              <w:right w:val="nil"/>
            </w:tcBorders>
            <w:tcMar>
              <w:top w:w="40" w:type="dxa"/>
              <w:left w:w="80" w:type="dxa"/>
              <w:bottom w:w="40" w:type="dxa"/>
              <w:right w:w="80" w:type="dxa"/>
            </w:tcMar>
          </w:tcPr>
          <w:p w14:paraId="6B973E1F">
            <w:pPr>
              <w:spacing w:after="0" w:line="240" w:lineRule="auto"/>
              <w:jc w:val="center"/>
            </w:pPr>
            <w:r>
              <w:rPr>
                <w:rFonts w:ascii="Times New Roman" w:hAnsi="Times New Roman" w:eastAsia="Times New Roman" w:cs="Times New Roman"/>
                <w:b w:val="0"/>
                <w:bCs w:val="0"/>
                <w:sz w:val="20"/>
                <w:szCs w:val="20"/>
              </w:rPr>
              <w:t>16.43</w:t>
            </w:r>
          </w:p>
        </w:tc>
        <w:tc>
          <w:tcPr>
            <w:tcW w:w="1360" w:type="dxa"/>
            <w:tcBorders>
              <w:top w:val="nil"/>
              <w:left w:val="nil"/>
              <w:bottom w:val="nil"/>
              <w:right w:val="nil"/>
            </w:tcBorders>
            <w:tcMar>
              <w:top w:w="40" w:type="dxa"/>
              <w:left w:w="80" w:type="dxa"/>
              <w:bottom w:w="40" w:type="dxa"/>
              <w:right w:w="80" w:type="dxa"/>
            </w:tcMar>
          </w:tcPr>
          <w:p w14:paraId="1C17794A">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1D32E53B">
            <w:pPr>
              <w:spacing w:after="0" w:line="240" w:lineRule="auto"/>
              <w:jc w:val="center"/>
            </w:pPr>
            <w:r>
              <w:rPr>
                <w:rFonts w:ascii="Times New Roman" w:hAnsi="Times New Roman" w:eastAsia="Times New Roman" w:cs="Times New Roman"/>
                <w:b w:val="0"/>
                <w:bCs w:val="0"/>
                <w:sz w:val="20"/>
                <w:szCs w:val="20"/>
              </w:rPr>
              <w:t>&lt; 0.001</w:t>
            </w:r>
          </w:p>
        </w:tc>
      </w:tr>
      <w:tr w14:paraId="30A2E806">
        <w:tc>
          <w:tcPr>
            <w:tcW w:w="4200" w:type="dxa"/>
            <w:tcBorders>
              <w:top w:val="nil"/>
              <w:left w:val="nil"/>
              <w:bottom w:val="nil"/>
              <w:right w:val="nil"/>
            </w:tcBorders>
            <w:tcMar>
              <w:top w:w="40" w:type="dxa"/>
              <w:left w:w="80" w:type="dxa"/>
              <w:bottom w:w="40" w:type="dxa"/>
              <w:right w:w="80" w:type="dxa"/>
            </w:tcMar>
          </w:tcPr>
          <w:p w14:paraId="6E2C2C0D">
            <w:pPr>
              <w:spacing w:after="0" w:line="240" w:lineRule="auto"/>
              <w:jc w:val="left"/>
            </w:pPr>
            <w:r>
              <w:rPr>
                <w:rFonts w:ascii="Times New Roman" w:hAnsi="Times New Roman" w:eastAsia="Times New Roman" w:cs="Times New Roman"/>
                <w:b w:val="0"/>
                <w:bCs w:val="0"/>
                <w:sz w:val="20"/>
                <w:szCs w:val="20"/>
              </w:rPr>
              <w:t>Diabetes mellitus</w:t>
            </w:r>
          </w:p>
        </w:tc>
        <w:tc>
          <w:tcPr>
            <w:tcW w:w="1800" w:type="dxa"/>
            <w:tcBorders>
              <w:top w:val="nil"/>
              <w:left w:val="nil"/>
              <w:bottom w:val="nil"/>
              <w:right w:val="nil"/>
            </w:tcBorders>
            <w:tcMar>
              <w:top w:w="40" w:type="dxa"/>
              <w:left w:w="80" w:type="dxa"/>
              <w:bottom w:w="40" w:type="dxa"/>
              <w:right w:w="80" w:type="dxa"/>
            </w:tcMar>
          </w:tcPr>
          <w:p w14:paraId="7ADD43F7">
            <w:pPr>
              <w:spacing w:after="0" w:line="240" w:lineRule="auto"/>
              <w:jc w:val="center"/>
            </w:pPr>
            <w:r>
              <w:rPr>
                <w:rFonts w:ascii="Times New Roman" w:hAnsi="Times New Roman" w:eastAsia="Times New Roman" w:cs="Times New Roman"/>
                <w:b w:val="0"/>
                <w:bCs w:val="0"/>
                <w:sz w:val="20"/>
                <w:szCs w:val="20"/>
              </w:rPr>
              <w:t>0.54</w:t>
            </w:r>
          </w:p>
        </w:tc>
        <w:tc>
          <w:tcPr>
            <w:tcW w:w="1360" w:type="dxa"/>
            <w:tcBorders>
              <w:top w:val="nil"/>
              <w:left w:val="nil"/>
              <w:bottom w:val="nil"/>
              <w:right w:val="nil"/>
            </w:tcBorders>
            <w:tcMar>
              <w:top w:w="40" w:type="dxa"/>
              <w:left w:w="80" w:type="dxa"/>
              <w:bottom w:w="40" w:type="dxa"/>
              <w:right w:w="80" w:type="dxa"/>
            </w:tcMar>
          </w:tcPr>
          <w:p w14:paraId="393BD98D">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3EF8F558">
            <w:pPr>
              <w:spacing w:after="0" w:line="240" w:lineRule="auto"/>
              <w:jc w:val="center"/>
            </w:pPr>
            <w:r>
              <w:rPr>
                <w:rFonts w:ascii="Times New Roman" w:hAnsi="Times New Roman" w:eastAsia="Times New Roman" w:cs="Times New Roman"/>
                <w:b w:val="0"/>
                <w:bCs w:val="0"/>
                <w:sz w:val="20"/>
                <w:szCs w:val="20"/>
              </w:rPr>
              <w:t>0.462</w:t>
            </w:r>
          </w:p>
        </w:tc>
      </w:tr>
      <w:tr w14:paraId="5F9B08D6">
        <w:tc>
          <w:tcPr>
            <w:tcW w:w="4200" w:type="dxa"/>
            <w:tcBorders>
              <w:top w:val="nil"/>
              <w:left w:val="nil"/>
              <w:bottom w:val="nil"/>
              <w:right w:val="nil"/>
            </w:tcBorders>
            <w:tcMar>
              <w:top w:w="40" w:type="dxa"/>
              <w:left w:w="80" w:type="dxa"/>
              <w:bottom w:w="40" w:type="dxa"/>
              <w:right w:w="80" w:type="dxa"/>
            </w:tcMar>
          </w:tcPr>
          <w:p w14:paraId="76061C51">
            <w:pPr>
              <w:spacing w:after="0" w:line="240" w:lineRule="auto"/>
              <w:jc w:val="left"/>
            </w:pPr>
            <w:r>
              <w:rPr>
                <w:rFonts w:ascii="Times New Roman" w:hAnsi="Times New Roman" w:eastAsia="Times New Roman" w:cs="Times New Roman"/>
                <w:b w:val="0"/>
                <w:bCs w:val="0"/>
                <w:sz w:val="20"/>
                <w:szCs w:val="20"/>
              </w:rPr>
              <w:t>Hypertension</w:t>
            </w:r>
          </w:p>
        </w:tc>
        <w:tc>
          <w:tcPr>
            <w:tcW w:w="1800" w:type="dxa"/>
            <w:tcBorders>
              <w:top w:val="nil"/>
              <w:left w:val="nil"/>
              <w:bottom w:val="nil"/>
              <w:right w:val="nil"/>
            </w:tcBorders>
            <w:tcMar>
              <w:top w:w="40" w:type="dxa"/>
              <w:left w:w="80" w:type="dxa"/>
              <w:bottom w:w="40" w:type="dxa"/>
              <w:right w:w="80" w:type="dxa"/>
            </w:tcMar>
          </w:tcPr>
          <w:p w14:paraId="4A256732">
            <w:pPr>
              <w:spacing w:after="0" w:line="240" w:lineRule="auto"/>
              <w:jc w:val="center"/>
            </w:pPr>
            <w:r>
              <w:rPr>
                <w:rFonts w:ascii="Times New Roman" w:hAnsi="Times New Roman" w:eastAsia="Times New Roman" w:cs="Times New Roman"/>
                <w:b w:val="0"/>
                <w:bCs w:val="0"/>
                <w:sz w:val="20"/>
                <w:szCs w:val="20"/>
              </w:rPr>
              <w:t>5.18</w:t>
            </w:r>
          </w:p>
        </w:tc>
        <w:tc>
          <w:tcPr>
            <w:tcW w:w="1360" w:type="dxa"/>
            <w:tcBorders>
              <w:top w:val="nil"/>
              <w:left w:val="nil"/>
              <w:bottom w:val="nil"/>
              <w:right w:val="nil"/>
            </w:tcBorders>
            <w:tcMar>
              <w:top w:w="40" w:type="dxa"/>
              <w:left w:w="80" w:type="dxa"/>
              <w:bottom w:w="40" w:type="dxa"/>
              <w:right w:w="80" w:type="dxa"/>
            </w:tcMar>
          </w:tcPr>
          <w:p w14:paraId="60CAB3F4">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1B87473E">
            <w:pPr>
              <w:spacing w:after="0" w:line="240" w:lineRule="auto"/>
              <w:jc w:val="center"/>
            </w:pPr>
            <w:r>
              <w:rPr>
                <w:rFonts w:ascii="Times New Roman" w:hAnsi="Times New Roman" w:eastAsia="Times New Roman" w:cs="Times New Roman"/>
                <w:b w:val="0"/>
                <w:bCs w:val="0"/>
                <w:sz w:val="20"/>
                <w:szCs w:val="20"/>
              </w:rPr>
              <w:t>0.023</w:t>
            </w:r>
          </w:p>
        </w:tc>
      </w:tr>
      <w:tr w14:paraId="0348A029">
        <w:tc>
          <w:tcPr>
            <w:tcW w:w="4200" w:type="dxa"/>
            <w:tcBorders>
              <w:top w:val="nil"/>
              <w:left w:val="nil"/>
              <w:bottom w:val="nil"/>
              <w:right w:val="nil"/>
            </w:tcBorders>
            <w:tcMar>
              <w:top w:w="40" w:type="dxa"/>
              <w:left w:w="80" w:type="dxa"/>
              <w:bottom w:w="40" w:type="dxa"/>
              <w:right w:w="80" w:type="dxa"/>
            </w:tcMar>
          </w:tcPr>
          <w:p w14:paraId="70E18883">
            <w:pPr>
              <w:spacing w:after="0" w:line="240" w:lineRule="auto"/>
              <w:jc w:val="left"/>
            </w:pPr>
            <w:r>
              <w:rPr>
                <w:rFonts w:ascii="Times New Roman" w:hAnsi="Times New Roman" w:eastAsia="Times New Roman" w:cs="Times New Roman"/>
                <w:b w:val="0"/>
                <w:bCs w:val="0"/>
                <w:sz w:val="20"/>
                <w:szCs w:val="20"/>
              </w:rPr>
              <w:t>Baseline serum creatinine</w:t>
            </w:r>
          </w:p>
        </w:tc>
        <w:tc>
          <w:tcPr>
            <w:tcW w:w="1800" w:type="dxa"/>
            <w:tcBorders>
              <w:top w:val="nil"/>
              <w:left w:val="nil"/>
              <w:bottom w:val="nil"/>
              <w:right w:val="nil"/>
            </w:tcBorders>
            <w:tcMar>
              <w:top w:w="40" w:type="dxa"/>
              <w:left w:w="80" w:type="dxa"/>
              <w:bottom w:w="40" w:type="dxa"/>
              <w:right w:w="80" w:type="dxa"/>
            </w:tcMar>
          </w:tcPr>
          <w:p w14:paraId="4299FDCE">
            <w:pPr>
              <w:spacing w:after="0" w:line="240" w:lineRule="auto"/>
              <w:jc w:val="center"/>
            </w:pPr>
            <w:r>
              <w:rPr>
                <w:rFonts w:ascii="Times New Roman" w:hAnsi="Times New Roman" w:eastAsia="Times New Roman" w:cs="Times New Roman"/>
                <w:b w:val="0"/>
                <w:bCs w:val="0"/>
                <w:sz w:val="20"/>
                <w:szCs w:val="20"/>
              </w:rPr>
              <w:t>0.13</w:t>
            </w:r>
          </w:p>
        </w:tc>
        <w:tc>
          <w:tcPr>
            <w:tcW w:w="1360" w:type="dxa"/>
            <w:tcBorders>
              <w:top w:val="nil"/>
              <w:left w:val="nil"/>
              <w:bottom w:val="nil"/>
              <w:right w:val="nil"/>
            </w:tcBorders>
            <w:tcMar>
              <w:top w:w="40" w:type="dxa"/>
              <w:left w:w="80" w:type="dxa"/>
              <w:bottom w:w="40" w:type="dxa"/>
              <w:right w:w="80" w:type="dxa"/>
            </w:tcMar>
          </w:tcPr>
          <w:p w14:paraId="4F28213E">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1A25D939">
            <w:pPr>
              <w:spacing w:after="0" w:line="240" w:lineRule="auto"/>
              <w:jc w:val="center"/>
            </w:pPr>
            <w:r>
              <w:rPr>
                <w:rFonts w:ascii="Times New Roman" w:hAnsi="Times New Roman" w:eastAsia="Times New Roman" w:cs="Times New Roman"/>
                <w:b w:val="0"/>
                <w:bCs w:val="0"/>
                <w:sz w:val="20"/>
                <w:szCs w:val="20"/>
              </w:rPr>
              <w:t>0.720</w:t>
            </w:r>
          </w:p>
        </w:tc>
      </w:tr>
      <w:tr w14:paraId="08DF6117">
        <w:tc>
          <w:tcPr>
            <w:tcW w:w="4200" w:type="dxa"/>
            <w:tcBorders>
              <w:top w:val="nil"/>
              <w:left w:val="nil"/>
              <w:bottom w:val="nil"/>
              <w:right w:val="nil"/>
            </w:tcBorders>
            <w:tcMar>
              <w:top w:w="40" w:type="dxa"/>
              <w:left w:w="80" w:type="dxa"/>
              <w:bottom w:w="40" w:type="dxa"/>
              <w:right w:w="80" w:type="dxa"/>
            </w:tcMar>
          </w:tcPr>
          <w:p w14:paraId="7DDD83C6">
            <w:pPr>
              <w:spacing w:after="0" w:line="240" w:lineRule="auto"/>
              <w:jc w:val="left"/>
            </w:pPr>
            <w:r>
              <w:rPr>
                <w:rFonts w:ascii="Times New Roman" w:hAnsi="Times New Roman" w:eastAsia="Times New Roman" w:cs="Times New Roman"/>
                <w:b w:val="0"/>
                <w:bCs w:val="0"/>
                <w:sz w:val="20"/>
                <w:szCs w:val="20"/>
              </w:rPr>
              <w:t>Vasopressor or inotrope use (first 24 h)</w:t>
            </w:r>
          </w:p>
        </w:tc>
        <w:tc>
          <w:tcPr>
            <w:tcW w:w="1800" w:type="dxa"/>
            <w:tcBorders>
              <w:top w:val="nil"/>
              <w:left w:val="nil"/>
              <w:bottom w:val="nil"/>
              <w:right w:val="nil"/>
            </w:tcBorders>
            <w:tcMar>
              <w:top w:w="40" w:type="dxa"/>
              <w:left w:w="80" w:type="dxa"/>
              <w:bottom w:w="40" w:type="dxa"/>
              <w:right w:w="80" w:type="dxa"/>
            </w:tcMar>
          </w:tcPr>
          <w:p w14:paraId="6E29F2D6">
            <w:pPr>
              <w:spacing w:after="0" w:line="240" w:lineRule="auto"/>
              <w:jc w:val="center"/>
            </w:pPr>
            <w:r>
              <w:rPr>
                <w:rFonts w:ascii="Times New Roman" w:hAnsi="Times New Roman" w:eastAsia="Times New Roman" w:cs="Times New Roman"/>
                <w:b w:val="0"/>
                <w:bCs w:val="0"/>
                <w:sz w:val="20"/>
                <w:szCs w:val="20"/>
              </w:rPr>
              <w:t>0.84</w:t>
            </w:r>
          </w:p>
        </w:tc>
        <w:tc>
          <w:tcPr>
            <w:tcW w:w="1360" w:type="dxa"/>
            <w:tcBorders>
              <w:top w:val="nil"/>
              <w:left w:val="nil"/>
              <w:bottom w:val="nil"/>
              <w:right w:val="nil"/>
            </w:tcBorders>
            <w:tcMar>
              <w:top w:w="40" w:type="dxa"/>
              <w:left w:w="80" w:type="dxa"/>
              <w:bottom w:w="40" w:type="dxa"/>
              <w:right w:w="80" w:type="dxa"/>
            </w:tcMar>
          </w:tcPr>
          <w:p w14:paraId="2F1C0E2F">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21BE6F51">
            <w:pPr>
              <w:spacing w:after="0" w:line="240" w:lineRule="auto"/>
              <w:jc w:val="center"/>
            </w:pPr>
            <w:r>
              <w:rPr>
                <w:rFonts w:ascii="Times New Roman" w:hAnsi="Times New Roman" w:eastAsia="Times New Roman" w:cs="Times New Roman"/>
                <w:b w:val="0"/>
                <w:bCs w:val="0"/>
                <w:sz w:val="20"/>
                <w:szCs w:val="20"/>
              </w:rPr>
              <w:t>0.359</w:t>
            </w:r>
          </w:p>
        </w:tc>
      </w:tr>
      <w:tr w14:paraId="61650BFF">
        <w:tc>
          <w:tcPr>
            <w:tcW w:w="4200" w:type="dxa"/>
            <w:tcBorders>
              <w:top w:val="nil"/>
              <w:left w:val="nil"/>
              <w:bottom w:val="nil"/>
              <w:right w:val="nil"/>
            </w:tcBorders>
            <w:tcMar>
              <w:top w:w="40" w:type="dxa"/>
              <w:left w:w="80" w:type="dxa"/>
              <w:bottom w:w="40" w:type="dxa"/>
              <w:right w:w="80" w:type="dxa"/>
            </w:tcMar>
          </w:tcPr>
          <w:p w14:paraId="1891284B">
            <w:pPr>
              <w:spacing w:after="0" w:line="240" w:lineRule="auto"/>
              <w:jc w:val="left"/>
            </w:pPr>
            <w:r>
              <w:rPr>
                <w:rFonts w:ascii="Times New Roman" w:hAnsi="Times New Roman" w:eastAsia="Times New Roman" w:cs="Times New Roman"/>
                <w:b w:val="0"/>
                <w:bCs w:val="0"/>
                <w:sz w:val="20"/>
                <w:szCs w:val="20"/>
              </w:rPr>
              <w:t>Invasive mechanical ventilation (first 24 h)</w:t>
            </w:r>
          </w:p>
        </w:tc>
        <w:tc>
          <w:tcPr>
            <w:tcW w:w="1800" w:type="dxa"/>
            <w:tcBorders>
              <w:top w:val="nil"/>
              <w:left w:val="nil"/>
              <w:bottom w:val="nil"/>
              <w:right w:val="nil"/>
            </w:tcBorders>
            <w:tcMar>
              <w:top w:w="40" w:type="dxa"/>
              <w:left w:w="80" w:type="dxa"/>
              <w:bottom w:w="40" w:type="dxa"/>
              <w:right w:w="80" w:type="dxa"/>
            </w:tcMar>
          </w:tcPr>
          <w:p w14:paraId="3B4B0BDA">
            <w:pPr>
              <w:spacing w:after="0" w:line="240" w:lineRule="auto"/>
              <w:jc w:val="center"/>
            </w:pPr>
            <w:r>
              <w:rPr>
                <w:rFonts w:ascii="Times New Roman" w:hAnsi="Times New Roman" w:eastAsia="Times New Roman" w:cs="Times New Roman"/>
                <w:b w:val="0"/>
                <w:bCs w:val="0"/>
                <w:sz w:val="20"/>
                <w:szCs w:val="20"/>
              </w:rPr>
              <w:t>3.89</w:t>
            </w:r>
          </w:p>
        </w:tc>
        <w:tc>
          <w:tcPr>
            <w:tcW w:w="1360" w:type="dxa"/>
            <w:tcBorders>
              <w:top w:val="nil"/>
              <w:left w:val="nil"/>
              <w:bottom w:val="nil"/>
              <w:right w:val="nil"/>
            </w:tcBorders>
            <w:tcMar>
              <w:top w:w="40" w:type="dxa"/>
              <w:left w:w="80" w:type="dxa"/>
              <w:bottom w:w="40" w:type="dxa"/>
              <w:right w:w="80" w:type="dxa"/>
            </w:tcMar>
          </w:tcPr>
          <w:p w14:paraId="4EFF8875">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20E58B9D">
            <w:pPr>
              <w:spacing w:after="0" w:line="240" w:lineRule="auto"/>
              <w:jc w:val="center"/>
            </w:pPr>
            <w:r>
              <w:rPr>
                <w:rFonts w:ascii="Times New Roman" w:hAnsi="Times New Roman" w:eastAsia="Times New Roman" w:cs="Times New Roman"/>
                <w:b w:val="0"/>
                <w:bCs w:val="0"/>
                <w:sz w:val="20"/>
                <w:szCs w:val="20"/>
              </w:rPr>
              <w:t>0.049</w:t>
            </w:r>
          </w:p>
        </w:tc>
      </w:tr>
      <w:tr w14:paraId="50E5CD33">
        <w:tc>
          <w:tcPr>
            <w:tcW w:w="4200" w:type="dxa"/>
            <w:tcBorders>
              <w:top w:val="nil"/>
              <w:left w:val="nil"/>
              <w:bottom w:val="nil"/>
              <w:right w:val="nil"/>
            </w:tcBorders>
            <w:tcMar>
              <w:top w:w="40" w:type="dxa"/>
              <w:left w:w="80" w:type="dxa"/>
              <w:bottom w:w="40" w:type="dxa"/>
              <w:right w:w="80" w:type="dxa"/>
            </w:tcMar>
          </w:tcPr>
          <w:p w14:paraId="2D66DB5C">
            <w:pPr>
              <w:spacing w:after="0" w:line="240" w:lineRule="auto"/>
              <w:jc w:val="left"/>
            </w:pPr>
            <w:r>
              <w:rPr>
                <w:rFonts w:ascii="Times New Roman" w:hAnsi="Times New Roman" w:eastAsia="Times New Roman" w:cs="Times New Roman"/>
                <w:b w:val="0"/>
                <w:bCs w:val="0"/>
                <w:sz w:val="20"/>
                <w:szCs w:val="20"/>
              </w:rPr>
              <w:t>Sepsis (Sepsis-3)</w:t>
            </w:r>
          </w:p>
        </w:tc>
        <w:tc>
          <w:tcPr>
            <w:tcW w:w="1800" w:type="dxa"/>
            <w:tcBorders>
              <w:top w:val="nil"/>
              <w:left w:val="nil"/>
              <w:bottom w:val="nil"/>
              <w:right w:val="nil"/>
            </w:tcBorders>
            <w:tcMar>
              <w:top w:w="40" w:type="dxa"/>
              <w:left w:w="80" w:type="dxa"/>
              <w:bottom w:w="40" w:type="dxa"/>
              <w:right w:w="80" w:type="dxa"/>
            </w:tcMar>
          </w:tcPr>
          <w:p w14:paraId="29E5EC7D">
            <w:pPr>
              <w:spacing w:after="0" w:line="240" w:lineRule="auto"/>
              <w:jc w:val="center"/>
            </w:pPr>
            <w:r>
              <w:rPr>
                <w:rFonts w:ascii="Times New Roman" w:hAnsi="Times New Roman" w:eastAsia="Times New Roman" w:cs="Times New Roman"/>
                <w:b w:val="0"/>
                <w:bCs w:val="0"/>
                <w:sz w:val="20"/>
                <w:szCs w:val="20"/>
              </w:rPr>
              <w:t>3.53</w:t>
            </w:r>
          </w:p>
        </w:tc>
        <w:tc>
          <w:tcPr>
            <w:tcW w:w="1360" w:type="dxa"/>
            <w:tcBorders>
              <w:top w:val="nil"/>
              <w:left w:val="nil"/>
              <w:bottom w:val="nil"/>
              <w:right w:val="nil"/>
            </w:tcBorders>
            <w:tcMar>
              <w:top w:w="40" w:type="dxa"/>
              <w:left w:w="80" w:type="dxa"/>
              <w:bottom w:w="40" w:type="dxa"/>
              <w:right w:w="80" w:type="dxa"/>
            </w:tcMar>
          </w:tcPr>
          <w:p w14:paraId="62040DBC">
            <w:pPr>
              <w:spacing w:after="0" w:line="240" w:lineRule="auto"/>
              <w:jc w:val="center"/>
            </w:pPr>
            <w:r>
              <w:rPr>
                <w:rFonts w:ascii="Times New Roman" w:hAnsi="Times New Roman" w:eastAsia="Times New Roman" w:cs="Times New Roman"/>
                <w:b w:val="0"/>
                <w:bCs w:val="0"/>
                <w:sz w:val="20"/>
                <w:szCs w:val="20"/>
              </w:rPr>
              <w:t>1</w:t>
            </w:r>
          </w:p>
        </w:tc>
        <w:tc>
          <w:tcPr>
            <w:tcW w:w="2000" w:type="dxa"/>
            <w:tcBorders>
              <w:top w:val="nil"/>
              <w:left w:val="nil"/>
              <w:bottom w:val="nil"/>
              <w:right w:val="nil"/>
            </w:tcBorders>
            <w:tcMar>
              <w:top w:w="40" w:type="dxa"/>
              <w:left w:w="80" w:type="dxa"/>
              <w:bottom w:w="40" w:type="dxa"/>
              <w:right w:w="80" w:type="dxa"/>
            </w:tcMar>
          </w:tcPr>
          <w:p w14:paraId="50310D90">
            <w:pPr>
              <w:spacing w:after="0" w:line="240" w:lineRule="auto"/>
              <w:jc w:val="center"/>
            </w:pPr>
            <w:r>
              <w:rPr>
                <w:rFonts w:ascii="Times New Roman" w:hAnsi="Times New Roman" w:eastAsia="Times New Roman" w:cs="Times New Roman"/>
                <w:b w:val="0"/>
                <w:bCs w:val="0"/>
                <w:sz w:val="20"/>
                <w:szCs w:val="20"/>
              </w:rPr>
              <w:t>0.060</w:t>
            </w:r>
          </w:p>
        </w:tc>
      </w:tr>
      <w:tr w14:paraId="6DC8C414">
        <w:tc>
          <w:tcPr>
            <w:tcW w:w="4200" w:type="dxa"/>
            <w:tcBorders>
              <w:top w:val="nil"/>
              <w:left w:val="nil"/>
              <w:bottom w:val="single" w:color="000000" w:sz="12" w:space="0"/>
              <w:right w:val="nil"/>
            </w:tcBorders>
            <w:tcMar>
              <w:top w:w="40" w:type="dxa"/>
              <w:left w:w="80" w:type="dxa"/>
              <w:bottom w:w="40" w:type="dxa"/>
              <w:right w:w="80" w:type="dxa"/>
            </w:tcMar>
          </w:tcPr>
          <w:p w14:paraId="71D7ABB9">
            <w:pPr>
              <w:spacing w:after="0" w:line="240" w:lineRule="auto"/>
              <w:jc w:val="left"/>
            </w:pPr>
            <w:r>
              <w:rPr>
                <w:rFonts w:ascii="Times New Roman" w:hAnsi="Times New Roman" w:eastAsia="Times New Roman" w:cs="Times New Roman"/>
                <w:b w:val="0"/>
                <w:bCs w:val="0"/>
                <w:sz w:val="20"/>
                <w:szCs w:val="20"/>
              </w:rPr>
              <w:t>Overall model</w:t>
            </w:r>
          </w:p>
        </w:tc>
        <w:tc>
          <w:tcPr>
            <w:tcW w:w="1800" w:type="dxa"/>
            <w:tcBorders>
              <w:top w:val="nil"/>
              <w:left w:val="nil"/>
              <w:bottom w:val="single" w:color="000000" w:sz="12" w:space="0"/>
              <w:right w:val="nil"/>
            </w:tcBorders>
            <w:tcMar>
              <w:top w:w="40" w:type="dxa"/>
              <w:left w:w="80" w:type="dxa"/>
              <w:bottom w:w="40" w:type="dxa"/>
              <w:right w:w="80" w:type="dxa"/>
            </w:tcMar>
          </w:tcPr>
          <w:p w14:paraId="20A1852A">
            <w:pPr>
              <w:spacing w:after="0" w:line="240" w:lineRule="auto"/>
              <w:jc w:val="center"/>
            </w:pPr>
            <w:r>
              <w:rPr>
                <w:rFonts w:ascii="Times New Roman" w:hAnsi="Times New Roman" w:eastAsia="Times New Roman" w:cs="Times New Roman"/>
                <w:b w:val="0"/>
                <w:bCs w:val="0"/>
                <w:sz w:val="20"/>
                <w:szCs w:val="20"/>
              </w:rPr>
              <w:t>191.59</w:t>
            </w:r>
          </w:p>
        </w:tc>
        <w:tc>
          <w:tcPr>
            <w:tcW w:w="1360" w:type="dxa"/>
            <w:tcBorders>
              <w:top w:val="nil"/>
              <w:left w:val="nil"/>
              <w:bottom w:val="single" w:color="000000" w:sz="12" w:space="0"/>
              <w:right w:val="nil"/>
            </w:tcBorders>
            <w:tcMar>
              <w:top w:w="40" w:type="dxa"/>
              <w:left w:w="80" w:type="dxa"/>
              <w:bottom w:w="40" w:type="dxa"/>
              <w:right w:w="80" w:type="dxa"/>
            </w:tcMar>
          </w:tcPr>
          <w:p w14:paraId="15AC66B4">
            <w:pPr>
              <w:spacing w:after="0" w:line="240" w:lineRule="auto"/>
              <w:jc w:val="center"/>
            </w:pPr>
            <w:r>
              <w:rPr>
                <w:rFonts w:ascii="Times New Roman" w:hAnsi="Times New Roman" w:eastAsia="Times New Roman" w:cs="Times New Roman"/>
                <w:b w:val="0"/>
                <w:bCs w:val="0"/>
                <w:sz w:val="20"/>
                <w:szCs w:val="20"/>
              </w:rPr>
              <w:t>14</w:t>
            </w:r>
          </w:p>
        </w:tc>
        <w:tc>
          <w:tcPr>
            <w:tcW w:w="2000" w:type="dxa"/>
            <w:tcBorders>
              <w:top w:val="nil"/>
              <w:left w:val="nil"/>
              <w:bottom w:val="single" w:color="000000" w:sz="12" w:space="0"/>
              <w:right w:val="nil"/>
            </w:tcBorders>
            <w:tcMar>
              <w:top w:w="40" w:type="dxa"/>
              <w:left w:w="80" w:type="dxa"/>
              <w:bottom w:w="40" w:type="dxa"/>
              <w:right w:w="80" w:type="dxa"/>
            </w:tcMar>
          </w:tcPr>
          <w:p w14:paraId="750DE03C">
            <w:pPr>
              <w:spacing w:after="0" w:line="240" w:lineRule="auto"/>
              <w:jc w:val="center"/>
            </w:pPr>
            <w:r>
              <w:rPr>
                <w:rFonts w:ascii="Times New Roman" w:hAnsi="Times New Roman" w:eastAsia="Times New Roman" w:cs="Times New Roman"/>
                <w:b w:val="0"/>
                <w:bCs w:val="0"/>
                <w:sz w:val="20"/>
                <w:szCs w:val="20"/>
              </w:rPr>
              <w:t>&lt; 0.001</w:t>
            </w:r>
          </w:p>
        </w:tc>
      </w:tr>
    </w:tbl>
    <w:p w14:paraId="50CC43F7">
      <w:pPr>
        <w:spacing w:before="60" w:after="0" w:line="240" w:lineRule="auto"/>
      </w:pPr>
      <w:r>
        <w:rPr>
          <w:rFonts w:ascii="Times New Roman" w:hAnsi="Times New Roman" w:eastAsia="Times New Roman" w:cs="Times New Roman"/>
          <w:i/>
          <w:iCs/>
          <w:sz w:val="20"/>
          <w:szCs w:val="20"/>
        </w:rPr>
        <w:t>Wald statistics from the multivariable restricted cubic spline model (four knots) adjusted for all prespecified covariates. The row “Mean E/e′ (overall)” tests the overall association of E/e′ and “Nonlinear component” tests departure from linearity. df, degrees of freedom; E/e′, ratio of early transmitral inflow velocity to early diastolic mitral annular velocity; SOFA, Sequential Organ Failure Assessment.</w:t>
      </w:r>
    </w:p>
    <w:p w14:paraId="06BAB60B">
      <w:r>
        <w:rPr>
          <w:rFonts w:ascii="Times New Roman" w:hAnsi="Times New Roman" w:eastAsia="Times New Roman" w:cs="Times New Roman"/>
        </w:rPr>
        <w:br w:type="page"/>
      </w:r>
    </w:p>
    <w:p w14:paraId="7A559C52">
      <w:pPr>
        <w:spacing w:before="120" w:after="80" w:line="276" w:lineRule="auto"/>
      </w:pPr>
      <w:r>
        <w:rPr>
          <w:rFonts w:ascii="Times New Roman" w:hAnsi="Times New Roman" w:eastAsia="Times New Roman" w:cs="Times New Roman"/>
          <w:b/>
          <w:bCs/>
          <w:sz w:val="24"/>
          <w:szCs w:val="24"/>
        </w:rPr>
        <w:t xml:space="preserve">Supplementary Table S4. </w:t>
      </w:r>
      <w:r>
        <w:rPr>
          <w:rFonts w:ascii="Times New Roman" w:hAnsi="Times New Roman" w:eastAsia="Times New Roman" w:cs="Times New Roman"/>
          <w:sz w:val="24"/>
          <w:szCs w:val="24"/>
        </w:rPr>
        <w:t>Data sources, diagnostic codes, and item identifiers used for variable extraction.</w:t>
      </w:r>
    </w:p>
    <w:tbl>
      <w:tblPr>
        <w:tblStyle w:val="11"/>
        <w:tblW w:w="9360" w:type="dxa"/>
        <w:tblInd w:w="0" w:type="dxa"/>
        <w:tblBorders>
          <w:top w:val="single" w:color="auto" w:sz="4" w:space="0"/>
          <w:left w:val="none" w:color="auto" w:sz="4" w:space="0"/>
          <w:bottom w:val="single" w:color="auto" w:sz="4" w:space="0"/>
          <w:right w:val="none" w:color="auto" w:sz="4" w:space="0"/>
          <w:insideH w:val="single" w:color="auto" w:sz="4" w:space="0"/>
          <w:insideV w:val="none" w:color="auto" w:sz="4" w:space="0"/>
        </w:tblBorders>
        <w:tblLayout w:type="autofit"/>
        <w:tblCellMar>
          <w:top w:w="0" w:type="dxa"/>
          <w:left w:w="10" w:type="dxa"/>
          <w:bottom w:w="0" w:type="dxa"/>
          <w:right w:w="10" w:type="dxa"/>
        </w:tblCellMar>
      </w:tblPr>
      <w:tblGrid>
        <w:gridCol w:w="2600"/>
        <w:gridCol w:w="2600"/>
        <w:gridCol w:w="4160"/>
      </w:tblGrid>
      <w:tr w14:paraId="57413800">
        <w:trPr>
          <w:tblHeader/>
        </w:trPr>
        <w:tc>
          <w:tcPr>
            <w:tcW w:w="2600" w:type="dxa"/>
            <w:tcBorders>
              <w:top w:val="single" w:color="000000" w:sz="12" w:space="0"/>
              <w:left w:val="nil"/>
              <w:bottom w:val="single" w:color="000000" w:sz="4" w:space="0"/>
              <w:right w:val="nil"/>
            </w:tcBorders>
            <w:tcMar>
              <w:top w:w="40" w:type="dxa"/>
              <w:left w:w="80" w:type="dxa"/>
              <w:bottom w:w="40" w:type="dxa"/>
              <w:right w:w="80" w:type="dxa"/>
            </w:tcMar>
          </w:tcPr>
          <w:p w14:paraId="07A65366">
            <w:pPr>
              <w:spacing w:after="0" w:line="240" w:lineRule="auto"/>
              <w:jc w:val="left"/>
            </w:pPr>
            <w:r>
              <w:rPr>
                <w:rFonts w:ascii="Times New Roman" w:hAnsi="Times New Roman" w:eastAsia="Times New Roman" w:cs="Times New Roman"/>
                <w:b/>
                <w:bCs/>
                <w:sz w:val="20"/>
                <w:szCs w:val="20"/>
              </w:rPr>
              <w:t>Variable (role)</w:t>
            </w:r>
          </w:p>
        </w:tc>
        <w:tc>
          <w:tcPr>
            <w:tcW w:w="2600" w:type="dxa"/>
            <w:tcBorders>
              <w:top w:val="single" w:color="000000" w:sz="12" w:space="0"/>
              <w:left w:val="nil"/>
              <w:bottom w:val="single" w:color="000000" w:sz="4" w:space="0"/>
              <w:right w:val="nil"/>
            </w:tcBorders>
            <w:tcMar>
              <w:top w:w="40" w:type="dxa"/>
              <w:left w:w="80" w:type="dxa"/>
              <w:bottom w:w="40" w:type="dxa"/>
              <w:right w:w="80" w:type="dxa"/>
            </w:tcMar>
          </w:tcPr>
          <w:p w14:paraId="2A8AA934">
            <w:pPr>
              <w:spacing w:after="0" w:line="240" w:lineRule="auto"/>
              <w:jc w:val="center"/>
            </w:pPr>
            <w:r>
              <w:rPr>
                <w:rFonts w:ascii="Times New Roman" w:hAnsi="Times New Roman" w:eastAsia="Times New Roman" w:cs="Times New Roman"/>
                <w:b/>
                <w:bCs/>
                <w:sz w:val="20"/>
                <w:szCs w:val="20"/>
              </w:rPr>
              <w:t>Source table</w:t>
            </w:r>
          </w:p>
        </w:tc>
        <w:tc>
          <w:tcPr>
            <w:tcW w:w="4160" w:type="dxa"/>
            <w:tcBorders>
              <w:top w:val="single" w:color="000000" w:sz="12" w:space="0"/>
              <w:left w:val="nil"/>
              <w:bottom w:val="single" w:color="000000" w:sz="4" w:space="0"/>
              <w:right w:val="nil"/>
            </w:tcBorders>
            <w:tcMar>
              <w:top w:w="40" w:type="dxa"/>
              <w:left w:w="80" w:type="dxa"/>
              <w:bottom w:w="40" w:type="dxa"/>
              <w:right w:w="80" w:type="dxa"/>
            </w:tcMar>
          </w:tcPr>
          <w:p w14:paraId="276CAFFD">
            <w:pPr>
              <w:spacing w:after="0" w:line="240" w:lineRule="auto"/>
              <w:jc w:val="center"/>
            </w:pPr>
            <w:r>
              <w:rPr>
                <w:rFonts w:ascii="Times New Roman" w:hAnsi="Times New Roman" w:eastAsia="Times New Roman" w:cs="Times New Roman"/>
                <w:b/>
                <w:bCs/>
                <w:sz w:val="20"/>
                <w:szCs w:val="20"/>
              </w:rPr>
              <w:t>Code / identifier / definition</w:t>
            </w:r>
          </w:p>
        </w:tc>
      </w:tr>
      <w:tr w14:paraId="6A0AFD3B">
        <w:tc>
          <w:tcPr>
            <w:tcW w:w="2600" w:type="dxa"/>
            <w:tcBorders>
              <w:top w:val="nil"/>
              <w:left w:val="nil"/>
              <w:bottom w:val="nil"/>
              <w:right w:val="nil"/>
            </w:tcBorders>
            <w:tcMar>
              <w:top w:w="40" w:type="dxa"/>
              <w:left w:w="80" w:type="dxa"/>
              <w:bottom w:w="40" w:type="dxa"/>
              <w:right w:w="80" w:type="dxa"/>
            </w:tcMar>
          </w:tcPr>
          <w:p w14:paraId="22E3BF27">
            <w:pPr>
              <w:spacing w:after="0" w:line="240" w:lineRule="auto"/>
              <w:jc w:val="left"/>
            </w:pPr>
            <w:r>
              <w:rPr>
                <w:rFonts w:ascii="Times New Roman" w:hAnsi="Times New Roman" w:eastAsia="Times New Roman" w:cs="Times New Roman"/>
                <w:b w:val="0"/>
                <w:bCs w:val="0"/>
                <w:sz w:val="20"/>
                <w:szCs w:val="20"/>
              </w:rPr>
              <w:t>Serum creatinine</w:t>
            </w:r>
          </w:p>
        </w:tc>
        <w:tc>
          <w:tcPr>
            <w:tcW w:w="2600" w:type="dxa"/>
            <w:tcBorders>
              <w:top w:val="nil"/>
              <w:left w:val="nil"/>
              <w:bottom w:val="nil"/>
              <w:right w:val="nil"/>
            </w:tcBorders>
            <w:tcMar>
              <w:top w:w="40" w:type="dxa"/>
              <w:left w:w="80" w:type="dxa"/>
              <w:bottom w:w="40" w:type="dxa"/>
              <w:right w:w="80" w:type="dxa"/>
            </w:tcMar>
          </w:tcPr>
          <w:p w14:paraId="1B685C08">
            <w:pPr>
              <w:spacing w:after="0" w:line="240" w:lineRule="auto"/>
              <w:jc w:val="center"/>
            </w:pPr>
            <w:r>
              <w:rPr>
                <w:rFonts w:ascii="Times New Roman" w:hAnsi="Times New Roman" w:eastAsia="Times New Roman" w:cs="Times New Roman"/>
                <w:b w:val="0"/>
                <w:bCs w:val="0"/>
                <w:sz w:val="20"/>
                <w:szCs w:val="20"/>
              </w:rPr>
              <w:t>hosp.labevents</w:t>
            </w:r>
          </w:p>
        </w:tc>
        <w:tc>
          <w:tcPr>
            <w:tcW w:w="4160" w:type="dxa"/>
            <w:tcBorders>
              <w:top w:val="nil"/>
              <w:left w:val="nil"/>
              <w:bottom w:val="nil"/>
              <w:right w:val="nil"/>
            </w:tcBorders>
            <w:tcMar>
              <w:top w:w="40" w:type="dxa"/>
              <w:left w:w="80" w:type="dxa"/>
              <w:bottom w:w="40" w:type="dxa"/>
              <w:right w:w="80" w:type="dxa"/>
            </w:tcMar>
          </w:tcPr>
          <w:p w14:paraId="6CA5D13E">
            <w:pPr>
              <w:spacing w:after="0" w:line="240" w:lineRule="auto"/>
              <w:jc w:val="center"/>
            </w:pPr>
            <w:r>
              <w:rPr>
                <w:rFonts w:ascii="Times New Roman" w:hAnsi="Times New Roman" w:eastAsia="Times New Roman" w:cs="Times New Roman"/>
                <w:b w:val="0"/>
                <w:bCs w:val="0"/>
                <w:sz w:val="20"/>
                <w:szCs w:val="20"/>
              </w:rPr>
              <w:t>itemid 50912 (mg/dL); plausibility range 0.1–30</w:t>
            </w:r>
          </w:p>
        </w:tc>
      </w:tr>
      <w:tr w14:paraId="05AB8C22">
        <w:tc>
          <w:tcPr>
            <w:tcW w:w="2600" w:type="dxa"/>
            <w:tcBorders>
              <w:top w:val="nil"/>
              <w:left w:val="nil"/>
              <w:bottom w:val="nil"/>
              <w:right w:val="nil"/>
            </w:tcBorders>
            <w:tcMar>
              <w:top w:w="40" w:type="dxa"/>
              <w:left w:w="80" w:type="dxa"/>
              <w:bottom w:w="40" w:type="dxa"/>
              <w:right w:w="80" w:type="dxa"/>
            </w:tcMar>
          </w:tcPr>
          <w:p w14:paraId="677806BA">
            <w:pPr>
              <w:spacing w:after="0" w:line="240" w:lineRule="auto"/>
              <w:jc w:val="left"/>
            </w:pPr>
            <w:r>
              <w:rPr>
                <w:rFonts w:ascii="Times New Roman" w:hAnsi="Times New Roman" w:eastAsia="Times New Roman" w:cs="Times New Roman"/>
                <w:b w:val="0"/>
                <w:bCs w:val="0"/>
                <w:sz w:val="20"/>
                <w:szCs w:val="20"/>
              </w:rPr>
              <w:t>Mean and septal E/e′; LVEF</w:t>
            </w:r>
          </w:p>
        </w:tc>
        <w:tc>
          <w:tcPr>
            <w:tcW w:w="2600" w:type="dxa"/>
            <w:tcBorders>
              <w:top w:val="nil"/>
              <w:left w:val="nil"/>
              <w:bottom w:val="nil"/>
              <w:right w:val="nil"/>
            </w:tcBorders>
            <w:tcMar>
              <w:top w:w="40" w:type="dxa"/>
              <w:left w:w="80" w:type="dxa"/>
              <w:bottom w:w="40" w:type="dxa"/>
              <w:right w:w="80" w:type="dxa"/>
            </w:tcMar>
          </w:tcPr>
          <w:p w14:paraId="09C4CE9F">
            <w:pPr>
              <w:spacing w:after="0" w:line="240" w:lineRule="auto"/>
              <w:jc w:val="center"/>
            </w:pPr>
            <w:r>
              <w:rPr>
                <w:rFonts w:ascii="Times New Roman" w:hAnsi="Times New Roman" w:eastAsia="Times New Roman" w:cs="Times New Roman"/>
                <w:b w:val="0"/>
                <w:bCs w:val="0"/>
                <w:sz w:val="20"/>
                <w:szCs w:val="20"/>
              </w:rPr>
              <w:t>MIMIC-IV-ECHO structured_measurement</w:t>
            </w:r>
          </w:p>
        </w:tc>
        <w:tc>
          <w:tcPr>
            <w:tcW w:w="4160" w:type="dxa"/>
            <w:tcBorders>
              <w:top w:val="nil"/>
              <w:left w:val="nil"/>
              <w:bottom w:val="nil"/>
              <w:right w:val="nil"/>
            </w:tcBorders>
            <w:tcMar>
              <w:top w:w="40" w:type="dxa"/>
              <w:left w:w="80" w:type="dxa"/>
              <w:bottom w:w="40" w:type="dxa"/>
              <w:right w:w="80" w:type="dxa"/>
            </w:tcMar>
          </w:tcPr>
          <w:p w14:paraId="172A7627">
            <w:pPr>
              <w:spacing w:after="0" w:line="240" w:lineRule="auto"/>
              <w:jc w:val="center"/>
            </w:pPr>
            <w:r>
              <w:rPr>
                <w:rFonts w:ascii="Times New Roman" w:hAnsi="Times New Roman" w:eastAsia="Times New Roman" w:cs="Times New Roman"/>
                <w:b w:val="0"/>
                <w:bCs w:val="0"/>
                <w:sz w:val="20"/>
                <w:szCs w:val="20"/>
              </w:rPr>
              <w:t>mean_E_to_eprime, septal_E_to_eprime, lvef; ranges: E/e′ 2–60, LVEF 5–90 (preserved ≥ 50)</w:t>
            </w:r>
          </w:p>
        </w:tc>
      </w:tr>
      <w:tr w14:paraId="5B36FD4C">
        <w:tc>
          <w:tcPr>
            <w:tcW w:w="2600" w:type="dxa"/>
            <w:tcBorders>
              <w:top w:val="nil"/>
              <w:left w:val="nil"/>
              <w:bottom w:val="nil"/>
              <w:right w:val="nil"/>
            </w:tcBorders>
            <w:tcMar>
              <w:top w:w="40" w:type="dxa"/>
              <w:left w:w="80" w:type="dxa"/>
              <w:bottom w:w="40" w:type="dxa"/>
              <w:right w:w="80" w:type="dxa"/>
            </w:tcMar>
          </w:tcPr>
          <w:p w14:paraId="726801B6">
            <w:pPr>
              <w:spacing w:after="0" w:line="240" w:lineRule="auto"/>
              <w:jc w:val="left"/>
            </w:pPr>
            <w:r>
              <w:rPr>
                <w:rFonts w:ascii="Times New Roman" w:hAnsi="Times New Roman" w:eastAsia="Times New Roman" w:cs="Times New Roman"/>
                <w:b w:val="0"/>
                <w:bCs w:val="0"/>
                <w:sz w:val="20"/>
                <w:szCs w:val="20"/>
              </w:rPr>
              <w:t>Mitral regurgitation / stenosis (exclusion)</w:t>
            </w:r>
          </w:p>
        </w:tc>
        <w:tc>
          <w:tcPr>
            <w:tcW w:w="2600" w:type="dxa"/>
            <w:tcBorders>
              <w:top w:val="nil"/>
              <w:left w:val="nil"/>
              <w:bottom w:val="nil"/>
              <w:right w:val="nil"/>
            </w:tcBorders>
            <w:tcMar>
              <w:top w:w="40" w:type="dxa"/>
              <w:left w:w="80" w:type="dxa"/>
              <w:bottom w:w="40" w:type="dxa"/>
              <w:right w:w="80" w:type="dxa"/>
            </w:tcMar>
          </w:tcPr>
          <w:p w14:paraId="6D72747F">
            <w:pPr>
              <w:spacing w:after="0" w:line="240" w:lineRule="auto"/>
              <w:jc w:val="center"/>
            </w:pPr>
            <w:r>
              <w:rPr>
                <w:rFonts w:ascii="Times New Roman" w:hAnsi="Times New Roman" w:eastAsia="Times New Roman" w:cs="Times New Roman"/>
                <w:b w:val="0"/>
                <w:bCs w:val="0"/>
                <w:sz w:val="20"/>
                <w:szCs w:val="20"/>
              </w:rPr>
              <w:t>structured_measurement</w:t>
            </w:r>
          </w:p>
        </w:tc>
        <w:tc>
          <w:tcPr>
            <w:tcW w:w="4160" w:type="dxa"/>
            <w:tcBorders>
              <w:top w:val="nil"/>
              <w:left w:val="nil"/>
              <w:bottom w:val="nil"/>
              <w:right w:val="nil"/>
            </w:tcBorders>
            <w:tcMar>
              <w:top w:w="40" w:type="dxa"/>
              <w:left w:w="80" w:type="dxa"/>
              <w:bottom w:w="40" w:type="dxa"/>
              <w:right w:w="80" w:type="dxa"/>
            </w:tcMar>
          </w:tcPr>
          <w:p w14:paraId="1BA987C4">
            <w:pPr>
              <w:spacing w:after="0" w:line="240" w:lineRule="auto"/>
              <w:jc w:val="center"/>
            </w:pPr>
            <w:r>
              <w:rPr>
                <w:rFonts w:ascii="Times New Roman" w:hAnsi="Times New Roman" w:eastAsia="Times New Roman" w:cs="Times New Roman"/>
                <w:b w:val="0"/>
                <w:bCs w:val="0"/>
                <w:sz w:val="20"/>
                <w:szCs w:val="20"/>
              </w:rPr>
              <w:t>mitral_regurg grade containing “moderate”, “severe”, “3+” or “4+” excluded; mitral_stenosis present (excluding trivial/trace/none)</w:t>
            </w:r>
          </w:p>
        </w:tc>
      </w:tr>
      <w:tr w14:paraId="4E750CEC">
        <w:tc>
          <w:tcPr>
            <w:tcW w:w="2600" w:type="dxa"/>
            <w:tcBorders>
              <w:top w:val="nil"/>
              <w:left w:val="nil"/>
              <w:bottom w:val="nil"/>
              <w:right w:val="nil"/>
            </w:tcBorders>
            <w:tcMar>
              <w:top w:w="40" w:type="dxa"/>
              <w:left w:w="80" w:type="dxa"/>
              <w:bottom w:w="40" w:type="dxa"/>
              <w:right w:w="80" w:type="dxa"/>
            </w:tcMar>
          </w:tcPr>
          <w:p w14:paraId="08CB435B">
            <w:pPr>
              <w:spacing w:after="0" w:line="240" w:lineRule="auto"/>
              <w:jc w:val="left"/>
            </w:pPr>
            <w:r>
              <w:rPr>
                <w:rFonts w:ascii="Times New Roman" w:hAnsi="Times New Roman" w:eastAsia="Times New Roman" w:cs="Times New Roman"/>
                <w:b w:val="0"/>
                <w:bCs w:val="0"/>
                <w:sz w:val="20"/>
                <w:szCs w:val="20"/>
              </w:rPr>
              <w:t>Vasopressor or inotrope use</w:t>
            </w:r>
          </w:p>
        </w:tc>
        <w:tc>
          <w:tcPr>
            <w:tcW w:w="2600" w:type="dxa"/>
            <w:tcBorders>
              <w:top w:val="nil"/>
              <w:left w:val="nil"/>
              <w:bottom w:val="nil"/>
              <w:right w:val="nil"/>
            </w:tcBorders>
            <w:tcMar>
              <w:top w:w="40" w:type="dxa"/>
              <w:left w:w="80" w:type="dxa"/>
              <w:bottom w:w="40" w:type="dxa"/>
              <w:right w:w="80" w:type="dxa"/>
            </w:tcMar>
          </w:tcPr>
          <w:p w14:paraId="36239033">
            <w:pPr>
              <w:spacing w:after="0" w:line="240" w:lineRule="auto"/>
              <w:jc w:val="center"/>
            </w:pPr>
            <w:r>
              <w:rPr>
                <w:rFonts w:ascii="Times New Roman" w:hAnsi="Times New Roman" w:eastAsia="Times New Roman" w:cs="Times New Roman"/>
                <w:b w:val="0"/>
                <w:bCs w:val="0"/>
                <w:sz w:val="20"/>
                <w:szCs w:val="20"/>
              </w:rPr>
              <w:t>icu.inputevents</w:t>
            </w:r>
          </w:p>
        </w:tc>
        <w:tc>
          <w:tcPr>
            <w:tcW w:w="4160" w:type="dxa"/>
            <w:tcBorders>
              <w:top w:val="nil"/>
              <w:left w:val="nil"/>
              <w:bottom w:val="nil"/>
              <w:right w:val="nil"/>
            </w:tcBorders>
            <w:tcMar>
              <w:top w:w="40" w:type="dxa"/>
              <w:left w:w="80" w:type="dxa"/>
              <w:bottom w:w="40" w:type="dxa"/>
              <w:right w:w="80" w:type="dxa"/>
            </w:tcMar>
          </w:tcPr>
          <w:p w14:paraId="5DDDCE0E">
            <w:pPr>
              <w:spacing w:after="0" w:line="240" w:lineRule="auto"/>
              <w:jc w:val="center"/>
            </w:pPr>
            <w:r>
              <w:rPr>
                <w:rFonts w:ascii="Times New Roman" w:hAnsi="Times New Roman" w:eastAsia="Times New Roman" w:cs="Times New Roman"/>
                <w:b w:val="0"/>
                <w:bCs w:val="0"/>
                <w:sz w:val="20"/>
                <w:szCs w:val="20"/>
              </w:rPr>
              <w:t>itemids 221906, 221289, 221749, 222315, 221662, 221653 (the last, 221653, is dobutamine, an inotrope)</w:t>
            </w:r>
          </w:p>
        </w:tc>
      </w:tr>
      <w:tr w14:paraId="7956D5E7">
        <w:tc>
          <w:tcPr>
            <w:tcW w:w="2600" w:type="dxa"/>
            <w:tcBorders>
              <w:top w:val="nil"/>
              <w:left w:val="nil"/>
              <w:bottom w:val="nil"/>
              <w:right w:val="nil"/>
            </w:tcBorders>
            <w:tcMar>
              <w:top w:w="40" w:type="dxa"/>
              <w:left w:w="80" w:type="dxa"/>
              <w:bottom w:w="40" w:type="dxa"/>
              <w:right w:w="80" w:type="dxa"/>
            </w:tcMar>
          </w:tcPr>
          <w:p w14:paraId="13CBC40F">
            <w:pPr>
              <w:spacing w:after="0" w:line="240" w:lineRule="auto"/>
              <w:jc w:val="left"/>
            </w:pPr>
            <w:r>
              <w:rPr>
                <w:rFonts w:ascii="Times New Roman" w:hAnsi="Times New Roman" w:eastAsia="Times New Roman" w:cs="Times New Roman"/>
                <w:b w:val="0"/>
                <w:bCs w:val="0"/>
                <w:sz w:val="20"/>
                <w:szCs w:val="20"/>
              </w:rPr>
              <w:t>Invasive mechanical ventilation</w:t>
            </w:r>
          </w:p>
        </w:tc>
        <w:tc>
          <w:tcPr>
            <w:tcW w:w="2600" w:type="dxa"/>
            <w:tcBorders>
              <w:top w:val="nil"/>
              <w:left w:val="nil"/>
              <w:bottom w:val="nil"/>
              <w:right w:val="nil"/>
            </w:tcBorders>
            <w:tcMar>
              <w:top w:w="40" w:type="dxa"/>
              <w:left w:w="80" w:type="dxa"/>
              <w:bottom w:w="40" w:type="dxa"/>
              <w:right w:w="80" w:type="dxa"/>
            </w:tcMar>
          </w:tcPr>
          <w:p w14:paraId="56944D6B">
            <w:pPr>
              <w:spacing w:after="0" w:line="240" w:lineRule="auto"/>
              <w:jc w:val="center"/>
            </w:pPr>
            <w:r>
              <w:rPr>
                <w:rFonts w:ascii="Times New Roman" w:hAnsi="Times New Roman" w:eastAsia="Times New Roman" w:cs="Times New Roman"/>
                <w:b w:val="0"/>
                <w:bCs w:val="0"/>
                <w:sz w:val="20"/>
                <w:szCs w:val="20"/>
              </w:rPr>
              <w:t>derived (ventilation)</w:t>
            </w:r>
          </w:p>
        </w:tc>
        <w:tc>
          <w:tcPr>
            <w:tcW w:w="4160" w:type="dxa"/>
            <w:tcBorders>
              <w:top w:val="nil"/>
              <w:left w:val="nil"/>
              <w:bottom w:val="nil"/>
              <w:right w:val="nil"/>
            </w:tcBorders>
            <w:tcMar>
              <w:top w:w="40" w:type="dxa"/>
              <w:left w:w="80" w:type="dxa"/>
              <w:bottom w:w="40" w:type="dxa"/>
              <w:right w:w="80" w:type="dxa"/>
            </w:tcMar>
          </w:tcPr>
          <w:p w14:paraId="5EA1DE25">
            <w:pPr>
              <w:spacing w:after="0" w:line="240" w:lineRule="auto"/>
              <w:jc w:val="center"/>
            </w:pPr>
            <w:r>
              <w:rPr>
                <w:rFonts w:ascii="Times New Roman" w:hAnsi="Times New Roman" w:eastAsia="Times New Roman" w:cs="Times New Roman"/>
                <w:b w:val="0"/>
                <w:bCs w:val="0"/>
                <w:sz w:val="20"/>
                <w:szCs w:val="20"/>
              </w:rPr>
              <w:t>ventilation_status ∈ {InvasiveVent, Tracheostomy}</w:t>
            </w:r>
          </w:p>
        </w:tc>
      </w:tr>
      <w:tr w14:paraId="61A7AA7A">
        <w:tc>
          <w:tcPr>
            <w:tcW w:w="2600" w:type="dxa"/>
            <w:tcBorders>
              <w:top w:val="nil"/>
              <w:left w:val="nil"/>
              <w:bottom w:val="nil"/>
              <w:right w:val="nil"/>
            </w:tcBorders>
            <w:tcMar>
              <w:top w:w="40" w:type="dxa"/>
              <w:left w:w="80" w:type="dxa"/>
              <w:bottom w:w="40" w:type="dxa"/>
              <w:right w:w="80" w:type="dxa"/>
            </w:tcMar>
          </w:tcPr>
          <w:p w14:paraId="61249A65">
            <w:pPr>
              <w:spacing w:after="0" w:line="240" w:lineRule="auto"/>
              <w:jc w:val="left"/>
            </w:pPr>
            <w:r>
              <w:rPr>
                <w:rFonts w:ascii="Times New Roman" w:hAnsi="Times New Roman" w:eastAsia="Times New Roman" w:cs="Times New Roman"/>
                <w:b w:val="0"/>
                <w:bCs w:val="0"/>
                <w:sz w:val="20"/>
                <w:szCs w:val="20"/>
              </w:rPr>
              <w:t>SOFA score (first 24 h)</w:t>
            </w:r>
          </w:p>
        </w:tc>
        <w:tc>
          <w:tcPr>
            <w:tcW w:w="2600" w:type="dxa"/>
            <w:tcBorders>
              <w:top w:val="nil"/>
              <w:left w:val="nil"/>
              <w:bottom w:val="nil"/>
              <w:right w:val="nil"/>
            </w:tcBorders>
            <w:tcMar>
              <w:top w:w="40" w:type="dxa"/>
              <w:left w:w="80" w:type="dxa"/>
              <w:bottom w:w="40" w:type="dxa"/>
              <w:right w:w="80" w:type="dxa"/>
            </w:tcMar>
          </w:tcPr>
          <w:p w14:paraId="3164BC0F">
            <w:pPr>
              <w:spacing w:after="0" w:line="240" w:lineRule="auto"/>
              <w:jc w:val="center"/>
            </w:pPr>
            <w:r>
              <w:rPr>
                <w:rFonts w:ascii="Times New Roman" w:hAnsi="Times New Roman" w:eastAsia="Times New Roman" w:cs="Times New Roman"/>
                <w:b w:val="0"/>
                <w:bCs w:val="0"/>
                <w:sz w:val="20"/>
                <w:szCs w:val="20"/>
              </w:rPr>
              <w:t>derived (first_day_sofa)</w:t>
            </w:r>
          </w:p>
        </w:tc>
        <w:tc>
          <w:tcPr>
            <w:tcW w:w="4160" w:type="dxa"/>
            <w:tcBorders>
              <w:top w:val="nil"/>
              <w:left w:val="nil"/>
              <w:bottom w:val="nil"/>
              <w:right w:val="nil"/>
            </w:tcBorders>
            <w:tcMar>
              <w:top w:w="40" w:type="dxa"/>
              <w:left w:w="80" w:type="dxa"/>
              <w:bottom w:w="40" w:type="dxa"/>
              <w:right w:w="80" w:type="dxa"/>
            </w:tcMar>
          </w:tcPr>
          <w:p w14:paraId="52DEB4C3">
            <w:pPr>
              <w:spacing w:after="0" w:line="240" w:lineRule="auto"/>
              <w:jc w:val="center"/>
            </w:pPr>
            <w:r>
              <w:rPr>
                <w:rFonts w:ascii="Times New Roman" w:hAnsi="Times New Roman" w:eastAsia="Times New Roman" w:cs="Times New Roman"/>
                <w:b w:val="0"/>
                <w:bCs w:val="0"/>
                <w:sz w:val="20"/>
                <w:szCs w:val="20"/>
              </w:rPr>
              <w:t>sofa</w:t>
            </w:r>
          </w:p>
        </w:tc>
      </w:tr>
      <w:tr w14:paraId="6971397D">
        <w:tc>
          <w:tcPr>
            <w:tcW w:w="2600" w:type="dxa"/>
            <w:tcBorders>
              <w:top w:val="nil"/>
              <w:left w:val="nil"/>
              <w:bottom w:val="nil"/>
              <w:right w:val="nil"/>
            </w:tcBorders>
            <w:tcMar>
              <w:top w:w="40" w:type="dxa"/>
              <w:left w:w="80" w:type="dxa"/>
              <w:bottom w:w="40" w:type="dxa"/>
              <w:right w:w="80" w:type="dxa"/>
            </w:tcMar>
          </w:tcPr>
          <w:p w14:paraId="485CD7CE">
            <w:pPr>
              <w:spacing w:after="0" w:line="240" w:lineRule="auto"/>
              <w:jc w:val="left"/>
            </w:pPr>
            <w:r>
              <w:rPr>
                <w:rFonts w:ascii="Times New Roman" w:hAnsi="Times New Roman" w:eastAsia="Times New Roman" w:cs="Times New Roman"/>
                <w:b w:val="0"/>
                <w:bCs w:val="0"/>
                <w:sz w:val="20"/>
                <w:szCs w:val="20"/>
              </w:rPr>
              <w:t>Sepsis</w:t>
            </w:r>
          </w:p>
        </w:tc>
        <w:tc>
          <w:tcPr>
            <w:tcW w:w="2600" w:type="dxa"/>
            <w:tcBorders>
              <w:top w:val="nil"/>
              <w:left w:val="nil"/>
              <w:bottom w:val="nil"/>
              <w:right w:val="nil"/>
            </w:tcBorders>
            <w:tcMar>
              <w:top w:w="40" w:type="dxa"/>
              <w:left w:w="80" w:type="dxa"/>
              <w:bottom w:w="40" w:type="dxa"/>
              <w:right w:w="80" w:type="dxa"/>
            </w:tcMar>
          </w:tcPr>
          <w:p w14:paraId="78B117E7">
            <w:pPr>
              <w:spacing w:after="0" w:line="240" w:lineRule="auto"/>
              <w:jc w:val="center"/>
            </w:pPr>
            <w:r>
              <w:rPr>
                <w:rFonts w:ascii="Times New Roman" w:hAnsi="Times New Roman" w:eastAsia="Times New Roman" w:cs="Times New Roman"/>
                <w:b w:val="0"/>
                <w:bCs w:val="0"/>
                <w:sz w:val="20"/>
                <w:szCs w:val="20"/>
              </w:rPr>
              <w:t>derived (sepsis3)</w:t>
            </w:r>
          </w:p>
        </w:tc>
        <w:tc>
          <w:tcPr>
            <w:tcW w:w="4160" w:type="dxa"/>
            <w:tcBorders>
              <w:top w:val="nil"/>
              <w:left w:val="nil"/>
              <w:bottom w:val="nil"/>
              <w:right w:val="nil"/>
            </w:tcBorders>
            <w:tcMar>
              <w:top w:w="40" w:type="dxa"/>
              <w:left w:w="80" w:type="dxa"/>
              <w:bottom w:w="40" w:type="dxa"/>
              <w:right w:w="80" w:type="dxa"/>
            </w:tcMar>
          </w:tcPr>
          <w:p w14:paraId="54FCECB0">
            <w:pPr>
              <w:spacing w:after="0" w:line="240" w:lineRule="auto"/>
              <w:jc w:val="center"/>
            </w:pPr>
            <w:r>
              <w:rPr>
                <w:rFonts w:ascii="Times New Roman" w:hAnsi="Times New Roman" w:eastAsia="Times New Roman" w:cs="Times New Roman"/>
                <w:b w:val="0"/>
                <w:bCs w:val="0"/>
                <w:sz w:val="20"/>
                <w:szCs w:val="20"/>
              </w:rPr>
              <w:t>Sepsis-3 criteria</w:t>
            </w:r>
          </w:p>
        </w:tc>
      </w:tr>
      <w:tr w14:paraId="649BC8A7">
        <w:tc>
          <w:tcPr>
            <w:tcW w:w="2600" w:type="dxa"/>
            <w:tcBorders>
              <w:top w:val="nil"/>
              <w:left w:val="nil"/>
              <w:bottom w:val="nil"/>
              <w:right w:val="nil"/>
            </w:tcBorders>
            <w:tcMar>
              <w:top w:w="40" w:type="dxa"/>
              <w:left w:w="80" w:type="dxa"/>
              <w:bottom w:w="40" w:type="dxa"/>
              <w:right w:w="80" w:type="dxa"/>
            </w:tcMar>
          </w:tcPr>
          <w:p w14:paraId="715503EC">
            <w:pPr>
              <w:spacing w:after="0" w:line="240" w:lineRule="auto"/>
              <w:jc w:val="left"/>
            </w:pPr>
            <w:r>
              <w:rPr>
                <w:rFonts w:ascii="Times New Roman" w:hAnsi="Times New Roman" w:eastAsia="Times New Roman" w:cs="Times New Roman"/>
                <w:b w:val="0"/>
                <w:bCs w:val="0"/>
                <w:sz w:val="20"/>
                <w:szCs w:val="20"/>
              </w:rPr>
              <w:t>Charlson index; CKD; diabetes</w:t>
            </w:r>
          </w:p>
        </w:tc>
        <w:tc>
          <w:tcPr>
            <w:tcW w:w="2600" w:type="dxa"/>
            <w:tcBorders>
              <w:top w:val="nil"/>
              <w:left w:val="nil"/>
              <w:bottom w:val="nil"/>
              <w:right w:val="nil"/>
            </w:tcBorders>
            <w:tcMar>
              <w:top w:w="40" w:type="dxa"/>
              <w:left w:w="80" w:type="dxa"/>
              <w:bottom w:w="40" w:type="dxa"/>
              <w:right w:w="80" w:type="dxa"/>
            </w:tcMar>
          </w:tcPr>
          <w:p w14:paraId="513BB47C">
            <w:pPr>
              <w:spacing w:after="0" w:line="240" w:lineRule="auto"/>
              <w:jc w:val="center"/>
            </w:pPr>
            <w:r>
              <w:rPr>
                <w:rFonts w:ascii="Times New Roman" w:hAnsi="Times New Roman" w:eastAsia="Times New Roman" w:cs="Times New Roman"/>
                <w:b w:val="0"/>
                <w:bCs w:val="0"/>
                <w:sz w:val="20"/>
                <w:szCs w:val="20"/>
              </w:rPr>
              <w:t>derived (charlson)</w:t>
            </w:r>
          </w:p>
        </w:tc>
        <w:tc>
          <w:tcPr>
            <w:tcW w:w="4160" w:type="dxa"/>
            <w:tcBorders>
              <w:top w:val="nil"/>
              <w:left w:val="nil"/>
              <w:bottom w:val="nil"/>
              <w:right w:val="nil"/>
            </w:tcBorders>
            <w:tcMar>
              <w:top w:w="40" w:type="dxa"/>
              <w:left w:w="80" w:type="dxa"/>
              <w:bottom w:w="40" w:type="dxa"/>
              <w:right w:w="80" w:type="dxa"/>
            </w:tcMar>
          </w:tcPr>
          <w:p w14:paraId="25196642">
            <w:pPr>
              <w:spacing w:after="0" w:line="240" w:lineRule="auto"/>
              <w:jc w:val="center"/>
            </w:pPr>
            <w:r>
              <w:rPr>
                <w:rFonts w:ascii="Times New Roman" w:hAnsi="Times New Roman" w:eastAsia="Times New Roman" w:cs="Times New Roman"/>
                <w:b w:val="0"/>
                <w:bCs w:val="0"/>
                <w:sz w:val="20"/>
                <w:szCs w:val="20"/>
              </w:rPr>
              <w:t>charlson_comorbidity_index; renal_disease; diabetes_without_cc or diabetes_with_cc</w:t>
            </w:r>
          </w:p>
        </w:tc>
      </w:tr>
      <w:tr w14:paraId="30FF45E1">
        <w:tc>
          <w:tcPr>
            <w:tcW w:w="2600" w:type="dxa"/>
            <w:tcBorders>
              <w:top w:val="nil"/>
              <w:left w:val="nil"/>
              <w:bottom w:val="nil"/>
              <w:right w:val="nil"/>
            </w:tcBorders>
            <w:tcMar>
              <w:top w:w="40" w:type="dxa"/>
              <w:left w:w="80" w:type="dxa"/>
              <w:bottom w:w="40" w:type="dxa"/>
              <w:right w:w="80" w:type="dxa"/>
            </w:tcMar>
          </w:tcPr>
          <w:p w14:paraId="0DF2BE71">
            <w:pPr>
              <w:spacing w:after="0" w:line="240" w:lineRule="auto"/>
              <w:jc w:val="left"/>
            </w:pPr>
            <w:r>
              <w:rPr>
                <w:rFonts w:ascii="Times New Roman" w:hAnsi="Times New Roman" w:eastAsia="Times New Roman" w:cs="Times New Roman"/>
                <w:b w:val="0"/>
                <w:bCs w:val="0"/>
                <w:sz w:val="20"/>
                <w:szCs w:val="20"/>
              </w:rPr>
              <w:t>Hypertension</w:t>
            </w:r>
          </w:p>
        </w:tc>
        <w:tc>
          <w:tcPr>
            <w:tcW w:w="2600" w:type="dxa"/>
            <w:tcBorders>
              <w:top w:val="nil"/>
              <w:left w:val="nil"/>
              <w:bottom w:val="nil"/>
              <w:right w:val="nil"/>
            </w:tcBorders>
            <w:tcMar>
              <w:top w:w="40" w:type="dxa"/>
              <w:left w:w="80" w:type="dxa"/>
              <w:bottom w:w="40" w:type="dxa"/>
              <w:right w:w="80" w:type="dxa"/>
            </w:tcMar>
          </w:tcPr>
          <w:p w14:paraId="46876E88">
            <w:pPr>
              <w:spacing w:after="0" w:line="240" w:lineRule="auto"/>
              <w:jc w:val="center"/>
            </w:pPr>
            <w:r>
              <w:rPr>
                <w:rFonts w:ascii="Times New Roman" w:hAnsi="Times New Roman" w:eastAsia="Times New Roman" w:cs="Times New Roman"/>
                <w:b w:val="0"/>
                <w:bCs w:val="0"/>
                <w:sz w:val="20"/>
                <w:szCs w:val="20"/>
              </w:rPr>
              <w:t>hosp.diagnoses_icd</w:t>
            </w:r>
          </w:p>
        </w:tc>
        <w:tc>
          <w:tcPr>
            <w:tcW w:w="4160" w:type="dxa"/>
            <w:tcBorders>
              <w:top w:val="nil"/>
              <w:left w:val="nil"/>
              <w:bottom w:val="nil"/>
              <w:right w:val="nil"/>
            </w:tcBorders>
            <w:tcMar>
              <w:top w:w="40" w:type="dxa"/>
              <w:left w:w="80" w:type="dxa"/>
              <w:bottom w:w="40" w:type="dxa"/>
              <w:right w:w="80" w:type="dxa"/>
            </w:tcMar>
          </w:tcPr>
          <w:p w14:paraId="2F1188F4">
            <w:pPr>
              <w:spacing w:after="0" w:line="240" w:lineRule="auto"/>
              <w:jc w:val="center"/>
            </w:pPr>
            <w:r>
              <w:rPr>
                <w:rFonts w:ascii="Times New Roman" w:hAnsi="Times New Roman" w:eastAsia="Times New Roman" w:cs="Times New Roman"/>
                <w:b w:val="0"/>
                <w:bCs w:val="0"/>
                <w:sz w:val="20"/>
                <w:szCs w:val="20"/>
              </w:rPr>
              <w:t>ICD-10 I10–I16; ICD-9 401–405</w:t>
            </w:r>
          </w:p>
        </w:tc>
      </w:tr>
      <w:tr w14:paraId="53346A27">
        <w:tc>
          <w:tcPr>
            <w:tcW w:w="2600" w:type="dxa"/>
            <w:tcBorders>
              <w:top w:val="nil"/>
              <w:left w:val="nil"/>
              <w:bottom w:val="nil"/>
              <w:right w:val="nil"/>
            </w:tcBorders>
            <w:tcMar>
              <w:top w:w="40" w:type="dxa"/>
              <w:left w:w="80" w:type="dxa"/>
              <w:bottom w:w="40" w:type="dxa"/>
              <w:right w:w="80" w:type="dxa"/>
            </w:tcMar>
          </w:tcPr>
          <w:p w14:paraId="44C56902">
            <w:pPr>
              <w:spacing w:after="0" w:line="240" w:lineRule="auto"/>
              <w:jc w:val="left"/>
            </w:pPr>
            <w:r>
              <w:rPr>
                <w:rFonts w:ascii="Times New Roman" w:hAnsi="Times New Roman" w:eastAsia="Times New Roman" w:cs="Times New Roman"/>
                <w:b w:val="0"/>
                <w:bCs w:val="0"/>
                <w:sz w:val="20"/>
                <w:szCs w:val="20"/>
              </w:rPr>
              <w:t>End-stage renal disease / dialysis (exclusion)</w:t>
            </w:r>
          </w:p>
        </w:tc>
        <w:tc>
          <w:tcPr>
            <w:tcW w:w="2600" w:type="dxa"/>
            <w:tcBorders>
              <w:top w:val="nil"/>
              <w:left w:val="nil"/>
              <w:bottom w:val="nil"/>
              <w:right w:val="nil"/>
            </w:tcBorders>
            <w:tcMar>
              <w:top w:w="40" w:type="dxa"/>
              <w:left w:w="80" w:type="dxa"/>
              <w:bottom w:w="40" w:type="dxa"/>
              <w:right w:w="80" w:type="dxa"/>
            </w:tcMar>
          </w:tcPr>
          <w:p w14:paraId="677F3E0F">
            <w:pPr>
              <w:spacing w:after="0" w:line="240" w:lineRule="auto"/>
              <w:jc w:val="center"/>
            </w:pPr>
            <w:r>
              <w:rPr>
                <w:rFonts w:ascii="Times New Roman" w:hAnsi="Times New Roman" w:eastAsia="Times New Roman" w:cs="Times New Roman"/>
                <w:b w:val="0"/>
                <w:bCs w:val="0"/>
                <w:sz w:val="20"/>
                <w:szCs w:val="20"/>
              </w:rPr>
              <w:t>hosp.diagnoses_icd</w:t>
            </w:r>
          </w:p>
        </w:tc>
        <w:tc>
          <w:tcPr>
            <w:tcW w:w="4160" w:type="dxa"/>
            <w:tcBorders>
              <w:top w:val="nil"/>
              <w:left w:val="nil"/>
              <w:bottom w:val="nil"/>
              <w:right w:val="nil"/>
            </w:tcBorders>
            <w:tcMar>
              <w:top w:w="40" w:type="dxa"/>
              <w:left w:w="80" w:type="dxa"/>
              <w:bottom w:w="40" w:type="dxa"/>
              <w:right w:w="80" w:type="dxa"/>
            </w:tcMar>
          </w:tcPr>
          <w:p w14:paraId="48E0BC49">
            <w:pPr>
              <w:spacing w:after="0" w:line="240" w:lineRule="auto"/>
              <w:jc w:val="center"/>
            </w:pPr>
            <w:r>
              <w:rPr>
                <w:rFonts w:ascii="Times New Roman" w:hAnsi="Times New Roman" w:eastAsia="Times New Roman" w:cs="Times New Roman"/>
                <w:b w:val="0"/>
                <w:bCs w:val="0"/>
                <w:sz w:val="20"/>
                <w:szCs w:val="20"/>
              </w:rPr>
              <w:t>ICD-10 N18.6, Z99.2; ICD-9 585.6, V45.11, V56.x</w:t>
            </w:r>
          </w:p>
        </w:tc>
      </w:tr>
      <w:tr w14:paraId="616DF87E">
        <w:tc>
          <w:tcPr>
            <w:tcW w:w="2600" w:type="dxa"/>
            <w:tcBorders>
              <w:top w:val="nil"/>
              <w:left w:val="nil"/>
              <w:bottom w:val="single" w:color="000000" w:sz="12" w:space="0"/>
              <w:right w:val="nil"/>
            </w:tcBorders>
            <w:tcMar>
              <w:top w:w="40" w:type="dxa"/>
              <w:left w:w="80" w:type="dxa"/>
              <w:bottom w:w="40" w:type="dxa"/>
              <w:right w:w="80" w:type="dxa"/>
            </w:tcMar>
          </w:tcPr>
          <w:p w14:paraId="5E0A70F9">
            <w:pPr>
              <w:spacing w:after="0" w:line="240" w:lineRule="auto"/>
              <w:jc w:val="left"/>
            </w:pPr>
            <w:r>
              <w:rPr>
                <w:rFonts w:ascii="Times New Roman" w:hAnsi="Times New Roman" w:eastAsia="Times New Roman" w:cs="Times New Roman"/>
                <w:b w:val="0"/>
                <w:bCs w:val="0"/>
                <w:sz w:val="20"/>
                <w:szCs w:val="20"/>
              </w:rPr>
              <w:t>Age, sex, ICU times, death, length of stay</w:t>
            </w:r>
          </w:p>
        </w:tc>
        <w:tc>
          <w:tcPr>
            <w:tcW w:w="2600" w:type="dxa"/>
            <w:tcBorders>
              <w:top w:val="nil"/>
              <w:left w:val="nil"/>
              <w:bottom w:val="single" w:color="000000" w:sz="12" w:space="0"/>
              <w:right w:val="nil"/>
            </w:tcBorders>
            <w:tcMar>
              <w:top w:w="40" w:type="dxa"/>
              <w:left w:w="80" w:type="dxa"/>
              <w:bottom w:w="40" w:type="dxa"/>
              <w:right w:w="80" w:type="dxa"/>
            </w:tcMar>
          </w:tcPr>
          <w:p w14:paraId="6A4029D8">
            <w:pPr>
              <w:spacing w:after="0" w:line="240" w:lineRule="auto"/>
              <w:jc w:val="center"/>
            </w:pPr>
            <w:r>
              <w:rPr>
                <w:rFonts w:ascii="Times New Roman" w:hAnsi="Times New Roman" w:eastAsia="Times New Roman" w:cs="Times New Roman"/>
                <w:b w:val="0"/>
                <w:bCs w:val="0"/>
                <w:sz w:val="20"/>
                <w:szCs w:val="20"/>
              </w:rPr>
              <w:t>derived (icustay_detail)</w:t>
            </w:r>
          </w:p>
        </w:tc>
        <w:tc>
          <w:tcPr>
            <w:tcW w:w="4160" w:type="dxa"/>
            <w:tcBorders>
              <w:top w:val="nil"/>
              <w:left w:val="nil"/>
              <w:bottom w:val="single" w:color="000000" w:sz="12" w:space="0"/>
              <w:right w:val="nil"/>
            </w:tcBorders>
            <w:tcMar>
              <w:top w:w="40" w:type="dxa"/>
              <w:left w:w="80" w:type="dxa"/>
              <w:bottom w:w="40" w:type="dxa"/>
              <w:right w:w="80" w:type="dxa"/>
            </w:tcMar>
          </w:tcPr>
          <w:p w14:paraId="64DBD4B3">
            <w:pPr>
              <w:spacing w:after="0" w:line="240" w:lineRule="auto"/>
              <w:jc w:val="center"/>
            </w:pPr>
            <w:r>
              <w:rPr>
                <w:rFonts w:ascii="Times New Roman" w:hAnsi="Times New Roman" w:eastAsia="Times New Roman" w:cs="Times New Roman"/>
                <w:b w:val="0"/>
                <w:bCs w:val="0"/>
                <w:sz w:val="20"/>
                <w:szCs w:val="20"/>
              </w:rPr>
              <w:t>admission_age, gender, icu_intime/icu_outtime, dod, hospital_expire_flag, los_icu</w:t>
            </w:r>
          </w:p>
        </w:tc>
      </w:tr>
    </w:tbl>
    <w:p w14:paraId="775CB642">
      <w:pPr>
        <w:spacing w:before="60" w:after="0" w:line="240" w:lineRule="auto"/>
      </w:pPr>
      <w:r>
        <w:rPr>
          <w:rFonts w:ascii="Times New Roman" w:hAnsi="Times New Roman" w:eastAsia="Times New Roman" w:cs="Times New Roman"/>
          <w:i/>
          <w:iCs/>
          <w:sz w:val="20"/>
          <w:szCs w:val="20"/>
        </w:rPr>
        <w:t>All sources are within MIMIC-IV version 3.1 except the echocardiographic structured measurements, which are from MIMIC-IV-ECHO version 1.0. “derived” denotes the MIMIC-IV derived (concept) dataset. CKD, chronic kidney disease; ICD, International Classification of Diseases; LVEF, left ventricular ejection fraction; SOFA, Sequential Organ Failure Assessment.</w:t>
      </w:r>
    </w:p>
    <w:p w14:paraId="4BF47F99">
      <w:pPr>
        <w:spacing w:before="240" w:after="80" w:line="276" w:lineRule="auto"/>
      </w:pPr>
      <w:r>
        <w:rPr>
          <w:rFonts w:ascii="Times New Roman" w:hAnsi="Times New Roman" w:eastAsia="Times New Roman" w:cs="Times New Roman"/>
          <w:b/>
          <w:bCs/>
          <w:sz w:val="24"/>
          <w:szCs w:val="24"/>
        </w:rPr>
        <w:t xml:space="preserve">Supplementary Table S5. </w:t>
      </w:r>
      <w:r>
        <w:rPr>
          <w:rFonts w:ascii="Times New Roman" w:hAnsi="Times New Roman" w:eastAsia="Times New Roman" w:cs="Times New Roman"/>
          <w:sz w:val="24"/>
          <w:szCs w:val="24"/>
        </w:rPr>
        <w:t>Sensitivity analyses of the association between mean E/e′ and incident 7-day acute kidney injury accounting for atrial fibrillation.</w:t>
      </w:r>
    </w:p>
    <w:tbl>
      <w:tblPr>
        <w:tblStyle w:val="11"/>
        <w:tblW w:w="9360" w:type="dxa"/>
        <w:tblInd w:w="0" w:type="dxa"/>
        <w:tblBorders>
          <w:top w:val="single" w:color="auto" w:sz="4" w:space="0"/>
          <w:left w:val="none" w:color="auto" w:sz="4" w:space="0"/>
          <w:bottom w:val="single" w:color="auto" w:sz="4" w:space="0"/>
          <w:right w:val="none" w:color="auto" w:sz="4" w:space="0"/>
          <w:insideH w:val="single" w:color="auto" w:sz="4" w:space="0"/>
          <w:insideV w:val="none" w:color="auto" w:sz="4" w:space="0"/>
        </w:tblBorders>
        <w:tblLayout w:type="autofit"/>
        <w:tblCellMar>
          <w:top w:w="0" w:type="dxa"/>
          <w:left w:w="10" w:type="dxa"/>
          <w:bottom w:w="0" w:type="dxa"/>
          <w:right w:w="10" w:type="dxa"/>
        </w:tblCellMar>
      </w:tblPr>
      <w:tblGrid>
        <w:gridCol w:w="4000"/>
        <w:gridCol w:w="1900"/>
        <w:gridCol w:w="2160"/>
        <w:gridCol w:w="1300"/>
      </w:tblGrid>
      <w:tr w14:paraId="1C878876">
        <w:tc>
          <w:tcPr>
            <w:tcW w:w="4000" w:type="dxa"/>
            <w:tcBorders>
              <w:top w:val="single" w:color="000000" w:sz="12" w:space="0"/>
              <w:left w:val="nil"/>
              <w:bottom w:val="single" w:color="000000" w:sz="4" w:space="0"/>
              <w:right w:val="nil"/>
            </w:tcBorders>
            <w:tcMar>
              <w:top w:w="40" w:type="dxa"/>
              <w:left w:w="80" w:type="dxa"/>
              <w:bottom w:w="40" w:type="dxa"/>
              <w:right w:w="80" w:type="dxa"/>
            </w:tcMar>
          </w:tcPr>
          <w:p w14:paraId="7369F575">
            <w:pPr>
              <w:spacing w:after="0" w:line="240" w:lineRule="auto"/>
              <w:jc w:val="left"/>
            </w:pPr>
            <w:r>
              <w:rPr>
                <w:rFonts w:ascii="Times New Roman" w:hAnsi="Times New Roman" w:eastAsia="Times New Roman" w:cs="Times New Roman"/>
                <w:b/>
                <w:bCs/>
                <w:sz w:val="20"/>
                <w:szCs w:val="20"/>
              </w:rPr>
              <w:t>Sensitivity analysis</w:t>
            </w:r>
          </w:p>
        </w:tc>
        <w:tc>
          <w:tcPr>
            <w:tcW w:w="1900" w:type="dxa"/>
            <w:tcBorders>
              <w:top w:val="single" w:color="000000" w:sz="12" w:space="0"/>
              <w:left w:val="nil"/>
              <w:bottom w:val="single" w:color="000000" w:sz="4" w:space="0"/>
              <w:right w:val="nil"/>
            </w:tcBorders>
            <w:tcMar>
              <w:top w:w="40" w:type="dxa"/>
              <w:left w:w="80" w:type="dxa"/>
              <w:bottom w:w="40" w:type="dxa"/>
              <w:right w:w="80" w:type="dxa"/>
            </w:tcMar>
          </w:tcPr>
          <w:p w14:paraId="3FE15E62">
            <w:pPr>
              <w:spacing w:after="0" w:line="240" w:lineRule="auto"/>
              <w:jc w:val="center"/>
            </w:pPr>
            <w:r>
              <w:rPr>
                <w:rFonts w:ascii="Times New Roman" w:hAnsi="Times New Roman" w:eastAsia="Times New Roman" w:cs="Times New Roman"/>
                <w:b/>
                <w:bCs/>
                <w:sz w:val="20"/>
                <w:szCs w:val="20"/>
              </w:rPr>
              <w:t>Patients (AKI events)</w:t>
            </w:r>
          </w:p>
        </w:tc>
        <w:tc>
          <w:tcPr>
            <w:tcW w:w="2160" w:type="dxa"/>
            <w:tcBorders>
              <w:top w:val="single" w:color="000000" w:sz="12" w:space="0"/>
              <w:left w:val="nil"/>
              <w:bottom w:val="single" w:color="000000" w:sz="4" w:space="0"/>
              <w:right w:val="nil"/>
            </w:tcBorders>
            <w:tcMar>
              <w:top w:w="40" w:type="dxa"/>
              <w:left w:w="80" w:type="dxa"/>
              <w:bottom w:w="40" w:type="dxa"/>
              <w:right w:w="80" w:type="dxa"/>
            </w:tcMar>
          </w:tcPr>
          <w:p w14:paraId="49C34115">
            <w:pPr>
              <w:spacing w:after="0" w:line="240" w:lineRule="auto"/>
              <w:jc w:val="center"/>
            </w:pPr>
            <w:r>
              <w:rPr>
                <w:rFonts w:ascii="Times New Roman" w:hAnsi="Times New Roman" w:eastAsia="Times New Roman" w:cs="Times New Roman"/>
                <w:b/>
                <w:bCs/>
                <w:sz w:val="20"/>
                <w:szCs w:val="20"/>
              </w:rPr>
              <w:t>sHR (95% CI)</w:t>
            </w:r>
          </w:p>
        </w:tc>
        <w:tc>
          <w:tcPr>
            <w:tcW w:w="1300" w:type="dxa"/>
            <w:tcBorders>
              <w:top w:val="single" w:color="000000" w:sz="12" w:space="0"/>
              <w:left w:val="nil"/>
              <w:bottom w:val="single" w:color="000000" w:sz="4" w:space="0"/>
              <w:right w:val="nil"/>
            </w:tcBorders>
            <w:tcMar>
              <w:top w:w="40" w:type="dxa"/>
              <w:left w:w="80" w:type="dxa"/>
              <w:bottom w:w="40" w:type="dxa"/>
              <w:right w:w="80" w:type="dxa"/>
            </w:tcMar>
          </w:tcPr>
          <w:p w14:paraId="19545650">
            <w:pPr>
              <w:spacing w:after="0" w:line="240" w:lineRule="auto"/>
              <w:jc w:val="center"/>
            </w:pPr>
            <w:r>
              <w:rPr>
                <w:rFonts w:ascii="Times New Roman" w:hAnsi="Times New Roman" w:eastAsia="Times New Roman" w:cs="Times New Roman"/>
                <w:b/>
                <w:bCs/>
                <w:sz w:val="20"/>
                <w:szCs w:val="20"/>
              </w:rPr>
              <w:t>P value</w:t>
            </w:r>
          </w:p>
        </w:tc>
      </w:tr>
      <w:tr w14:paraId="3A8CCEEB">
        <w:tc>
          <w:tcPr>
            <w:tcW w:w="4000" w:type="dxa"/>
            <w:tcBorders>
              <w:top w:val="nil"/>
              <w:left w:val="nil"/>
              <w:bottom w:val="nil"/>
              <w:right w:val="nil"/>
            </w:tcBorders>
            <w:tcMar>
              <w:top w:w="40" w:type="dxa"/>
              <w:left w:w="80" w:type="dxa"/>
              <w:bottom w:w="40" w:type="dxa"/>
              <w:right w:w="80" w:type="dxa"/>
            </w:tcMar>
          </w:tcPr>
          <w:p w14:paraId="74A11F5A">
            <w:pPr>
              <w:spacing w:after="0" w:line="240" w:lineRule="auto"/>
              <w:jc w:val="left"/>
            </w:pPr>
            <w:r>
              <w:rPr>
                <w:rFonts w:ascii="Times New Roman" w:hAnsi="Times New Roman" w:eastAsia="Times New Roman" w:cs="Times New Roman"/>
                <w:sz w:val="20"/>
                <w:szCs w:val="20"/>
              </w:rPr>
              <w:t>Adjusted for atrial fibrillation (full cohort)</w:t>
            </w:r>
          </w:p>
        </w:tc>
        <w:tc>
          <w:tcPr>
            <w:tcW w:w="1900" w:type="dxa"/>
            <w:tcBorders>
              <w:top w:val="nil"/>
              <w:left w:val="nil"/>
              <w:bottom w:val="nil"/>
              <w:right w:val="nil"/>
            </w:tcBorders>
            <w:tcMar>
              <w:top w:w="40" w:type="dxa"/>
              <w:left w:w="80" w:type="dxa"/>
              <w:bottom w:w="40" w:type="dxa"/>
              <w:right w:w="80" w:type="dxa"/>
            </w:tcMar>
          </w:tcPr>
          <w:p w14:paraId="692797E6">
            <w:pPr>
              <w:spacing w:after="0" w:line="240" w:lineRule="auto"/>
              <w:jc w:val="center"/>
            </w:pPr>
            <w:r>
              <w:rPr>
                <w:rFonts w:ascii="Times New Roman" w:hAnsi="Times New Roman" w:eastAsia="Times New Roman" w:cs="Times New Roman"/>
                <w:sz w:val="20"/>
                <w:szCs w:val="20"/>
              </w:rPr>
              <w:t>3,067 (588)</w:t>
            </w:r>
          </w:p>
        </w:tc>
        <w:tc>
          <w:tcPr>
            <w:tcW w:w="2160" w:type="dxa"/>
            <w:tcBorders>
              <w:top w:val="nil"/>
              <w:left w:val="nil"/>
              <w:bottom w:val="nil"/>
              <w:right w:val="nil"/>
            </w:tcBorders>
            <w:tcMar>
              <w:top w:w="40" w:type="dxa"/>
              <w:left w:w="80" w:type="dxa"/>
              <w:bottom w:w="40" w:type="dxa"/>
              <w:right w:w="80" w:type="dxa"/>
            </w:tcMar>
          </w:tcPr>
          <w:p w14:paraId="67C0A9B3">
            <w:pPr>
              <w:spacing w:after="0" w:line="240" w:lineRule="auto"/>
              <w:jc w:val="center"/>
            </w:pPr>
            <w:r>
              <w:rPr>
                <w:rFonts w:ascii="Times New Roman" w:hAnsi="Times New Roman" w:eastAsia="Times New Roman" w:cs="Times New Roman"/>
                <w:sz w:val="20"/>
                <w:szCs w:val="20"/>
              </w:rPr>
              <w:t>1.028 (1.011–1.045)</w:t>
            </w:r>
          </w:p>
        </w:tc>
        <w:tc>
          <w:tcPr>
            <w:tcW w:w="1300" w:type="dxa"/>
            <w:tcBorders>
              <w:top w:val="nil"/>
              <w:left w:val="nil"/>
              <w:bottom w:val="nil"/>
              <w:right w:val="nil"/>
            </w:tcBorders>
            <w:tcMar>
              <w:top w:w="40" w:type="dxa"/>
              <w:left w:w="80" w:type="dxa"/>
              <w:bottom w:w="40" w:type="dxa"/>
              <w:right w:w="80" w:type="dxa"/>
            </w:tcMar>
          </w:tcPr>
          <w:p w14:paraId="011DD53E">
            <w:pPr>
              <w:spacing w:after="0" w:line="240" w:lineRule="auto"/>
              <w:jc w:val="center"/>
            </w:pPr>
            <w:r>
              <w:rPr>
                <w:rFonts w:ascii="Times New Roman" w:hAnsi="Times New Roman" w:eastAsia="Times New Roman" w:cs="Times New Roman"/>
                <w:sz w:val="20"/>
                <w:szCs w:val="20"/>
              </w:rPr>
              <w:t>0.001</w:t>
            </w:r>
          </w:p>
        </w:tc>
      </w:tr>
      <w:tr w14:paraId="2A629E97">
        <w:tc>
          <w:tcPr>
            <w:tcW w:w="4000" w:type="dxa"/>
            <w:tcBorders>
              <w:top w:val="nil"/>
              <w:left w:val="nil"/>
              <w:bottom w:val="nil"/>
              <w:right w:val="nil"/>
            </w:tcBorders>
            <w:tcMar>
              <w:top w:w="40" w:type="dxa"/>
              <w:left w:w="80" w:type="dxa"/>
              <w:bottom w:w="40" w:type="dxa"/>
              <w:right w:w="80" w:type="dxa"/>
            </w:tcMar>
          </w:tcPr>
          <w:p w14:paraId="457C5018">
            <w:pPr>
              <w:spacing w:after="0" w:line="240" w:lineRule="auto"/>
              <w:jc w:val="left"/>
            </w:pPr>
            <w:r>
              <w:rPr>
                <w:rFonts w:ascii="Times New Roman" w:hAnsi="Times New Roman" w:eastAsia="Times New Roman" w:cs="Times New Roman"/>
                <w:sz w:val="20"/>
                <w:szCs w:val="20"/>
              </w:rPr>
              <w:t>Sinus rhythm only, per 1-unit E/e′</w:t>
            </w:r>
          </w:p>
        </w:tc>
        <w:tc>
          <w:tcPr>
            <w:tcW w:w="1900" w:type="dxa"/>
            <w:tcBorders>
              <w:top w:val="nil"/>
              <w:left w:val="nil"/>
              <w:bottom w:val="nil"/>
              <w:right w:val="nil"/>
            </w:tcBorders>
            <w:tcMar>
              <w:top w:w="40" w:type="dxa"/>
              <w:left w:w="80" w:type="dxa"/>
              <w:bottom w:w="40" w:type="dxa"/>
              <w:right w:w="80" w:type="dxa"/>
            </w:tcMar>
          </w:tcPr>
          <w:p w14:paraId="08854646">
            <w:pPr>
              <w:spacing w:after="0" w:line="240" w:lineRule="auto"/>
              <w:jc w:val="center"/>
            </w:pPr>
            <w:r>
              <w:rPr>
                <w:rFonts w:ascii="Times New Roman" w:hAnsi="Times New Roman" w:eastAsia="Times New Roman" w:cs="Times New Roman"/>
                <w:sz w:val="20"/>
                <w:szCs w:val="20"/>
              </w:rPr>
              <w:t>2,338 (406)</w:t>
            </w:r>
          </w:p>
        </w:tc>
        <w:tc>
          <w:tcPr>
            <w:tcW w:w="2160" w:type="dxa"/>
            <w:tcBorders>
              <w:top w:val="nil"/>
              <w:left w:val="nil"/>
              <w:bottom w:val="nil"/>
              <w:right w:val="nil"/>
            </w:tcBorders>
            <w:tcMar>
              <w:top w:w="40" w:type="dxa"/>
              <w:left w:w="80" w:type="dxa"/>
              <w:bottom w:w="40" w:type="dxa"/>
              <w:right w:w="80" w:type="dxa"/>
            </w:tcMar>
          </w:tcPr>
          <w:p w14:paraId="02602547">
            <w:pPr>
              <w:spacing w:after="0" w:line="240" w:lineRule="auto"/>
              <w:jc w:val="center"/>
            </w:pPr>
            <w:r>
              <w:rPr>
                <w:rFonts w:ascii="Times New Roman" w:hAnsi="Times New Roman" w:eastAsia="Times New Roman" w:cs="Times New Roman"/>
                <w:sz w:val="20"/>
                <w:szCs w:val="20"/>
              </w:rPr>
              <w:t>1.036 (1.014–1.060)</w:t>
            </w:r>
          </w:p>
        </w:tc>
        <w:tc>
          <w:tcPr>
            <w:tcW w:w="1300" w:type="dxa"/>
            <w:tcBorders>
              <w:top w:val="nil"/>
              <w:left w:val="nil"/>
              <w:bottom w:val="nil"/>
              <w:right w:val="nil"/>
            </w:tcBorders>
            <w:tcMar>
              <w:top w:w="40" w:type="dxa"/>
              <w:left w:w="80" w:type="dxa"/>
              <w:bottom w:w="40" w:type="dxa"/>
              <w:right w:w="80" w:type="dxa"/>
            </w:tcMar>
          </w:tcPr>
          <w:p w14:paraId="026AF312">
            <w:pPr>
              <w:spacing w:after="0" w:line="240" w:lineRule="auto"/>
              <w:jc w:val="center"/>
            </w:pPr>
            <w:r>
              <w:rPr>
                <w:rFonts w:ascii="Times New Roman" w:hAnsi="Times New Roman" w:eastAsia="Times New Roman" w:cs="Times New Roman"/>
                <w:sz w:val="20"/>
                <w:szCs w:val="20"/>
              </w:rPr>
              <w:t>0.002</w:t>
            </w:r>
          </w:p>
        </w:tc>
      </w:tr>
      <w:tr w14:paraId="30B05296">
        <w:tc>
          <w:tcPr>
            <w:tcW w:w="4000" w:type="dxa"/>
            <w:tcBorders>
              <w:top w:val="nil"/>
              <w:left w:val="nil"/>
              <w:bottom w:val="single" w:color="000000" w:sz="12" w:space="0"/>
              <w:right w:val="nil"/>
            </w:tcBorders>
            <w:tcMar>
              <w:top w:w="40" w:type="dxa"/>
              <w:left w:w="80" w:type="dxa"/>
              <w:bottom w:w="40" w:type="dxa"/>
              <w:right w:w="80" w:type="dxa"/>
            </w:tcMar>
          </w:tcPr>
          <w:p w14:paraId="385DAA73">
            <w:pPr>
              <w:spacing w:after="0" w:line="240" w:lineRule="auto"/>
              <w:jc w:val="left"/>
            </w:pPr>
            <w:r>
              <w:rPr>
                <w:rFonts w:ascii="Times New Roman" w:hAnsi="Times New Roman" w:eastAsia="Times New Roman" w:cs="Times New Roman"/>
                <w:sz w:val="20"/>
                <w:szCs w:val="20"/>
              </w:rPr>
              <w:t>Sinus rhythm only, E/e′ &gt; 14 vs ≤ 14</w:t>
            </w:r>
          </w:p>
        </w:tc>
        <w:tc>
          <w:tcPr>
            <w:tcW w:w="1900" w:type="dxa"/>
            <w:tcBorders>
              <w:top w:val="nil"/>
              <w:left w:val="nil"/>
              <w:bottom w:val="single" w:color="000000" w:sz="12" w:space="0"/>
              <w:right w:val="nil"/>
            </w:tcBorders>
            <w:tcMar>
              <w:top w:w="40" w:type="dxa"/>
              <w:left w:w="80" w:type="dxa"/>
              <w:bottom w:w="40" w:type="dxa"/>
              <w:right w:w="80" w:type="dxa"/>
            </w:tcMar>
          </w:tcPr>
          <w:p w14:paraId="4D3E433A">
            <w:pPr>
              <w:spacing w:after="0" w:line="240" w:lineRule="auto"/>
              <w:jc w:val="center"/>
            </w:pPr>
            <w:r>
              <w:rPr>
                <w:rFonts w:ascii="Times New Roman" w:hAnsi="Times New Roman" w:eastAsia="Times New Roman" w:cs="Times New Roman"/>
                <w:sz w:val="20"/>
                <w:szCs w:val="20"/>
              </w:rPr>
              <w:t>2,338 (406)</w:t>
            </w:r>
          </w:p>
        </w:tc>
        <w:tc>
          <w:tcPr>
            <w:tcW w:w="2160" w:type="dxa"/>
            <w:tcBorders>
              <w:top w:val="nil"/>
              <w:left w:val="nil"/>
              <w:bottom w:val="single" w:color="000000" w:sz="12" w:space="0"/>
              <w:right w:val="nil"/>
            </w:tcBorders>
            <w:tcMar>
              <w:top w:w="40" w:type="dxa"/>
              <w:left w:w="80" w:type="dxa"/>
              <w:bottom w:w="40" w:type="dxa"/>
              <w:right w:w="80" w:type="dxa"/>
            </w:tcMar>
          </w:tcPr>
          <w:p w14:paraId="603C3CE5">
            <w:pPr>
              <w:spacing w:after="0" w:line="240" w:lineRule="auto"/>
              <w:jc w:val="center"/>
            </w:pPr>
            <w:r>
              <w:rPr>
                <w:rFonts w:ascii="Times New Roman" w:hAnsi="Times New Roman" w:eastAsia="Times New Roman" w:cs="Times New Roman"/>
                <w:sz w:val="20"/>
                <w:szCs w:val="20"/>
              </w:rPr>
              <w:t>1.43 (1.10–1.86)</w:t>
            </w:r>
          </w:p>
        </w:tc>
        <w:tc>
          <w:tcPr>
            <w:tcW w:w="1300" w:type="dxa"/>
            <w:tcBorders>
              <w:top w:val="nil"/>
              <w:left w:val="nil"/>
              <w:bottom w:val="single" w:color="000000" w:sz="12" w:space="0"/>
              <w:right w:val="nil"/>
            </w:tcBorders>
            <w:tcMar>
              <w:top w:w="40" w:type="dxa"/>
              <w:left w:w="80" w:type="dxa"/>
              <w:bottom w:w="40" w:type="dxa"/>
              <w:right w:w="80" w:type="dxa"/>
            </w:tcMar>
          </w:tcPr>
          <w:p w14:paraId="38F2541A">
            <w:pPr>
              <w:spacing w:after="0" w:line="240" w:lineRule="auto"/>
              <w:jc w:val="center"/>
            </w:pPr>
            <w:r>
              <w:rPr>
                <w:rFonts w:ascii="Times New Roman" w:hAnsi="Times New Roman" w:eastAsia="Times New Roman" w:cs="Times New Roman"/>
                <w:sz w:val="20"/>
                <w:szCs w:val="20"/>
              </w:rPr>
              <w:t>0.008</w:t>
            </w:r>
          </w:p>
        </w:tc>
      </w:tr>
    </w:tbl>
    <w:p w14:paraId="3C37D0A0">
      <w:pPr>
        <w:spacing w:before="60" w:after="0" w:line="240" w:lineRule="auto"/>
      </w:pPr>
      <w:r>
        <w:rPr>
          <w:rFonts w:ascii="Times New Roman" w:hAnsi="Times New Roman" w:eastAsia="Times New Roman" w:cs="Times New Roman"/>
          <w:i/>
          <w:iCs/>
          <w:sz w:val="20"/>
          <w:szCs w:val="20"/>
        </w:rPr>
        <w:t>Subdistribution hazard ratios (sHR) are from Fine–Gray competing-risk models for incident 7-day acute kidney injury, with death within 7 days as the competing event, adjusted for the same prespecified covariates as the primary analysis (see Table S1). The sinus-rhythm analyses exclude the 729 patients (23.8%) with atrial fibrillation, in whom E/e′ is a less reliable estimate of left ventricular filling pressure. AKI, acute kidney injury; CI, confidence interval; E/e′, ratio of early transmitral inflow velocity to early diastolic mitral annular velocity; sHR, subdistribution hazard ratio.</w:t>
      </w:r>
    </w:p>
    <w:sectPr>
      <w:footerReference r:id="rId3" w:type="default"/>
      <w:pgSz w:w="12240" w:h="15840"/>
      <w:pgMar w:top="1440" w:right="1440" w:bottom="1440" w:left="1440" w:header="708" w:footer="708" w:gutter="0"/>
      <w:lnNumType w:countBy="1" w:restart="continuou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ongti SC">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CDB76">
    <w:pPr>
      <w:spacing w:after="0" w:line="240" w:lineRule="auto"/>
      <w:jc w:val="cente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5471E28">
                          <w:pPr>
                            <w:spacing w:after="0" w:line="240" w:lineRule="auto"/>
                            <w:jc w:val="center"/>
                          </w:pPr>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 xml:space="preserve"> PAGE </w:instrText>
                          </w:r>
                          <w:r>
                            <w:rPr>
                              <w:rFonts w:ascii="Times New Roman" w:hAnsi="Times New Roman" w:eastAsia="Times New Roman" w:cs="Times New Roman"/>
                              <w:sz w:val="20"/>
                              <w:szCs w:val="20"/>
                            </w:rPr>
                            <w:fldChar w:fldCharType="separate"/>
                          </w:r>
                          <w:r>
                            <w:rPr>
                              <w:rFonts w:ascii="Times New Roman" w:hAnsi="Times New Roman" w:eastAsia="Times New Roman" w:cs="Times New Roman"/>
                              <w:sz w:val="20"/>
                              <w:szCs w:val="20"/>
                            </w:rPr>
                            <w:t>1</w:t>
                          </w:r>
                          <w:r>
                            <w:rPr>
                              <w:rFonts w:ascii="Times New Roman" w:hAnsi="Times New Roman" w:eastAsia="Times New Roman" w:cs="Times New Roman"/>
                              <w:sz w:val="20"/>
                              <w:szCs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5471E28">
                    <w:pPr>
                      <w:spacing w:after="0" w:line="240" w:lineRule="auto"/>
                      <w:jc w:val="center"/>
                    </w:pPr>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 xml:space="preserve"> PAGE </w:instrText>
                    </w:r>
                    <w:r>
                      <w:rPr>
                        <w:rFonts w:ascii="Times New Roman" w:hAnsi="Times New Roman" w:eastAsia="Times New Roman" w:cs="Times New Roman"/>
                        <w:sz w:val="20"/>
                        <w:szCs w:val="20"/>
                      </w:rPr>
                      <w:fldChar w:fldCharType="separate"/>
                    </w:r>
                    <w:r>
                      <w:rPr>
                        <w:rFonts w:ascii="Times New Roman" w:hAnsi="Times New Roman" w:eastAsia="Times New Roman" w:cs="Times New Roman"/>
                        <w:sz w:val="20"/>
                        <w:szCs w:val="20"/>
                      </w:rPr>
                      <w:t>1</w:t>
                    </w:r>
                    <w:r>
                      <w:rPr>
                        <w:rFonts w:ascii="Times New Roman" w:hAnsi="Times New Roman" w:eastAsia="Times New Roman" w:cs="Times New Roman"/>
                        <w:sz w:val="20"/>
                        <w:szCs w:val="2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isplayBackgroundShape w:val="1"/>
  <w:documentProtection w:enforcement="0"/>
  <w:compat>
    <w:useFELayout/>
    <w:compatSetting w:name="compatibilityMode" w:uri="http://schemas.microsoft.com/office/word" w:val="15"/>
  </w:compat>
  <w:rsids>
    <w:rsidRoot w:val="00000000"/>
    <w:rsid w:val="3DDBEBBE"/>
    <w:rsid w:val="EEFF45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4"/>
      <w:szCs w:val="24"/>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4"/>
      <w:szCs w:val="24"/>
    </w:rPr>
  </w:style>
  <w:style w:type="paragraph" w:styleId="6">
    <w:name w:val="heading 5"/>
    <w:next w:val="1"/>
    <w:qFormat/>
    <w:uiPriority w:val="0"/>
    <w:rPr>
      <w:rFonts w:ascii="Times New Roman" w:hAnsi="Times New Roman" w:eastAsia="Times New Roman" w:cs="Times New Roman"/>
      <w:color w:val="2E74B5"/>
      <w:sz w:val="24"/>
      <w:szCs w:val="24"/>
    </w:rPr>
  </w:style>
  <w:style w:type="paragraph" w:styleId="7">
    <w:name w:val="heading 6"/>
    <w:next w:val="1"/>
    <w:qFormat/>
    <w:uiPriority w:val="0"/>
    <w:rPr>
      <w:rFonts w:ascii="Times New Roman" w:hAnsi="Times New Roman" w:eastAsia="Times New Roman" w:cs="Times New Roman"/>
      <w:color w:val="1F4D78"/>
      <w:sz w:val="24"/>
      <w:szCs w:val="24"/>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endnote text"/>
    <w:link w:val="18"/>
    <w:semiHidden/>
    <w:unhideWhenUsed/>
    <w:uiPriority w:val="99"/>
    <w:pPr>
      <w:spacing w:after="0" w:line="240" w:lineRule="auto"/>
    </w:pPr>
    <w:rPr>
      <w:rFonts w:ascii="Times New Roman" w:hAnsi="Times New Roman" w:eastAsia="Times New Roman" w:cs="Times New Roman"/>
      <w:sz w:val="20"/>
      <w:szCs w:val="20"/>
    </w:rPr>
  </w:style>
  <w:style w:type="paragraph" w:styleId="9">
    <w:name w:val="footnote text"/>
    <w:link w:val="17"/>
    <w:semiHidden/>
    <w:unhideWhenUsed/>
    <w:uiPriority w:val="99"/>
    <w:pPr>
      <w:spacing w:after="0" w:line="240" w:lineRule="auto"/>
    </w:pPr>
    <w:rPr>
      <w:rFonts w:ascii="Times New Roman" w:hAnsi="Times New Roman" w:eastAsia="Times New Roman" w:cs="Times New Roman"/>
      <w:sz w:val="20"/>
      <w:szCs w:val="20"/>
    </w:rPr>
  </w:style>
  <w:style w:type="paragraph" w:styleId="10">
    <w:name w:val="Title"/>
    <w:qFormat/>
    <w:uiPriority w:val="0"/>
    <w:rPr>
      <w:rFonts w:ascii="Times New Roman" w:hAnsi="Times New Roman" w:eastAsia="Times New Roman" w:cs="Times New Roman"/>
      <w:sz w:val="56"/>
      <w:szCs w:val="56"/>
    </w:rPr>
  </w:style>
  <w:style w:type="character" w:styleId="13">
    <w:name w:val="endnote reference"/>
    <w:semiHidden/>
    <w:unhideWhenUsed/>
    <w:uiPriority w:val="99"/>
    <w:rPr>
      <w:vertAlign w:val="superscript"/>
    </w:rPr>
  </w:style>
  <w:style w:type="character" w:styleId="14">
    <w:name w:val="Hyperlink"/>
    <w:unhideWhenUsed/>
    <w:uiPriority w:val="99"/>
    <w:rPr>
      <w:color w:val="0563C1"/>
      <w:u w:val="single"/>
    </w:rPr>
  </w:style>
  <w:style w:type="character" w:styleId="15">
    <w:name w:val="footnote reference"/>
    <w:semiHidden/>
    <w:unhideWhenUsed/>
    <w:uiPriority w:val="99"/>
    <w:rPr>
      <w:vertAlign w:val="superscript"/>
    </w:rPr>
  </w:style>
  <w:style w:type="paragraph" w:styleId="16">
    <w:name w:val="List Paragraph"/>
    <w:qFormat/>
    <w:uiPriority w:val="0"/>
    <w:rPr>
      <w:rFonts w:ascii="Times New Roman" w:hAnsi="Times New Roman" w:eastAsia="Times New Roman" w:cs="Times New Roman"/>
      <w:sz w:val="24"/>
      <w:szCs w:val="24"/>
    </w:rPr>
  </w:style>
  <w:style w:type="character" w:customStyle="1" w:styleId="17">
    <w:name w:val="Footnote Text Char"/>
    <w:link w:val="9"/>
    <w:semiHidden/>
    <w:unhideWhenUsed/>
    <w:uiPriority w:val="99"/>
    <w:rPr>
      <w:sz w:val="20"/>
      <w:szCs w:val="20"/>
    </w:rPr>
  </w:style>
  <w:style w:type="character" w:customStyle="1" w:styleId="18">
    <w:name w:val="End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TotalTime>0</TotalTime>
  <ScaleCrop>false</ScaleCrop>
  <LinksUpToDate>false</LinksUpToDate>
  <Application>WPS Office_7.3.1.8967_F1E327BC-269C-435d-A152-05C5408002CA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2026-06-17T14:14:52Z</dcterms:created>
  <dc:creator>Un-named</dc:creator>
  <cp:lastModifiedBy>邵录军</cp:lastModifiedBy>
  <dcterms:modified xsi:type="dcterms:W3CDTF">2026-06-17T14:15:02Z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FCA5A46F08616E63F42C326A28A55C37_42</vt:lpwstr>
  </property>
</Properties>
</file>