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B8FC6">
      <w:pPr>
        <w:spacing w:before="0" w:after="0" w:line="360" w:lineRule="auto"/>
        <w:jc w:val="left"/>
        <w:rPr>
          <w:rFonts w:ascii="Times New Roman" w:hAnsi="宋体" w:eastAsia="宋体" w:cs="Times New Roman"/>
          <w:b/>
          <w:bCs/>
          <w:kern w:val="0"/>
          <w:sz w:val="24"/>
          <w:szCs w:val="20"/>
          <w:lang/>
        </w:rPr>
      </w:pPr>
      <w:bookmarkStart w:id="0" w:name="_GoBack"/>
      <w:r>
        <w:rPr>
          <w:rFonts w:ascii="Times New Roman" w:hAnsi="宋体" w:eastAsia="宋体" w:cs="Times New Roman"/>
          <w:b/>
          <w:bCs/>
          <w:kern w:val="0"/>
          <w:sz w:val="24"/>
          <w:szCs w:val="20"/>
          <w:lang/>
        </w:rPr>
        <w:t>Supplementary File 1.</w:t>
      </w:r>
    </w:p>
    <w:bookmarkEnd w:id="0"/>
    <w:p w14:paraId="3EB27922">
      <w:pPr>
        <w:numPr>
          <w:ilvl w:val="0"/>
          <w:numId w:val="1"/>
        </w:numPr>
        <w:outlineLvl w:val="0"/>
        <w:rPr>
          <w:rFonts w:ascii="Times New Roman" w:hAnsi="宋体" w:eastAsia="宋体" w:cs="Times New Roman"/>
          <w:b/>
          <w:bCs/>
          <w:kern w:val="0"/>
          <w:sz w:val="24"/>
          <w:szCs w:val="20"/>
          <w:lang/>
        </w:rPr>
      </w:pPr>
      <w:r>
        <w:rPr>
          <w:rFonts w:ascii="Times New Roman" w:hAnsi="宋体" w:eastAsia="宋体" w:cs="Times New Roman"/>
          <w:b/>
          <w:bCs/>
          <w:kern w:val="0"/>
          <w:sz w:val="24"/>
          <w:szCs w:val="20"/>
          <w:lang/>
        </w:rPr>
        <w:t>Statement of Originality and Methodological Approach</w:t>
      </w:r>
    </w:p>
    <w:p w14:paraId="146EEBB8">
      <w:pPr>
        <w:jc w:val="left"/>
        <w:rPr>
          <w:rFonts w:hint="eastAsia" w:ascii="Times New Roman" w:hAnsi="Times New Roman" w:cs="Times New Roman"/>
          <w:sz w:val="24"/>
          <w:szCs w:val="24"/>
          <w:lang/>
        </w:rPr>
      </w:pPr>
      <w:r>
        <w:rPr>
          <w:rFonts w:hint="eastAsia" w:ascii="Times New Roman" w:hAnsi="Times New Roman" w:cs="Times New Roman"/>
          <w:sz w:val="24"/>
          <w:szCs w:val="24"/>
          <w:lang/>
        </w:rPr>
        <w:t>The interview guide used in this research was uniquely created for this project and has not appeared in any other publications.</w:t>
      </w:r>
    </w:p>
    <w:p w14:paraId="19D5F208">
      <w:pPr>
        <w:jc w:val="left"/>
        <w:rPr>
          <w:rFonts w:hint="eastAsia" w:ascii="Times New Roman" w:hAnsi="Times New Roman" w:cs="Times New Roman"/>
          <w:sz w:val="24"/>
          <w:szCs w:val="24"/>
          <w:lang/>
        </w:rPr>
      </w:pPr>
      <w:r>
        <w:rPr>
          <w:rFonts w:hint="eastAsia" w:ascii="Times New Roman" w:hAnsi="Times New Roman" w:cs="Times New Roman"/>
          <w:sz w:val="24"/>
          <w:szCs w:val="24"/>
          <w:lang/>
        </w:rPr>
        <w:t>Recent studies on the prevention and control of tuberculosis in academic settings mainly concentrate on students or specific institutions. As multi-center collaborative governance strategies evolve, there is a growing need to enhance inter-departmental cooperation in executing tuberculosis control initiatives. Nevertheless, thorough investigations into the factors that impact tuberculosis prevention results across various departments are limited. Thus, it is crucial to explore the institutional factors that influence the effectiveness of tuberculosis control in universities, utilizing key informant interviews and grounded theory methods to pinpoint significant determinants. This research aimed to assess the challenges faced at the institutional level regarding tuberculosis (TB) prevention and control in universities located in Heilongjiang Province, China, while also identifying the elements that affect the success of these control measures through a grounded theory framework.</w:t>
      </w:r>
    </w:p>
    <w:p w14:paraId="45275720">
      <w:pPr>
        <w:jc w:val="left"/>
        <w:rPr>
          <w:rFonts w:hint="eastAsia" w:ascii="Times New Roman" w:hAnsi="Times New Roman" w:cs="Times New Roman"/>
          <w:sz w:val="24"/>
          <w:szCs w:val="24"/>
          <w:lang/>
        </w:rPr>
      </w:pPr>
      <w:r>
        <w:rPr>
          <w:rFonts w:hint="eastAsia" w:ascii="Times New Roman" w:hAnsi="Times New Roman" w:cs="Times New Roman"/>
          <w:sz w:val="24"/>
          <w:szCs w:val="24"/>
          <w:lang/>
        </w:rPr>
        <w:t>Utilizing the procedural framework of grounded theory, which includes open coding, axial coding, and selective coding, we carried out interviews with key informants such as health administrative personnel, CDC staff, university healthcare providers, and impacted students. The interview guide underwent refinement through preliminary interviews and ongoing comparisons, ensuring it effectively addressed both expected and unexpected institutional elements. Designed as a versatile framework, the guide featured four primary open-ended questions as its foundation, while the actual interviews were adjusted in real-time—the order, length, and follow-up questions varied based on each participant's role and answers. This adaptability aligns with the principles of theoretical sampling in grounded theory, enabling the exploration of emerging categories until theoretical saturation was achieved.</w:t>
      </w:r>
    </w:p>
    <w:p w14:paraId="62557639">
      <w:pPr>
        <w:jc w:val="left"/>
        <w:rPr>
          <w:rFonts w:hint="eastAsia" w:ascii="Times New Roman" w:hAnsi="Times New Roman" w:cs="Times New Roman"/>
          <w:sz w:val="24"/>
          <w:szCs w:val="24"/>
          <w:lang/>
        </w:rPr>
      </w:pPr>
      <w:r>
        <w:rPr>
          <w:rFonts w:hint="eastAsia" w:ascii="Times New Roman" w:hAnsi="Times New Roman" w:cs="Times New Roman"/>
          <w:sz w:val="24"/>
          <w:szCs w:val="24"/>
          <w:lang/>
        </w:rPr>
        <w:t>Drawing from existing literature and theoretical frameworks, this research highlights the necessity of a collaborative approach to tuberculosis prevention and control within higher education settings. It involves various stakeholders, such as educational administration, health agencies, disease control organizations, university health services, campus doctors, faculty, and students. Since educational administrative bodies mainly support health authorities in executing tuberculosis prevention strategies, the study initially focused on interviewing staff from the Health Administration Department of Heilongjiang Province and personnel from local disease control centers. To capture a well-rounded view of the challenges in tuberculosis prevention, additional interviews were held with staff from university health services and students impacted by the disease. These interviews took place in December 2023, featuring semi-structured discussions with 14 participants, all of whom provided informed consent for the recordings. Table 1 details the identities of the interviewees along with their respective institutions or universities.</w:t>
      </w:r>
    </w:p>
    <w:p w14:paraId="4CC6FA86">
      <w:pPr>
        <w:spacing w:before="0" w:after="0" w:line="360" w:lineRule="auto"/>
        <w:jc w:val="left"/>
        <w:rPr>
          <w:rFonts w:ascii="Times New Roman" w:hAnsi="宋体" w:eastAsia="宋体" w:cs="Times New Roman"/>
          <w:kern w:val="0"/>
          <w:sz w:val="24"/>
          <w:szCs w:val="20"/>
          <w:lang/>
        </w:rPr>
      </w:pPr>
      <w:r>
        <w:rPr>
          <w:rFonts w:ascii="Times New Roman" w:hAnsi="宋体" w:eastAsia="宋体" w:cs="Times New Roman"/>
          <w:kern w:val="0"/>
          <w:sz w:val="24"/>
          <w:szCs w:val="20"/>
          <w:lang/>
        </w:rPr>
        <w:t>Table 1. Status of interviewees</w:t>
      </w:r>
    </w:p>
    <w:tbl>
      <w:tblPr>
        <w:tblStyle w:val="2"/>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96"/>
        <w:gridCol w:w="1782"/>
        <w:gridCol w:w="1070"/>
        <w:gridCol w:w="1500"/>
        <w:gridCol w:w="1604"/>
        <w:gridCol w:w="1070"/>
      </w:tblGrid>
      <w:tr w14:paraId="5368683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auto" w:sz="6" w:space="0"/>
              <w:bottom w:val="single" w:color="auto" w:sz="6" w:space="0"/>
            </w:tcBorders>
          </w:tcPr>
          <w:p w14:paraId="01CBB2CA">
            <w:pPr>
              <w:spacing w:line="240" w:lineRule="auto"/>
              <w:ind w:firstLine="0" w:firstLineChars="0"/>
              <w:jc w:val="left"/>
              <w:rPr>
                <w:rFonts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Respondent Identity</w:t>
            </w:r>
          </w:p>
        </w:tc>
        <w:tc>
          <w:tcPr>
            <w:tcW w:w="0" w:type="auto"/>
            <w:tcBorders>
              <w:top w:val="single" w:color="auto" w:sz="6" w:space="0"/>
              <w:bottom w:val="single" w:color="auto" w:sz="6" w:space="0"/>
            </w:tcBorders>
          </w:tcPr>
          <w:p w14:paraId="087FFEF2">
            <w:pPr>
              <w:spacing w:line="240" w:lineRule="auto"/>
              <w:ind w:firstLine="0" w:firstLineChars="0"/>
              <w:jc w:val="left"/>
              <w:rPr>
                <w:rFonts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Institutions / Universities.</w:t>
            </w:r>
          </w:p>
        </w:tc>
        <w:tc>
          <w:tcPr>
            <w:tcW w:w="0" w:type="auto"/>
            <w:tcBorders>
              <w:top w:val="single" w:color="auto" w:sz="6" w:space="0"/>
              <w:bottom w:val="single" w:color="auto" w:sz="6" w:space="0"/>
            </w:tcBorders>
            <w:vAlign w:val="top"/>
          </w:tcPr>
          <w:p w14:paraId="0F6F10B6">
            <w:pPr>
              <w:spacing w:line="240" w:lineRule="auto"/>
              <w:ind w:firstLine="0" w:firstLineChars="0"/>
              <w:jc w:val="center"/>
              <w:rPr>
                <w:rFonts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Number</w:t>
            </w:r>
          </w:p>
        </w:tc>
        <w:tc>
          <w:tcPr>
            <w:tcW w:w="0" w:type="auto"/>
            <w:tcBorders>
              <w:top w:val="single" w:color="auto" w:sz="6" w:space="0"/>
              <w:bottom w:val="single" w:color="auto" w:sz="6" w:space="0"/>
            </w:tcBorders>
            <w:vAlign w:val="top"/>
          </w:tcPr>
          <w:p w14:paraId="0D2FF8E9">
            <w:pPr>
              <w:spacing w:line="240" w:lineRule="auto"/>
              <w:ind w:firstLine="0" w:firstLineChars="0"/>
              <w:jc w:val="left"/>
              <w:rPr>
                <w:rFonts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Respondent Identity</w:t>
            </w:r>
          </w:p>
        </w:tc>
        <w:tc>
          <w:tcPr>
            <w:tcW w:w="0" w:type="auto"/>
            <w:tcBorders>
              <w:top w:val="single" w:color="auto" w:sz="6" w:space="0"/>
              <w:bottom w:val="single" w:color="auto" w:sz="6" w:space="0"/>
            </w:tcBorders>
            <w:vAlign w:val="top"/>
          </w:tcPr>
          <w:p w14:paraId="4B7BD603">
            <w:pPr>
              <w:spacing w:line="240" w:lineRule="auto"/>
              <w:ind w:firstLine="0" w:firstLineChars="0"/>
              <w:jc w:val="left"/>
              <w:rPr>
                <w:rFonts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Institutions / Universities.</w:t>
            </w:r>
          </w:p>
        </w:tc>
        <w:tc>
          <w:tcPr>
            <w:tcW w:w="0" w:type="auto"/>
            <w:tcBorders>
              <w:top w:val="single" w:color="auto" w:sz="6" w:space="0"/>
              <w:bottom w:val="single" w:color="auto" w:sz="6" w:space="0"/>
            </w:tcBorders>
            <w:vAlign w:val="top"/>
          </w:tcPr>
          <w:p w14:paraId="71EBCCFB">
            <w:pPr>
              <w:spacing w:line="240" w:lineRule="auto"/>
              <w:ind w:firstLine="0" w:firstLineChars="0"/>
              <w:jc w:val="center"/>
              <w:rPr>
                <w:rFonts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Number</w:t>
            </w:r>
          </w:p>
        </w:tc>
      </w:tr>
      <w:tr w14:paraId="284C64F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0" w:type="auto"/>
            <w:tcBorders>
              <w:top w:val="single" w:color="auto" w:sz="6" w:space="0"/>
              <w:bottom w:val="nil"/>
            </w:tcBorders>
          </w:tcPr>
          <w:p w14:paraId="090EEC66">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staff,</w:t>
            </w:r>
          </w:p>
        </w:tc>
        <w:tc>
          <w:tcPr>
            <w:tcW w:w="0" w:type="auto"/>
            <w:tcBorders>
              <w:top w:val="single" w:color="auto" w:sz="6" w:space="0"/>
              <w:bottom w:val="nil"/>
            </w:tcBorders>
          </w:tcPr>
          <w:p w14:paraId="73C8F65B">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Provincial Disease Control Center</w:t>
            </w:r>
          </w:p>
        </w:tc>
        <w:tc>
          <w:tcPr>
            <w:tcW w:w="0" w:type="auto"/>
            <w:tcBorders>
              <w:top w:val="single" w:color="auto" w:sz="6" w:space="0"/>
              <w:bottom w:val="nil"/>
            </w:tcBorders>
            <w:vAlign w:val="top"/>
          </w:tcPr>
          <w:p w14:paraId="48825A58">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w:t>
            </w:r>
          </w:p>
        </w:tc>
        <w:tc>
          <w:tcPr>
            <w:tcW w:w="0" w:type="auto"/>
            <w:tcBorders>
              <w:top w:val="single" w:color="auto" w:sz="6" w:space="0"/>
              <w:bottom w:val="nil"/>
            </w:tcBorders>
          </w:tcPr>
          <w:p w14:paraId="2E037914">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staff,</w:t>
            </w:r>
          </w:p>
        </w:tc>
        <w:tc>
          <w:tcPr>
            <w:tcW w:w="0" w:type="auto"/>
            <w:tcBorders>
              <w:top w:val="single" w:color="auto" w:sz="6" w:space="0"/>
              <w:bottom w:val="nil"/>
            </w:tcBorders>
          </w:tcPr>
          <w:p w14:paraId="4A66B4C3">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Municipal Chest Department</w:t>
            </w:r>
          </w:p>
        </w:tc>
        <w:tc>
          <w:tcPr>
            <w:tcW w:w="0" w:type="auto"/>
            <w:tcBorders>
              <w:top w:val="single" w:color="auto" w:sz="6" w:space="0"/>
              <w:bottom w:val="nil"/>
            </w:tcBorders>
            <w:vAlign w:val="top"/>
          </w:tcPr>
          <w:p w14:paraId="374D7540">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w:t>
            </w:r>
          </w:p>
        </w:tc>
      </w:tr>
      <w:tr w14:paraId="046CF6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0" w:type="auto"/>
            <w:tcBorders>
              <w:top w:val="nil"/>
              <w:bottom w:val="nil"/>
            </w:tcBorders>
          </w:tcPr>
          <w:p w14:paraId="0CF3F7FC">
            <w:pPr>
              <w:spacing w:line="240" w:lineRule="auto"/>
              <w:ind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staff,</w:t>
            </w:r>
          </w:p>
        </w:tc>
        <w:tc>
          <w:tcPr>
            <w:tcW w:w="0" w:type="auto"/>
            <w:tcBorders>
              <w:top w:val="nil"/>
              <w:bottom w:val="nil"/>
            </w:tcBorders>
          </w:tcPr>
          <w:p w14:paraId="37BF4ECD">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Municipal Health Commission</w:t>
            </w:r>
          </w:p>
        </w:tc>
        <w:tc>
          <w:tcPr>
            <w:tcW w:w="0" w:type="auto"/>
            <w:tcBorders>
              <w:top w:val="nil"/>
              <w:bottom w:val="nil"/>
            </w:tcBorders>
            <w:vAlign w:val="top"/>
          </w:tcPr>
          <w:p w14:paraId="05E0CC74">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w:t>
            </w:r>
          </w:p>
        </w:tc>
        <w:tc>
          <w:tcPr>
            <w:tcW w:w="0" w:type="auto"/>
            <w:tcBorders>
              <w:top w:val="nil"/>
              <w:bottom w:val="nil"/>
            </w:tcBorders>
          </w:tcPr>
          <w:p w14:paraId="47DCE134">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staff,</w:t>
            </w:r>
          </w:p>
        </w:tc>
        <w:tc>
          <w:tcPr>
            <w:tcW w:w="0" w:type="auto"/>
            <w:tcBorders>
              <w:top w:val="nil"/>
              <w:bottom w:val="nil"/>
            </w:tcBorders>
          </w:tcPr>
          <w:p w14:paraId="623C702F">
            <w:pPr>
              <w:spacing w:line="240" w:lineRule="auto"/>
              <w:ind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A  university</w:t>
            </w:r>
          </w:p>
        </w:tc>
        <w:tc>
          <w:tcPr>
            <w:tcW w:w="0" w:type="auto"/>
            <w:tcBorders>
              <w:top w:val="nil"/>
              <w:bottom w:val="nil"/>
            </w:tcBorders>
            <w:vAlign w:val="top"/>
          </w:tcPr>
          <w:p w14:paraId="59BC4F6B">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w:t>
            </w:r>
          </w:p>
        </w:tc>
      </w:tr>
      <w:tr w14:paraId="23D3076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0" w:type="auto"/>
            <w:tcBorders>
              <w:top w:val="nil"/>
              <w:bottom w:val="nil"/>
            </w:tcBorders>
          </w:tcPr>
          <w:p w14:paraId="1FED484F">
            <w:pPr>
              <w:spacing w:line="240" w:lineRule="auto"/>
              <w:ind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staff,</w:t>
            </w:r>
          </w:p>
        </w:tc>
        <w:tc>
          <w:tcPr>
            <w:tcW w:w="0" w:type="auto"/>
            <w:tcBorders>
              <w:top w:val="nil"/>
              <w:bottom w:val="nil"/>
            </w:tcBorders>
          </w:tcPr>
          <w:p w14:paraId="4CF46021">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Municipal Center for Disease Control and Prevention</w:t>
            </w:r>
          </w:p>
        </w:tc>
        <w:tc>
          <w:tcPr>
            <w:tcW w:w="0" w:type="auto"/>
            <w:tcBorders>
              <w:top w:val="nil"/>
              <w:bottom w:val="nil"/>
            </w:tcBorders>
            <w:vAlign w:val="top"/>
          </w:tcPr>
          <w:p w14:paraId="4B361E97">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w:t>
            </w:r>
          </w:p>
        </w:tc>
        <w:tc>
          <w:tcPr>
            <w:tcW w:w="0" w:type="auto"/>
            <w:tcBorders>
              <w:top w:val="nil"/>
              <w:bottom w:val="nil"/>
            </w:tcBorders>
          </w:tcPr>
          <w:p w14:paraId="73F9BEA5">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The affected student 1</w:t>
            </w:r>
          </w:p>
        </w:tc>
        <w:tc>
          <w:tcPr>
            <w:tcW w:w="0" w:type="auto"/>
            <w:tcBorders>
              <w:top w:val="nil"/>
              <w:bottom w:val="nil"/>
            </w:tcBorders>
          </w:tcPr>
          <w:p w14:paraId="3A0677FE">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B  university</w:t>
            </w:r>
          </w:p>
        </w:tc>
        <w:tc>
          <w:tcPr>
            <w:tcW w:w="0" w:type="auto"/>
            <w:tcBorders>
              <w:top w:val="nil"/>
              <w:bottom w:val="nil"/>
            </w:tcBorders>
            <w:vAlign w:val="top"/>
          </w:tcPr>
          <w:p w14:paraId="0BB32E84">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w:t>
            </w:r>
          </w:p>
        </w:tc>
      </w:tr>
      <w:tr w14:paraId="0D45A4E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0" w:type="auto"/>
            <w:tcBorders>
              <w:top w:val="nil"/>
              <w:bottom w:val="single" w:color="auto" w:sz="6" w:space="0"/>
            </w:tcBorders>
          </w:tcPr>
          <w:p w14:paraId="09A36799">
            <w:pPr>
              <w:spacing w:line="240" w:lineRule="auto"/>
              <w:ind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staff,</w:t>
            </w:r>
          </w:p>
        </w:tc>
        <w:tc>
          <w:tcPr>
            <w:tcW w:w="0" w:type="auto"/>
            <w:tcBorders>
              <w:top w:val="nil"/>
              <w:bottom w:val="single" w:color="auto" w:sz="6" w:space="0"/>
            </w:tcBorders>
          </w:tcPr>
          <w:p w14:paraId="57B48D87">
            <w:pPr>
              <w:spacing w:line="240" w:lineRule="auto"/>
              <w:ind w:firstLine="0" w:firstLineChars="0"/>
              <w:jc w:val="left"/>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District Center for Disease Control and Prevention</w:t>
            </w:r>
          </w:p>
        </w:tc>
        <w:tc>
          <w:tcPr>
            <w:tcW w:w="0" w:type="auto"/>
            <w:tcBorders>
              <w:top w:val="nil"/>
              <w:bottom w:val="single" w:color="auto" w:sz="6" w:space="0"/>
            </w:tcBorders>
            <w:vAlign w:val="top"/>
          </w:tcPr>
          <w:p w14:paraId="7FE8B2D2">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5</w:t>
            </w:r>
          </w:p>
        </w:tc>
        <w:tc>
          <w:tcPr>
            <w:tcW w:w="0" w:type="auto"/>
            <w:tcBorders>
              <w:top w:val="nil"/>
              <w:bottom w:val="single" w:color="auto" w:sz="6" w:space="0"/>
            </w:tcBorders>
          </w:tcPr>
          <w:p w14:paraId="21BACCA4">
            <w:pPr>
              <w:spacing w:line="240" w:lineRule="auto"/>
              <w:ind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The affected student 2</w:t>
            </w:r>
          </w:p>
        </w:tc>
        <w:tc>
          <w:tcPr>
            <w:tcW w:w="0" w:type="auto"/>
            <w:tcBorders>
              <w:top w:val="nil"/>
              <w:bottom w:val="single" w:color="auto" w:sz="6" w:space="0"/>
            </w:tcBorders>
          </w:tcPr>
          <w:p w14:paraId="18B38D4D">
            <w:pPr>
              <w:spacing w:line="240" w:lineRule="auto"/>
              <w:ind w:firstLine="0" w:firstLineChars="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C  university</w:t>
            </w:r>
          </w:p>
        </w:tc>
        <w:tc>
          <w:tcPr>
            <w:tcW w:w="0" w:type="auto"/>
            <w:tcBorders>
              <w:top w:val="nil"/>
              <w:bottom w:val="single" w:color="auto" w:sz="6" w:space="0"/>
            </w:tcBorders>
            <w:vAlign w:val="top"/>
          </w:tcPr>
          <w:p w14:paraId="6B1DE1E3">
            <w:pPr>
              <w:spacing w:line="240" w:lineRule="auto"/>
              <w:ind w:firstLine="0" w:firstLineChars="0"/>
              <w:jc w:val="center"/>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w:t>
            </w:r>
          </w:p>
        </w:tc>
      </w:tr>
    </w:tbl>
    <w:p w14:paraId="6258A270">
      <w:pPr>
        <w:jc w:val="left"/>
        <w:outlineLvl w:val="0"/>
        <w:rPr>
          <w:rFonts w:hint="eastAsia" w:ascii="Times New Roman" w:hAnsi="Times New Roman" w:cs="Times New Roman"/>
          <w:b/>
          <w:bCs/>
          <w:sz w:val="24"/>
          <w:szCs w:val="24"/>
          <w:lang/>
        </w:rPr>
      </w:pPr>
      <w:r>
        <w:rPr>
          <w:rFonts w:hint="eastAsia" w:ascii="Times New Roman" w:hAnsi="Times New Roman" w:cs="Times New Roman"/>
          <w:b/>
          <w:bCs/>
          <w:sz w:val="24"/>
          <w:szCs w:val="24"/>
          <w:lang/>
        </w:rPr>
        <w:t>2. Interview Guide</w:t>
      </w:r>
    </w:p>
    <w:p w14:paraId="67B871BB">
      <w:pPr>
        <w:jc w:val="left"/>
        <w:rPr>
          <w:rFonts w:hint="eastAsia" w:ascii="Times New Roman" w:hAnsi="Times New Roman" w:cs="Times New Roman"/>
          <w:sz w:val="24"/>
          <w:szCs w:val="24"/>
          <w:lang/>
        </w:rPr>
      </w:pPr>
      <w:r>
        <w:rPr>
          <w:rFonts w:hint="eastAsia" w:ascii="Times New Roman" w:hAnsi="Times New Roman" w:cs="Times New Roman"/>
          <w:sz w:val="24"/>
          <w:szCs w:val="24"/>
          <w:lang/>
        </w:rPr>
        <w:t>The framework focused on four broad questions aimed at generating detailed, narrative replies regarding the comprehensive process of tuberculosis prevention and control at the university level, as outlined in Table 2.</w:t>
      </w:r>
    </w:p>
    <w:p w14:paraId="3400B54E">
      <w:pPr>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Table 2. Interview guide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
        <w:gridCol w:w="4698"/>
        <w:gridCol w:w="3488"/>
      </w:tblGrid>
      <w:tr w14:paraId="14C2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0" w:type="auto"/>
            <w:tcBorders>
              <w:top w:val="single" w:color="auto" w:sz="6" w:space="0"/>
              <w:left w:val="nil"/>
              <w:bottom w:val="single" w:color="auto" w:sz="6" w:space="0"/>
              <w:right w:val="nil"/>
            </w:tcBorders>
          </w:tcPr>
          <w:p w14:paraId="11CEE649">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op w:val="single" w:color="auto" w:sz="6" w:space="0"/>
              <w:left w:val="nil"/>
              <w:bottom w:val="single" w:color="auto" w:sz="6" w:space="0"/>
              <w:right w:val="nil"/>
            </w:tcBorders>
          </w:tcPr>
          <w:p w14:paraId="3CA1FA54">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Core Question</w:t>
            </w:r>
          </w:p>
        </w:tc>
        <w:tc>
          <w:tcPr>
            <w:tcW w:w="0" w:type="auto"/>
            <w:tcBorders>
              <w:top w:val="single" w:color="auto" w:sz="6" w:space="0"/>
              <w:left w:val="nil"/>
              <w:bottom w:val="single" w:color="auto" w:sz="6" w:space="0"/>
              <w:right w:val="nil"/>
            </w:tcBorders>
          </w:tcPr>
          <w:p w14:paraId="2C0755D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Targeted Information Domain </w:t>
            </w:r>
          </w:p>
        </w:tc>
      </w:tr>
      <w:tr w14:paraId="0767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6" w:space="0"/>
              <w:left w:val="nil"/>
              <w:bottom w:val="nil"/>
              <w:right w:val="nil"/>
            </w:tcBorders>
          </w:tcPr>
          <w:p w14:paraId="22C7B95B">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1</w:t>
            </w:r>
          </w:p>
        </w:tc>
        <w:tc>
          <w:tcPr>
            <w:tcW w:w="0" w:type="auto"/>
            <w:tcBorders>
              <w:top w:val="single" w:color="auto" w:sz="6" w:space="0"/>
              <w:left w:val="nil"/>
              <w:bottom w:val="nil"/>
              <w:right w:val="nil"/>
            </w:tcBorders>
          </w:tcPr>
          <w:p w14:paraId="329A2352">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What routine work have you been doing regarding TB prevention and control in universities? </w:t>
            </w:r>
          </w:p>
        </w:tc>
        <w:tc>
          <w:tcPr>
            <w:tcW w:w="0" w:type="auto"/>
            <w:tcBorders>
              <w:top w:val="single" w:color="auto" w:sz="6" w:space="0"/>
              <w:left w:val="nil"/>
              <w:bottom w:val="nil"/>
              <w:right w:val="nil"/>
            </w:tcBorders>
          </w:tcPr>
          <w:p w14:paraId="3571D25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Institutional roles, standard procedures, and baseline engagement</w:t>
            </w:r>
          </w:p>
        </w:tc>
      </w:tr>
      <w:tr w14:paraId="4794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7F5F7E1">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w:t>
            </w:r>
          </w:p>
        </w:tc>
        <w:tc>
          <w:tcPr>
            <w:tcW w:w="0" w:type="auto"/>
            <w:tcBorders>
              <w:top w:val="nil"/>
              <w:left w:val="nil"/>
              <w:bottom w:val="nil"/>
              <w:right w:val="nil"/>
            </w:tcBorders>
          </w:tcPr>
          <w:p w14:paraId="310AD942">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Have there been any TB cases in universities in recent years? If so, what control measures were taken? </w:t>
            </w:r>
          </w:p>
        </w:tc>
        <w:tc>
          <w:tcPr>
            <w:tcW w:w="0" w:type="auto"/>
            <w:tcBorders>
              <w:top w:val="nil"/>
              <w:left w:val="nil"/>
              <w:bottom w:val="nil"/>
              <w:right w:val="nil"/>
            </w:tcBorders>
          </w:tcPr>
          <w:p w14:paraId="53B860F0">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Case detection, outbreak response, and inter-organizational coordination</w:t>
            </w:r>
          </w:p>
        </w:tc>
      </w:tr>
      <w:tr w14:paraId="7B41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98FB469">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3</w:t>
            </w:r>
          </w:p>
        </w:tc>
        <w:tc>
          <w:tcPr>
            <w:tcW w:w="0" w:type="auto"/>
            <w:tcBorders>
              <w:top w:val="nil"/>
              <w:left w:val="nil"/>
              <w:bottom w:val="nil"/>
              <w:right w:val="nil"/>
            </w:tcBorders>
          </w:tcPr>
          <w:p w14:paraId="096B489D">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What specific challenges have you encountered when advancing TB prevention and control in universities? </w:t>
            </w:r>
          </w:p>
        </w:tc>
        <w:tc>
          <w:tcPr>
            <w:tcW w:w="0" w:type="auto"/>
            <w:tcBorders>
              <w:top w:val="nil"/>
              <w:left w:val="nil"/>
              <w:bottom w:val="nil"/>
              <w:right w:val="nil"/>
            </w:tcBorders>
          </w:tcPr>
          <w:p w14:paraId="7D007EE4">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Barriers, resource constraints, and systemic obstacles</w:t>
            </w:r>
          </w:p>
        </w:tc>
      </w:tr>
      <w:tr w14:paraId="707F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6" w:space="0"/>
              <w:right w:val="nil"/>
            </w:tcBorders>
          </w:tcPr>
          <w:p w14:paraId="27E0891B">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4</w:t>
            </w:r>
          </w:p>
        </w:tc>
        <w:tc>
          <w:tcPr>
            <w:tcW w:w="0" w:type="auto"/>
            <w:tcBorders>
              <w:top w:val="nil"/>
              <w:left w:val="nil"/>
              <w:bottom w:val="single" w:color="auto" w:sz="6" w:space="0"/>
              <w:right w:val="nil"/>
            </w:tcBorders>
          </w:tcPr>
          <w:p w14:paraId="03E025B2">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How would you evaluate the overall effectiveness of university TB control in your region? What aspects need further improvement? </w:t>
            </w:r>
          </w:p>
        </w:tc>
        <w:tc>
          <w:tcPr>
            <w:tcW w:w="0" w:type="auto"/>
            <w:tcBorders>
              <w:top w:val="nil"/>
              <w:left w:val="nil"/>
              <w:bottom w:val="single" w:color="auto" w:sz="6" w:space="0"/>
              <w:right w:val="nil"/>
            </w:tcBorders>
          </w:tcPr>
          <w:p w14:paraId="5079559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Perceived effectiveness, existing gaps, and suggestions for improvement</w:t>
            </w:r>
          </w:p>
        </w:tc>
      </w:tr>
    </w:tbl>
    <w:p w14:paraId="7D0F07AA">
      <w:pPr>
        <w:jc w:val="left"/>
        <w:rPr>
          <w:rFonts w:hint="eastAsia" w:ascii="Times New Roman" w:hAnsi="Times New Roman" w:cs="Times New Roman"/>
          <w:sz w:val="24"/>
          <w:szCs w:val="24"/>
          <w:lang/>
        </w:rPr>
      </w:pPr>
      <w:r>
        <w:rPr>
          <w:rFonts w:hint="eastAsia" w:ascii="Times New Roman" w:hAnsi="Times New Roman" w:cs="Times New Roman"/>
          <w:sz w:val="24"/>
          <w:szCs w:val="24"/>
          <w:lang/>
        </w:rPr>
        <w:t>The initial interviews took place in Chinese. This English translation faithfully conveys the intended significance of the four main questions. In the course of the interviews, specific follow-up inquiries were adaptively employed according to the responses of each participant, allowing for a flexible flow and length of conversation.</w:t>
      </w:r>
    </w:p>
    <w:p w14:paraId="7169A460">
      <w:pPr>
        <w:jc w:val="left"/>
        <w:outlineLvl w:val="0"/>
        <w:rPr>
          <w:rFonts w:hint="eastAsia" w:ascii="Times New Roman" w:hAnsi="Times New Roman" w:cs="Times New Roman"/>
          <w:b/>
          <w:bCs/>
          <w:sz w:val="24"/>
          <w:szCs w:val="24"/>
          <w:lang/>
        </w:rPr>
      </w:pPr>
      <w:r>
        <w:rPr>
          <w:rFonts w:hint="eastAsia" w:ascii="Times New Roman" w:hAnsi="Times New Roman" w:cs="Times New Roman"/>
          <w:b/>
          <w:bCs/>
          <w:sz w:val="24"/>
          <w:szCs w:val="24"/>
          <w:lang/>
        </w:rPr>
        <w:t>3. Illustration of the Grounded Theory Coding Pathway</w:t>
      </w:r>
    </w:p>
    <w:p w14:paraId="45A63324">
      <w:pPr>
        <w:jc w:val="left"/>
        <w:rPr>
          <w:rFonts w:hint="eastAsia" w:ascii="Times New Roman" w:hAnsi="Times New Roman" w:cs="Times New Roman"/>
          <w:sz w:val="24"/>
          <w:szCs w:val="24"/>
          <w:lang/>
        </w:rPr>
      </w:pPr>
      <w:r>
        <w:rPr>
          <w:rFonts w:hint="eastAsia" w:ascii="Times New Roman" w:hAnsi="Times New Roman" w:cs="Times New Roman"/>
          <w:sz w:val="24"/>
          <w:szCs w:val="24"/>
          <w:lang/>
        </w:rPr>
        <w:t>To illustrate the thoroughness and clarity in the conversion of interview data into the recognized institutional dilemmas, we present an example of the three-phase coding procedure outlined below. This approach exemplifies the constant comparison technique utilized throughout all 14 interview transcripts, resulting in a textual body of around 200,000 Chinese characters. The creation of the guide and the ensuing three-tier coding process (open, axial, selective) were developed in an iterative manner. Preliminary sensitizing concepts were derived from the WHO End TB Strategy, the national TB control guidelines of China, and literature on organizational readiness.</w:t>
      </w:r>
    </w:p>
    <w:p w14:paraId="31488102">
      <w:pPr>
        <w:jc w:val="left"/>
        <w:rPr>
          <w:rFonts w:hint="eastAsia" w:ascii="Times New Roman" w:hAnsi="Times New Roman" w:cs="Times New Roman"/>
          <w:sz w:val="24"/>
          <w:szCs w:val="24"/>
          <w:lang/>
        </w:rPr>
      </w:pPr>
      <w:r>
        <w:rPr>
          <w:rFonts w:hint="eastAsia" w:ascii="Times New Roman" w:hAnsi="Times New Roman" w:cs="Times New Roman"/>
          <w:sz w:val="24"/>
          <w:szCs w:val="24"/>
          <w:lang/>
        </w:rPr>
        <w:t>Utilizing a three-phase grounded theory coding approach—comprising open, axial, and selective coding—alongside ongoing comparison, a conceptual model highlighting the elements that affect the success of tuberculosis (TB) prevention and management in academic institutions was developed. As outlined in Table 3, this analytical method produced 26 preliminary concepts, 10 categories, and 6 axial categories, which were later consolidated into 3 primary dimensions. The final framework, illustrated in Figure 1, identifies three institutional-level dimensions that collectively influence the effectiveness of TB control: (1) Social Environment, (2) Mechanisms for TB Prevention and Control in Universities, and (3) System for Managing Infectious Diseases.</w:t>
      </w:r>
    </w:p>
    <w:p w14:paraId="499376CB">
      <w:pPr>
        <w:jc w:val="left"/>
        <w:rPr>
          <w:rFonts w:ascii="Times New Roman" w:hAnsi="宋体" w:eastAsia="宋体" w:cs="Times New Roman"/>
          <w:kern w:val="0"/>
          <w:sz w:val="24"/>
          <w:szCs w:val="20"/>
          <w:lang/>
        </w:rPr>
      </w:pPr>
      <w:r>
        <w:rPr>
          <w:rFonts w:hint="eastAsia" w:ascii="Times New Roman" w:hAnsi="Times New Roman" w:eastAsia="宋体" w:cs="Times New Roman"/>
          <w:kern w:val="2"/>
          <w:sz w:val="24"/>
          <w:szCs w:val="24"/>
          <w:lang w:val="en-US" w:eastAsia="zh-CN" w:bidi="ar-SA"/>
        </w:rPr>
        <w:t>Table 3. Coding process of institutional-level factors affecting tuberculosis control efficacy in universities</w:t>
      </w:r>
    </w:p>
    <w:tbl>
      <w:tblPr>
        <w:tblStyle w:val="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57"/>
        <w:gridCol w:w="2252"/>
        <w:gridCol w:w="2274"/>
        <w:gridCol w:w="2439"/>
      </w:tblGrid>
      <w:tr w14:paraId="5A5396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op w:val="single" w:color="auto" w:sz="6" w:space="0"/>
              <w:bottom w:val="single" w:color="auto" w:sz="6" w:space="0"/>
            </w:tcBorders>
            <w:vAlign w:val="center"/>
          </w:tcPr>
          <w:p w14:paraId="28D8643B">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Selective coding</w:t>
            </w:r>
          </w:p>
        </w:tc>
        <w:tc>
          <w:tcPr>
            <w:tcW w:w="0" w:type="auto"/>
            <w:vMerge w:val="restart"/>
            <w:tcBorders>
              <w:top w:val="single" w:color="auto" w:sz="6" w:space="0"/>
              <w:bottom w:val="single" w:color="auto" w:sz="6" w:space="0"/>
            </w:tcBorders>
            <w:vAlign w:val="center"/>
          </w:tcPr>
          <w:p w14:paraId="7E1FD670">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Axial coding</w:t>
            </w:r>
          </w:p>
        </w:tc>
        <w:tc>
          <w:tcPr>
            <w:tcW w:w="0" w:type="auto"/>
            <w:gridSpan w:val="2"/>
            <w:tcBorders>
              <w:top w:val="single" w:color="auto" w:sz="6" w:space="0"/>
              <w:bottom w:val="single" w:color="auto" w:sz="6" w:space="0"/>
            </w:tcBorders>
          </w:tcPr>
          <w:p w14:paraId="02FEE3C9">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Open coding</w:t>
            </w:r>
          </w:p>
        </w:tc>
      </w:tr>
      <w:tr w14:paraId="41E9BC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top w:val="single" w:color="auto" w:sz="6" w:space="0"/>
              <w:bottom w:val="single" w:color="auto" w:sz="6" w:space="0"/>
            </w:tcBorders>
          </w:tcPr>
          <w:p w14:paraId="17E42619">
            <w:pPr>
              <w:jc w:val="left"/>
              <w:rPr>
                <w:rFonts w:hint="eastAsia" w:ascii="Times New Roman" w:hAnsi="Times New Roman" w:eastAsia="宋体" w:cs="Times New Roman"/>
                <w:kern w:val="2"/>
                <w:sz w:val="24"/>
                <w:szCs w:val="24"/>
                <w:vertAlign w:val="baseline"/>
                <w:lang w:val="en-US" w:eastAsia="zh-CN" w:bidi="ar-SA"/>
              </w:rPr>
            </w:pPr>
          </w:p>
        </w:tc>
        <w:tc>
          <w:tcPr>
            <w:tcW w:w="0" w:type="auto"/>
            <w:vMerge w:val="continue"/>
            <w:tcBorders>
              <w:top w:val="single" w:color="auto" w:sz="6" w:space="0"/>
              <w:bottom w:val="single" w:color="auto" w:sz="6" w:space="0"/>
            </w:tcBorders>
          </w:tcPr>
          <w:p w14:paraId="754745D7">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op w:val="single" w:color="auto" w:sz="6" w:space="0"/>
              <w:bottom w:val="single" w:color="auto" w:sz="6" w:space="0"/>
            </w:tcBorders>
          </w:tcPr>
          <w:p w14:paraId="71C044B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Category</w:t>
            </w:r>
          </w:p>
        </w:tc>
        <w:tc>
          <w:tcPr>
            <w:tcW w:w="0" w:type="auto"/>
            <w:tcBorders>
              <w:top w:val="single" w:color="auto" w:sz="6" w:space="0"/>
              <w:bottom w:val="single" w:color="auto" w:sz="6" w:space="0"/>
            </w:tcBorders>
          </w:tcPr>
          <w:p w14:paraId="7DD53945">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Concept</w:t>
            </w:r>
          </w:p>
        </w:tc>
      </w:tr>
      <w:tr w14:paraId="2BDF14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op w:val="single" w:color="auto" w:sz="6" w:space="0"/>
              <w:tl2br w:val="nil"/>
              <w:tr2bl w:val="nil"/>
            </w:tcBorders>
          </w:tcPr>
          <w:p w14:paraId="6E70D29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Social environment</w:t>
            </w:r>
          </w:p>
        </w:tc>
        <w:tc>
          <w:tcPr>
            <w:tcW w:w="0" w:type="auto"/>
            <w:vMerge w:val="restart"/>
            <w:tcBorders>
              <w:top w:val="single" w:color="auto" w:sz="6" w:space="0"/>
              <w:tl2br w:val="nil"/>
              <w:tr2bl w:val="nil"/>
            </w:tcBorders>
          </w:tcPr>
          <w:p w14:paraId="1FC1CD3D">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Social and Ideological Perceptions</w:t>
            </w:r>
          </w:p>
        </w:tc>
        <w:tc>
          <w:tcPr>
            <w:tcW w:w="0" w:type="auto"/>
            <w:tcBorders>
              <w:top w:val="single" w:color="auto" w:sz="6" w:space="0"/>
              <w:tl2br w:val="nil"/>
              <w:tr2bl w:val="nil"/>
            </w:tcBorders>
          </w:tcPr>
          <w:p w14:paraId="694D4308">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Low awareness in TB prevention and control </w:t>
            </w:r>
          </w:p>
        </w:tc>
        <w:tc>
          <w:tcPr>
            <w:tcW w:w="0" w:type="auto"/>
            <w:tcBorders>
              <w:top w:val="single" w:color="auto" w:sz="6" w:space="0"/>
              <w:tl2br w:val="nil"/>
              <w:tr2bl w:val="nil"/>
            </w:tcBorders>
          </w:tcPr>
          <w:p w14:paraId="44E36F1B">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Refers to the level of TB knowledge and perceived importance among key stakeholders in school TB control, including school administrators, school physicians, clinicians, parents, and students.</w:t>
            </w:r>
          </w:p>
        </w:tc>
      </w:tr>
      <w:tr w14:paraId="093254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tl2br w:val="nil"/>
              <w:tr2bl w:val="nil"/>
            </w:tcBorders>
          </w:tcPr>
          <w:p w14:paraId="3C12334A">
            <w:pPr>
              <w:jc w:val="left"/>
              <w:rPr>
                <w:rFonts w:hint="eastAsia" w:ascii="Times New Roman" w:hAnsi="Times New Roman" w:eastAsia="宋体" w:cs="Times New Roman"/>
                <w:kern w:val="2"/>
                <w:sz w:val="24"/>
                <w:szCs w:val="24"/>
                <w:vertAlign w:val="baseline"/>
                <w:lang w:val="en-US" w:eastAsia="zh-CN" w:bidi="ar-SA"/>
              </w:rPr>
            </w:pPr>
          </w:p>
        </w:tc>
        <w:tc>
          <w:tcPr>
            <w:tcW w:w="0" w:type="auto"/>
            <w:vMerge w:val="continue"/>
            <w:tcBorders>
              <w:tl2br w:val="nil"/>
              <w:tr2bl w:val="nil"/>
            </w:tcBorders>
          </w:tcPr>
          <w:p w14:paraId="29ECD59B">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l2br w:val="nil"/>
              <w:tr2bl w:val="nil"/>
            </w:tcBorders>
          </w:tcPr>
          <w:p w14:paraId="4599652D">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TB-related stigmatization</w:t>
            </w:r>
          </w:p>
        </w:tc>
        <w:tc>
          <w:tcPr>
            <w:tcW w:w="0" w:type="auto"/>
            <w:tcBorders>
              <w:tl2br w:val="nil"/>
              <w:tr2bl w:val="nil"/>
            </w:tcBorders>
          </w:tcPr>
          <w:p w14:paraId="565BF7DF">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Refers to negative attitudes and resistance arising from the distinctive characteristics of TB, encompassing both external and internal stigma, which may lead to reluctance toward screening and social discrimination.</w:t>
            </w:r>
          </w:p>
        </w:tc>
      </w:tr>
      <w:tr w14:paraId="1A2624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tl2br w:val="nil"/>
              <w:tr2bl w:val="nil"/>
            </w:tcBorders>
          </w:tcPr>
          <w:p w14:paraId="19D3ED25">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l2br w:val="nil"/>
              <w:tr2bl w:val="nil"/>
            </w:tcBorders>
          </w:tcPr>
          <w:p w14:paraId="218B281C">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The environment of preventive treatment</w:t>
            </w:r>
          </w:p>
          <w:p w14:paraId="4FEB880D">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l2br w:val="nil"/>
              <w:tr2bl w:val="nil"/>
            </w:tcBorders>
          </w:tcPr>
          <w:p w14:paraId="33BF040C">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Deficits in preventive treatment for latent TB infection (LTBI)</w:t>
            </w:r>
          </w:p>
        </w:tc>
        <w:tc>
          <w:tcPr>
            <w:tcW w:w="0" w:type="auto"/>
            <w:tcBorders>
              <w:tl2br w:val="nil"/>
              <w:tr2bl w:val="nil"/>
            </w:tcBorders>
          </w:tcPr>
          <w:p w14:paraId="1D1DBBD2">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Addresses the inadequate provision of preventive treatment for individuals with latent TB infection who are at elevated risk of progression to active disease.</w:t>
            </w:r>
          </w:p>
        </w:tc>
      </w:tr>
      <w:tr w14:paraId="2EF8BA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l2br w:val="nil"/>
              <w:tr2bl w:val="nil"/>
            </w:tcBorders>
          </w:tcPr>
          <w:p w14:paraId="6CC1E1AE">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Institutional TB prevention and control mechanism</w:t>
            </w:r>
          </w:p>
        </w:tc>
        <w:tc>
          <w:tcPr>
            <w:tcW w:w="0" w:type="auto"/>
            <w:vMerge w:val="restart"/>
            <w:tcBorders>
              <w:tl2br w:val="nil"/>
              <w:tr2bl w:val="nil"/>
            </w:tcBorders>
          </w:tcPr>
          <w:p w14:paraId="5B1EBD96">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School Management</w:t>
            </w:r>
          </w:p>
        </w:tc>
        <w:tc>
          <w:tcPr>
            <w:tcW w:w="0" w:type="auto"/>
            <w:tcBorders>
              <w:tl2br w:val="nil"/>
              <w:tr2bl w:val="nil"/>
            </w:tcBorders>
          </w:tcPr>
          <w:p w14:paraId="55695C3F">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Difficulties in student management</w:t>
            </w:r>
          </w:p>
        </w:tc>
        <w:tc>
          <w:tcPr>
            <w:tcW w:w="0" w:type="auto"/>
            <w:tcBorders>
              <w:tl2br w:val="nil"/>
              <w:tr2bl w:val="nil"/>
            </w:tcBorders>
          </w:tcPr>
          <w:p w14:paraId="17221530">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Pertains to challenges faced by schools, CDCs, and relevant authorities in screening and managing newly enrolled students, returning students, international students, and close contacts, as well as supervising and following up on diagnosed students.</w:t>
            </w:r>
          </w:p>
        </w:tc>
      </w:tr>
      <w:tr w14:paraId="066470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tl2br w:val="nil"/>
              <w:tr2bl w:val="nil"/>
            </w:tcBorders>
          </w:tcPr>
          <w:p w14:paraId="06F1873C">
            <w:pPr>
              <w:jc w:val="left"/>
              <w:rPr>
                <w:rFonts w:hint="eastAsia" w:ascii="Times New Roman" w:hAnsi="Times New Roman" w:eastAsia="宋体" w:cs="Times New Roman"/>
                <w:kern w:val="2"/>
                <w:sz w:val="24"/>
                <w:szCs w:val="24"/>
                <w:vertAlign w:val="baseline"/>
                <w:lang w:val="en-US" w:eastAsia="zh-CN" w:bidi="ar-SA"/>
              </w:rPr>
            </w:pPr>
          </w:p>
        </w:tc>
        <w:tc>
          <w:tcPr>
            <w:tcW w:w="0" w:type="auto"/>
            <w:vMerge w:val="continue"/>
            <w:tcBorders>
              <w:tl2br w:val="nil"/>
              <w:tr2bl w:val="nil"/>
            </w:tcBorders>
          </w:tcPr>
          <w:p w14:paraId="2CEEE703">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l2br w:val="nil"/>
              <w:tr2bl w:val="nil"/>
            </w:tcBorders>
          </w:tcPr>
          <w:p w14:paraId="1B43B56E">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Difficulties in teacher management</w:t>
            </w:r>
          </w:p>
        </w:tc>
        <w:tc>
          <w:tcPr>
            <w:tcW w:w="0" w:type="auto"/>
            <w:tcBorders>
              <w:tl2br w:val="nil"/>
              <w:tr2bl w:val="nil"/>
            </w:tcBorders>
          </w:tcPr>
          <w:p w14:paraId="0AE612E8">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Concerns the challenges encountered by schools, CDCs, and related bodies in managing teachers who are diagnosed with TB or are close contacts of TB cases.</w:t>
            </w:r>
          </w:p>
        </w:tc>
      </w:tr>
      <w:tr w14:paraId="33DB40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tl2br w:val="nil"/>
              <w:tr2bl w:val="nil"/>
            </w:tcBorders>
          </w:tcPr>
          <w:p w14:paraId="104AA328">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tl2br w:val="nil"/>
              <w:tr2bl w:val="nil"/>
            </w:tcBorders>
          </w:tcPr>
          <w:p w14:paraId="4264970C">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Health Education</w:t>
            </w:r>
          </w:p>
        </w:tc>
        <w:tc>
          <w:tcPr>
            <w:tcW w:w="0" w:type="auto"/>
            <w:tcBorders>
              <w:tl2br w:val="nil"/>
              <w:tr2bl w:val="nil"/>
            </w:tcBorders>
          </w:tcPr>
          <w:p w14:paraId="120C2BC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Deficits in TB health education</w:t>
            </w:r>
          </w:p>
        </w:tc>
        <w:tc>
          <w:tcPr>
            <w:tcW w:w="0" w:type="auto"/>
            <w:tcBorders>
              <w:tl2br w:val="nil"/>
              <w:tr2bl w:val="nil"/>
            </w:tcBorders>
          </w:tcPr>
          <w:p w14:paraId="5B2CCF1E">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Refers to the lack of effective information dissemination and behavioral guidance aimed at equipping students with knowledge of TB prevention methods and strengthening their awareness of control measures.</w:t>
            </w:r>
          </w:p>
        </w:tc>
      </w:tr>
      <w:tr w14:paraId="680142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restart"/>
          </w:tcPr>
          <w:p w14:paraId="63DD0F62">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The infectious disease management system</w:t>
            </w:r>
          </w:p>
        </w:tc>
        <w:tc>
          <w:tcPr>
            <w:tcW w:w="0" w:type="auto"/>
            <w:vMerge w:val="restart"/>
          </w:tcPr>
          <w:p w14:paraId="72E82329">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Policy and Financial Support</w:t>
            </w:r>
          </w:p>
        </w:tc>
        <w:tc>
          <w:tcPr>
            <w:tcW w:w="0" w:type="auto"/>
            <w:shd w:val="clear" w:color="auto" w:fill="auto"/>
            <w:vAlign w:val="top"/>
          </w:tcPr>
          <w:p w14:paraId="70DC6C4A">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Inadequate policy and regulatory frameworks</w:t>
            </w:r>
          </w:p>
        </w:tc>
        <w:tc>
          <w:tcPr>
            <w:tcW w:w="0" w:type="auto"/>
          </w:tcPr>
          <w:p w14:paraId="01FE06A3">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Denotes the absence or insufficiency of policies and regulations that critically influence or determine the effectiveness of school-based TB control efforts.</w:t>
            </w:r>
          </w:p>
        </w:tc>
      </w:tr>
      <w:tr w14:paraId="06376EC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Pr>
          <w:p w14:paraId="27372E3D">
            <w:pPr>
              <w:jc w:val="left"/>
              <w:rPr>
                <w:rFonts w:hint="eastAsia" w:ascii="Times New Roman" w:hAnsi="Times New Roman" w:eastAsia="宋体" w:cs="Times New Roman"/>
                <w:kern w:val="2"/>
                <w:sz w:val="24"/>
                <w:szCs w:val="24"/>
                <w:vertAlign w:val="baseline"/>
                <w:lang w:val="en-US" w:eastAsia="zh-CN" w:bidi="ar-SA"/>
              </w:rPr>
            </w:pPr>
          </w:p>
        </w:tc>
        <w:tc>
          <w:tcPr>
            <w:tcW w:w="0" w:type="auto"/>
            <w:vMerge w:val="continue"/>
          </w:tcPr>
          <w:p w14:paraId="3E099B3D">
            <w:pPr>
              <w:jc w:val="left"/>
              <w:rPr>
                <w:rFonts w:hint="eastAsia" w:ascii="Times New Roman" w:hAnsi="Times New Roman" w:eastAsia="宋体" w:cs="Times New Roman"/>
                <w:kern w:val="2"/>
                <w:sz w:val="24"/>
                <w:szCs w:val="24"/>
                <w:vertAlign w:val="baseline"/>
                <w:lang w:val="en-US" w:eastAsia="zh-CN" w:bidi="ar-SA"/>
              </w:rPr>
            </w:pPr>
          </w:p>
        </w:tc>
        <w:tc>
          <w:tcPr>
            <w:tcW w:w="0" w:type="auto"/>
            <w:shd w:val="clear" w:color="auto" w:fill="auto"/>
            <w:vAlign w:val="top"/>
          </w:tcPr>
          <w:p w14:paraId="1317286D">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Insufficient funding guarantees</w:t>
            </w:r>
          </w:p>
        </w:tc>
        <w:tc>
          <w:tcPr>
            <w:tcW w:w="0" w:type="auto"/>
          </w:tcPr>
          <w:p w14:paraId="2225F480">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Relates to constraints in the amount and allocation of financial investment in school TB control by governments and schools, including disputes over funding sources and budget levels.</w:t>
            </w:r>
          </w:p>
        </w:tc>
      </w:tr>
      <w:tr w14:paraId="580BFE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bottom w:val="single" w:color="auto" w:sz="6" w:space="0"/>
            </w:tcBorders>
          </w:tcPr>
          <w:p w14:paraId="37068F62">
            <w:pPr>
              <w:jc w:val="left"/>
              <w:rPr>
                <w:rFonts w:hint="eastAsia" w:ascii="Times New Roman" w:hAnsi="Times New Roman" w:eastAsia="宋体" w:cs="Times New Roman"/>
                <w:kern w:val="2"/>
                <w:sz w:val="24"/>
                <w:szCs w:val="24"/>
                <w:vertAlign w:val="baseline"/>
                <w:lang w:val="en-US" w:eastAsia="zh-CN" w:bidi="ar-SA"/>
              </w:rPr>
            </w:pPr>
          </w:p>
        </w:tc>
        <w:tc>
          <w:tcPr>
            <w:tcW w:w="0" w:type="auto"/>
            <w:tcBorders>
              <w:bottom w:val="single" w:color="auto" w:sz="6" w:space="0"/>
            </w:tcBorders>
          </w:tcPr>
          <w:p w14:paraId="70D45B32">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The mechanisms of Cross-Departmental Collaboration </w:t>
            </w:r>
          </w:p>
        </w:tc>
        <w:tc>
          <w:tcPr>
            <w:tcW w:w="0" w:type="auto"/>
            <w:tcBorders>
              <w:bottom w:val="single" w:color="auto" w:sz="6" w:space="0"/>
            </w:tcBorders>
            <w:shd w:val="clear" w:color="auto" w:fill="auto"/>
            <w:vAlign w:val="top"/>
          </w:tcPr>
          <w:p w14:paraId="7A1B1CDA">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 xml:space="preserve">Deficits in Cross-Departmental Collaboration </w:t>
            </w:r>
          </w:p>
        </w:tc>
        <w:tc>
          <w:tcPr>
            <w:tcW w:w="0" w:type="auto"/>
            <w:tcBorders>
              <w:bottom w:val="single" w:color="auto" w:sz="6" w:space="0"/>
            </w:tcBorders>
          </w:tcPr>
          <w:p w14:paraId="7FE1E2DE">
            <w:pPr>
              <w:jc w:val="left"/>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Refers to the underdeveloped Collaboration mechanisms among schools, CDCs, and medical institutions, which impede the effective implementation of on‑campus TB control measures.</w:t>
            </w:r>
          </w:p>
        </w:tc>
      </w:tr>
    </w:tbl>
    <w:p w14:paraId="77A07A6F">
      <w:pPr>
        <w:jc w:val="left"/>
        <w:rPr>
          <w:rFonts w:hint="eastAsia" w:ascii="Times New Roman" w:hAnsi="Times New Roman" w:cs="Times New Roman"/>
          <w:sz w:val="24"/>
          <w:szCs w:val="24"/>
          <w:lang/>
        </w:rPr>
      </w:pPr>
    </w:p>
    <w:p w14:paraId="5D4384AB">
      <w:pPr>
        <w:jc w:val="left"/>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266690" cy="2962910"/>
            <wp:effectExtent l="0" t="0" r="635" b="8890"/>
            <wp:docPr id="1" name="图片 1" descr="演示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演示文稿1_01"/>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143C973C">
      <w:pPr>
        <w:jc w:val="left"/>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rPr>
        <w:t>Figure 1. A Conceptual Diagram of Institutional-Level Factors Influencing the Effectiveness of Tuberculosis Prevention and Control in Universities.</w:t>
      </w:r>
    </w:p>
    <w:sectPr>
      <w:pgSz w:w="11906" w:h="16838"/>
      <w:pgMar w:top="1440" w:right="1800" w:bottom="1440" w:left="1800"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6B903D"/>
    <w:multiLevelType w:val="singleLevel"/>
    <w:tmpl w:val="2F6B903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F0962"/>
    <w:rsid w:val="4ECF0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2026-07-03T06:24:00Z</dcterms:created>
  <dc:creator>Kwan</dc:creator>
  <cp:lastModifiedBy>WPS_1760844090</cp:lastModifiedBy>
  <dcterms:modified xsi:type="dcterms:W3CDTF">2026-07-03T07:08:22Z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86B67ED299784ACF966C13D803FF38E8_11</vt:lpwstr>
  </property>
  <property fmtid="{D5CDD505-2E9C-101B-9397-08002B2CF9AE}" pid="4" name="KSOTemplateDocerSaveRecord">
    <vt:lpwstr>eyJoZGlkIjoiZjhlNGExNTM4MmQ4MjE1YmUzYWQ2ZGQxMmVjMjBiN2IiLCJ1c2VySWQiOiIxNzU2NjMzNjk2In0=</vt:lpwstr>
  </property>
</Properties>
</file>