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A038BA">
      <w:pPr>
        <w:widowControl w:val="0"/>
        <w:kinsoku/>
        <w:autoSpaceDE/>
        <w:autoSpaceDN/>
        <w:adjustRightInd/>
        <w:snapToGrid/>
        <w:spacing w:before="312" w:beforeLines="100" w:line="360" w:lineRule="auto"/>
        <w:contextualSpacing/>
        <w:jc w:val="center"/>
        <w:textAlignment w:val="auto"/>
        <w:rPr>
          <w:rFonts w:ascii="Times New Roman" w:hAnsi="Times New Roman" w:cs="Times New Roman"/>
          <w:b/>
          <w:bCs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cs="Times New Roman"/>
          <w:b/>
          <w:bCs/>
          <w:snapToGrid/>
          <w:kern w:val="2"/>
          <w:sz w:val="32"/>
          <w:szCs w:val="32"/>
          <w:lang w:eastAsia="zh-CN"/>
        </w:rPr>
        <w:t>Long-term exposure to low concentrations of ambient benzene, genetic susceptibility and the risk of incident chronic obstructive pulmonary disease</w:t>
      </w:r>
    </w:p>
    <w:p w14:paraId="64B22FBB">
      <w:pPr>
        <w:widowControl w:val="0"/>
        <w:kinsoku/>
        <w:autoSpaceDE/>
        <w:autoSpaceDN/>
        <w:adjustRightInd/>
        <w:snapToGrid/>
        <w:spacing w:before="312" w:beforeLines="100" w:line="360" w:lineRule="auto"/>
        <w:contextualSpacing/>
        <w:jc w:val="center"/>
        <w:textAlignment w:val="auto"/>
        <w:rPr>
          <w:rFonts w:ascii="Times New Roman" w:hAnsi="Times New Roman" w:cs="Times New Roman"/>
          <w:b/>
          <w:bCs/>
          <w:snapToGrid/>
          <w:kern w:val="2"/>
          <w:sz w:val="32"/>
          <w:szCs w:val="32"/>
          <w:lang w:eastAsia="zh-CN"/>
        </w:rPr>
      </w:pPr>
    </w:p>
    <w:p w14:paraId="422AA7F3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Table S</w:t>
      </w:r>
      <w:r>
        <w:rPr>
          <w:rFonts w:hint="default" w:cs="Times New Roman"/>
          <w:b/>
          <w:sz w:val="20"/>
          <w:szCs w:val="20"/>
          <w:lang w:val="en-US"/>
        </w:rPr>
        <w:t>X</w:t>
      </w:r>
      <w:r>
        <w:rPr>
          <w:rFonts w:hint="eastAsia"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Details on categorical covariates included in this study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4040"/>
        <w:gridCol w:w="1804"/>
      </w:tblGrid>
      <w:tr w14:paraId="4118C3D1">
        <w:trPr>
          <w:jc w:val="center"/>
        </w:trPr>
        <w:tc>
          <w:tcPr>
            <w:tcW w:w="2678" w:type="dxa"/>
            <w:shd w:val="clear" w:color="auto" w:fill="AEAAAA" w:themeFill="background2" w:themeFillShade="BF"/>
            <w:vAlign w:val="top"/>
          </w:tcPr>
          <w:p w14:paraId="1E8697F9">
            <w:pPr>
              <w:rPr>
                <w:rFonts w:ascii="Times New Roman" w:hAnsi="Times New Roman" w:cs="Times New Roman" w:eastAsiaTheme="minorEastAsia"/>
                <w:snapToGrid w:val="0"/>
                <w:color w:val="000000"/>
                <w:kern w:val="0"/>
                <w:sz w:val="22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cs="Times New Roman"/>
                <w:bCs/>
                <w:sz w:val="22"/>
              </w:rPr>
              <w:t>C</w:t>
            </w:r>
            <w:r>
              <w:rPr>
                <w:rFonts w:ascii="Times New Roman" w:hAnsi="Times New Roman" w:cs="Times New Roman"/>
                <w:bCs/>
                <w:sz w:val="22"/>
              </w:rPr>
              <w:t xml:space="preserve">ategorical </w:t>
            </w:r>
            <w:r>
              <w:rPr>
                <w:rFonts w:hint="eastAsia" w:ascii="Times New Roman" w:hAnsi="Times New Roman" w:cs="Times New Roman"/>
                <w:bCs/>
                <w:sz w:val="22"/>
              </w:rPr>
              <w:t>C</w:t>
            </w:r>
            <w:r>
              <w:rPr>
                <w:rFonts w:ascii="Times New Roman" w:hAnsi="Times New Roman" w:cs="Times New Roman"/>
                <w:bCs/>
                <w:sz w:val="22"/>
              </w:rPr>
              <w:t>ovariates</w:t>
            </w:r>
          </w:p>
        </w:tc>
        <w:tc>
          <w:tcPr>
            <w:tcW w:w="0" w:type="auto"/>
          </w:tcPr>
          <w:p w14:paraId="6ACF3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B42EA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C08CF27">
        <w:trPr>
          <w:jc w:val="center"/>
        </w:trPr>
        <w:tc>
          <w:tcPr>
            <w:tcW w:w="2678" w:type="dxa"/>
            <w:shd w:val="clear" w:color="auto" w:fill="auto"/>
            <w:vAlign w:val="top"/>
          </w:tcPr>
          <w:p w14:paraId="6E1D0862">
            <w:pPr>
              <w:spacing w:line="480" w:lineRule="auto"/>
              <w:rPr>
                <w:rFonts w:hint="eastAsia" w:ascii="Times New Roman" w:hAnsi="Times New Roman" w:cs="Times New Roman" w:eastAsiaTheme="minorEastAsia"/>
                <w:snapToGrid w:val="0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2"/>
              </w:rPr>
              <w:t>Sex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88372A3">
            <w:pPr>
              <w:spacing w:line="480" w:lineRule="auto"/>
              <w:rPr>
                <w:rFonts w:ascii="Times New Roman" w:hAnsi="Times New Roman" w:cs="Times New Roman" w:eastAsiaTheme="minorEastAsia"/>
                <w:snapToGrid w:val="0"/>
                <w:color w:val="000000"/>
                <w:kern w:val="0"/>
                <w:sz w:val="22"/>
                <w:szCs w:val="21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2"/>
              </w:rPr>
              <w:t>Male/Female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5D1C896">
            <w:pPr>
              <w:spacing w:line="480" w:lineRule="auto"/>
              <w:rPr>
                <w:rFonts w:ascii="Times New Roman" w:hAnsi="Times New Roman" w:cs="Times New Roman" w:eastAsiaTheme="minorEastAsia"/>
                <w:snapToGrid w:val="0"/>
                <w:color w:val="000000"/>
                <w:kern w:val="0"/>
                <w:sz w:val="22"/>
                <w:szCs w:val="21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2"/>
              </w:rPr>
              <w:t>31</w:t>
            </w:r>
          </w:p>
        </w:tc>
      </w:tr>
      <w:tr w14:paraId="5D2F4D52">
        <w:trPr>
          <w:jc w:val="center"/>
        </w:trPr>
        <w:tc>
          <w:tcPr>
            <w:tcW w:w="2678" w:type="dxa"/>
            <w:shd w:val="clear" w:color="auto" w:fill="auto"/>
            <w:vAlign w:val="top"/>
          </w:tcPr>
          <w:p w14:paraId="0AF10054">
            <w:pPr>
              <w:spacing w:line="480" w:lineRule="auto"/>
              <w:rPr>
                <w:rFonts w:ascii="Times New Roman" w:hAnsi="Times New Roman" w:cs="Times New Roman" w:eastAsiaTheme="minorEastAsia"/>
                <w:snapToGrid w:val="0"/>
                <w:color w:val="000000"/>
                <w:kern w:val="0"/>
                <w:sz w:val="22"/>
                <w:szCs w:val="21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2"/>
              </w:rPr>
              <w:t>Ethnicity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6A85B82">
            <w:pPr>
              <w:spacing w:line="480" w:lineRule="auto"/>
              <w:rPr>
                <w:rFonts w:ascii="Times New Roman" w:hAnsi="Times New Roman" w:cs="Times New Roman" w:eastAsiaTheme="minorEastAsia"/>
                <w:snapToGrid w:val="0"/>
                <w:color w:val="000000"/>
                <w:kern w:val="0"/>
                <w:sz w:val="22"/>
                <w:szCs w:val="21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2"/>
              </w:rPr>
              <w:t>White/Asian or Asian British/Black or Black British/Chinese/Mixed/Other ethnic group/Missing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3CB66AF">
            <w:pPr>
              <w:spacing w:line="480" w:lineRule="auto"/>
              <w:rPr>
                <w:rFonts w:ascii="Times New Roman" w:hAnsi="Times New Roman" w:cs="Times New Roman" w:eastAsiaTheme="minorEastAsia"/>
                <w:snapToGrid w:val="0"/>
                <w:color w:val="000000"/>
                <w:kern w:val="0"/>
                <w:sz w:val="22"/>
                <w:szCs w:val="21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2"/>
              </w:rPr>
              <w:t>21000</w:t>
            </w:r>
          </w:p>
        </w:tc>
      </w:tr>
      <w:tr w14:paraId="1F49BAD5">
        <w:trPr>
          <w:jc w:val="center"/>
        </w:trPr>
        <w:tc>
          <w:tcPr>
            <w:tcW w:w="2678" w:type="dxa"/>
            <w:shd w:val="clear" w:color="auto" w:fill="auto"/>
            <w:vAlign w:val="top"/>
          </w:tcPr>
          <w:p w14:paraId="7AB62577">
            <w:pPr>
              <w:spacing w:line="480" w:lineRule="auto"/>
              <w:rPr>
                <w:rFonts w:ascii="Times New Roman" w:hAnsi="Times New Roman" w:cs="Times New Roman" w:eastAsiaTheme="minorEastAsia"/>
                <w:snapToGrid w:val="0"/>
                <w:color w:val="000000"/>
                <w:kern w:val="0"/>
                <w:sz w:val="22"/>
                <w:szCs w:val="21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2"/>
              </w:rPr>
              <w:t>Educational level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787B361">
            <w:pPr>
              <w:spacing w:line="480" w:lineRule="auto"/>
              <w:rPr>
                <w:rFonts w:ascii="Times New Roman" w:hAnsi="Times New Roman" w:cs="Times New Roman" w:eastAsiaTheme="minorEastAsia"/>
                <w:snapToGrid w:val="0"/>
                <w:color w:val="000000"/>
                <w:kern w:val="0"/>
                <w:sz w:val="22"/>
                <w:szCs w:val="21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2"/>
              </w:rPr>
              <w:t>College/Non-College/Missing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BF98AAC">
            <w:pPr>
              <w:spacing w:line="480" w:lineRule="auto"/>
              <w:rPr>
                <w:rFonts w:ascii="Times New Roman" w:hAnsi="Times New Roman" w:cs="Times New Roman" w:eastAsiaTheme="minorEastAsia"/>
                <w:snapToGrid w:val="0"/>
                <w:color w:val="000000"/>
                <w:kern w:val="0"/>
                <w:sz w:val="22"/>
                <w:szCs w:val="21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2"/>
              </w:rPr>
              <w:t>6138</w:t>
            </w:r>
          </w:p>
        </w:tc>
      </w:tr>
      <w:tr w14:paraId="31D97EBE">
        <w:trPr>
          <w:jc w:val="center"/>
        </w:trPr>
        <w:tc>
          <w:tcPr>
            <w:tcW w:w="2678" w:type="dxa"/>
            <w:shd w:val="clear" w:color="auto" w:fill="auto"/>
            <w:vAlign w:val="top"/>
          </w:tcPr>
          <w:p w14:paraId="5C60A46E">
            <w:pPr>
              <w:spacing w:line="480" w:lineRule="auto"/>
              <w:rPr>
                <w:rFonts w:ascii="Times New Roman" w:hAnsi="Times New Roman" w:cs="Times New Roman" w:eastAsiaTheme="minorEastAsia"/>
                <w:snapToGrid w:val="0"/>
                <w:color w:val="000000"/>
                <w:kern w:val="0"/>
                <w:sz w:val="22"/>
                <w:szCs w:val="21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2"/>
              </w:rPr>
              <w:t>Body mass index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100BA20">
            <w:pPr>
              <w:spacing w:line="480" w:lineRule="auto"/>
              <w:rPr>
                <w:rFonts w:ascii="Times New Roman" w:hAnsi="Times New Roman" w:cs="Times New Roman" w:eastAsiaTheme="minorEastAsia"/>
                <w:snapToGrid w:val="0"/>
                <w:color w:val="000000"/>
                <w:kern w:val="0"/>
                <w:sz w:val="22"/>
                <w:szCs w:val="21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2"/>
              </w:rPr>
              <w:t>Normal (less than 25 kg/m</w:t>
            </w:r>
            <w:r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)/Overweight (25 to 30 kg/m</w:t>
            </w:r>
            <w:r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)/Obesity (more than 30 kg/m</w:t>
            </w:r>
            <w:r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)/Missing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3F10F01">
            <w:pPr>
              <w:spacing w:line="480" w:lineRule="auto"/>
              <w:rPr>
                <w:rFonts w:ascii="Times New Roman" w:hAnsi="Times New Roman" w:cs="Times New Roman" w:eastAsiaTheme="minorEastAsia"/>
                <w:snapToGrid w:val="0"/>
                <w:color w:val="000000"/>
                <w:kern w:val="0"/>
                <w:sz w:val="22"/>
                <w:szCs w:val="21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2"/>
              </w:rPr>
              <w:t>21001</w:t>
            </w:r>
          </w:p>
        </w:tc>
      </w:tr>
      <w:tr w14:paraId="0461810F">
        <w:trPr>
          <w:jc w:val="center"/>
        </w:trPr>
        <w:tc>
          <w:tcPr>
            <w:tcW w:w="2678" w:type="dxa"/>
            <w:shd w:val="clear" w:color="auto" w:fill="auto"/>
            <w:vAlign w:val="top"/>
          </w:tcPr>
          <w:p w14:paraId="7FE00FA5">
            <w:pPr>
              <w:spacing w:line="480" w:lineRule="auto"/>
              <w:rPr>
                <w:rFonts w:hint="eastAsia" w:ascii="Times New Roman" w:hAnsi="Times New Roman" w:cs="Times New Roman" w:eastAsiaTheme="minorEastAsia"/>
                <w:snapToGrid w:val="0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default" w:cs="Times New Roman"/>
                <w:sz w:val="22"/>
                <w:lang w:val="en-US"/>
              </w:rPr>
              <w:t>Tobacco s</w:t>
            </w:r>
            <w:r>
              <w:rPr>
                <w:rFonts w:ascii="Times New Roman" w:hAnsi="Times New Roman" w:cs="Times New Roman"/>
                <w:sz w:val="22"/>
              </w:rPr>
              <w:t xml:space="preserve">moking 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41DE2AD">
            <w:pPr>
              <w:spacing w:line="480" w:lineRule="auto"/>
              <w:rPr>
                <w:rFonts w:ascii="Times New Roman" w:hAnsi="Times New Roman" w:cs="Times New Roman" w:eastAsiaTheme="minorEastAsia"/>
                <w:snapToGrid w:val="0"/>
                <w:color w:val="000000"/>
                <w:kern w:val="0"/>
                <w:sz w:val="22"/>
                <w:szCs w:val="21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2"/>
              </w:rPr>
              <w:t>Never/Previous/Current/Missing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98DEA46">
            <w:pPr>
              <w:spacing w:line="480" w:lineRule="auto"/>
              <w:rPr>
                <w:rFonts w:ascii="Times New Roman" w:hAnsi="Times New Roman" w:cs="Times New Roman" w:eastAsiaTheme="minorEastAsia"/>
                <w:snapToGrid w:val="0"/>
                <w:color w:val="000000"/>
                <w:kern w:val="0"/>
                <w:sz w:val="22"/>
                <w:szCs w:val="21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2"/>
              </w:rPr>
              <w:t>20116</w:t>
            </w:r>
          </w:p>
        </w:tc>
      </w:tr>
      <w:tr w14:paraId="78E45A57">
        <w:trPr>
          <w:jc w:val="center"/>
        </w:trPr>
        <w:tc>
          <w:tcPr>
            <w:tcW w:w="0" w:type="auto"/>
            <w:shd w:val="clear" w:color="auto" w:fill="auto"/>
            <w:vAlign w:val="top"/>
          </w:tcPr>
          <w:p w14:paraId="06DB07EF">
            <w:pPr>
              <w:spacing w:line="480" w:lineRule="auto"/>
              <w:rPr>
                <w:rFonts w:hint="eastAsia" w:ascii="Times New Roman" w:hAnsi="Times New Roman" w:cs="Times New Roman" w:eastAsiaTheme="minorEastAsia"/>
                <w:snapToGrid w:val="0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2"/>
              </w:rPr>
              <w:t>Physical activity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20241CF">
            <w:pPr>
              <w:spacing w:line="480" w:lineRule="auto"/>
              <w:rPr>
                <w:rFonts w:ascii="Times New Roman" w:hAnsi="Times New Roman" w:cs="Times New Roman" w:eastAsiaTheme="minorEastAsia"/>
                <w:snapToGrid w:val="0"/>
                <w:color w:val="000000"/>
                <w:kern w:val="0"/>
                <w:sz w:val="22"/>
                <w:szCs w:val="21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2"/>
              </w:rPr>
              <w:t>Non-ideal/Ideal/Unkown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57FAA4E">
            <w:pPr>
              <w:spacing w:line="480" w:lineRule="auto"/>
              <w:rPr>
                <w:rFonts w:ascii="Times New Roman" w:hAnsi="Times New Roman" w:cs="Times New Roman" w:eastAsiaTheme="minorEastAsia"/>
                <w:snapToGrid w:val="0"/>
                <w:color w:val="000000"/>
                <w:kern w:val="0"/>
                <w:sz w:val="22"/>
                <w:szCs w:val="21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2"/>
              </w:rPr>
              <w:t>22036</w:t>
            </w:r>
          </w:p>
        </w:tc>
      </w:tr>
      <w:tr w14:paraId="34AD4093">
        <w:trPr>
          <w:jc w:val="center"/>
        </w:trPr>
        <w:tc>
          <w:tcPr>
            <w:tcW w:w="0" w:type="auto"/>
            <w:shd w:val="clear" w:color="auto" w:fill="auto"/>
            <w:vAlign w:val="top"/>
          </w:tcPr>
          <w:p w14:paraId="50A5CA4D">
            <w:pPr>
              <w:spacing w:line="480" w:lineRule="auto"/>
              <w:rPr>
                <w:rFonts w:hint="eastAsia" w:ascii="Times New Roman" w:hAnsi="Times New Roman" w:cs="Times New Roman" w:eastAsiaTheme="minorEastAsia"/>
                <w:snapToGrid w:val="0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2"/>
              </w:rPr>
              <w:t>Health diet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B0848E4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Healthy/Unhealthy/Missing</w:t>
            </w:r>
          </w:p>
          <w:p w14:paraId="53104D64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  <w:p w14:paraId="4C8EBA2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 Dairy ≥2 servings/day</w:t>
            </w:r>
          </w:p>
          <w:p w14:paraId="5958827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 Refined grains ≤2 servings/day</w:t>
            </w:r>
          </w:p>
          <w:p w14:paraId="0B90AC6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 (Shell)fish ≥2 servings/week</w:t>
            </w:r>
          </w:p>
          <w:p w14:paraId="423B1A7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 Whole grains ≥3 servings/day</w:t>
            </w:r>
          </w:p>
          <w:p w14:paraId="5BD79ED3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5. Fruit ≥3 servings/day</w:t>
            </w:r>
          </w:p>
          <w:p w14:paraId="61BA41C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6. Vegetable ≥3 servings/day</w:t>
            </w:r>
          </w:p>
          <w:p w14:paraId="5B02B485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7. Vegetable oils ≥2 servings/day</w:t>
            </w:r>
          </w:p>
          <w:p w14:paraId="0E91EB54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8. Unprocessed meats ≤2 servings/week</w:t>
            </w:r>
          </w:p>
          <w:p w14:paraId="36785C1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9. Processed meats ≤1 serving/week</w:t>
            </w:r>
          </w:p>
          <w:p w14:paraId="1A64AEE5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10. Sugar-sweetened beverages No-consumption</w:t>
            </w:r>
          </w:p>
          <w:p w14:paraId="1B8E0617">
            <w:pPr>
              <w:spacing w:line="480" w:lineRule="auto"/>
              <w:rPr>
                <w:rFonts w:ascii="Times New Roman" w:hAnsi="Times New Roman" w:cs="Times New Roman" w:eastAsiaTheme="minorEastAsia"/>
                <w:snapToGrid w:val="0"/>
                <w:color w:val="000000"/>
                <w:kern w:val="0"/>
                <w:sz w:val="22"/>
                <w:szCs w:val="21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2"/>
              </w:rPr>
              <w:t>The healthy dietary was defined as the total score more than 5 indicating meeting at least half of the dietary recommendation at least 5 items.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7D17E5C">
            <w:pPr>
              <w:spacing w:line="480" w:lineRule="auto"/>
              <w:rPr>
                <w:rFonts w:ascii="Times New Roman" w:hAnsi="Times New Roman" w:cs="Times New Roman" w:eastAsiaTheme="minorEastAsia"/>
                <w:snapToGrid w:val="0"/>
                <w:color w:val="000000"/>
                <w:kern w:val="0"/>
                <w:sz w:val="22"/>
                <w:szCs w:val="21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2"/>
              </w:rPr>
              <w:t>1289, 1299, 1309, 1319, 1329, 1339, 1349, 1359, 1369, 1379, 1389, 3680, 6144, 10855, 1408, 1418, 1428, 1448, 1468</w:t>
            </w:r>
          </w:p>
        </w:tc>
      </w:tr>
      <w:tr w14:paraId="61A859B3">
        <w:trPr>
          <w:jc w:val="center"/>
        </w:trPr>
        <w:tc>
          <w:tcPr>
            <w:tcW w:w="0" w:type="auto"/>
            <w:shd w:val="clear" w:color="auto" w:fill="auto"/>
            <w:vAlign w:val="top"/>
          </w:tcPr>
          <w:p w14:paraId="452142C3">
            <w:pPr>
              <w:spacing w:line="480" w:lineRule="auto"/>
              <w:rPr>
                <w:rFonts w:hint="eastAsia" w:ascii="Times New Roman" w:hAnsi="Times New Roman" w:cs="Times New Roman" w:eastAsiaTheme="minorEastAsia"/>
                <w:snapToGrid w:val="0"/>
                <w:color w:val="000000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Baseline hypertension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F893196">
            <w:pPr>
              <w:spacing w:line="480" w:lineRule="auto"/>
              <w:rPr>
                <w:rFonts w:ascii="Times New Roman" w:hAnsi="Times New Roman" w:cs="Times New Roman" w:eastAsiaTheme="minorEastAsia"/>
                <w:snapToGrid w:val="0"/>
                <w:color w:val="000000"/>
                <w:kern w:val="0"/>
                <w:sz w:val="22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Non-baseline hypertension/Baseline hypertension/Missing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DE72ED6">
            <w:pPr>
              <w:spacing w:line="480" w:lineRule="auto"/>
              <w:rPr>
                <w:rFonts w:ascii="Times New Roman" w:hAnsi="Times New Roman" w:cs="Times New Roman" w:eastAsiaTheme="minorEastAsia"/>
                <w:snapToGrid w:val="0"/>
                <w:color w:val="000000"/>
                <w:kern w:val="0"/>
                <w:sz w:val="22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6150</w:t>
            </w:r>
          </w:p>
        </w:tc>
      </w:tr>
      <w:tr w14:paraId="7B4EA50A">
        <w:trPr>
          <w:jc w:val="center"/>
        </w:trPr>
        <w:tc>
          <w:tcPr>
            <w:tcW w:w="0" w:type="auto"/>
            <w:shd w:val="clear" w:color="auto" w:fill="auto"/>
            <w:vAlign w:val="top"/>
          </w:tcPr>
          <w:p w14:paraId="0E9172C7">
            <w:pPr>
              <w:rPr>
                <w:rFonts w:hint="eastAsia" w:ascii="Times New Roman" w:hAnsi="Times New Roman" w:cs="Times New Roman"/>
                <w:sz w:val="22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6750E0DE">
            <w:pPr>
              <w:rPr>
                <w:rFonts w:hint="eastAsia" w:ascii="Times New Roman" w:hAnsi="Times New Roman" w:cs="Times New Roman"/>
                <w:sz w:val="22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533083E5">
            <w:pPr>
              <w:rPr>
                <w:rFonts w:hint="eastAsia" w:ascii="Times New Roman" w:hAnsi="Times New Roman" w:cs="Times New Roman"/>
                <w:sz w:val="22"/>
              </w:rPr>
            </w:pPr>
          </w:p>
        </w:tc>
      </w:tr>
    </w:tbl>
    <w:p w14:paraId="0A385374">
      <w:pPr>
        <w:widowControl w:val="0"/>
        <w:kinsoku/>
        <w:autoSpaceDE/>
        <w:autoSpaceDN/>
        <w:adjustRightInd/>
        <w:snapToGrid/>
        <w:spacing w:before="312" w:beforeLines="100" w:line="360" w:lineRule="auto"/>
        <w:contextualSpacing/>
        <w:jc w:val="center"/>
        <w:textAlignment w:val="auto"/>
        <w:rPr>
          <w:rFonts w:ascii="Times New Roman" w:hAnsi="Times New Roman" w:cs="Times New Roman"/>
          <w:b/>
          <w:bCs/>
          <w:snapToGrid/>
          <w:kern w:val="2"/>
          <w:sz w:val="32"/>
          <w:szCs w:val="32"/>
          <w:lang w:eastAsia="zh-CN"/>
        </w:rPr>
      </w:pPr>
    </w:p>
    <w:p w14:paraId="7E72277F">
      <w:pPr>
        <w:widowControl w:val="0"/>
        <w:kinsoku/>
        <w:autoSpaceDE/>
        <w:autoSpaceDN/>
        <w:adjustRightInd/>
        <w:snapToGrid/>
        <w:spacing w:before="312" w:beforeLines="100" w:line="360" w:lineRule="auto"/>
        <w:contextualSpacing/>
        <w:jc w:val="center"/>
        <w:textAlignment w:val="auto"/>
        <w:rPr>
          <w:rFonts w:ascii="Times New Roman" w:hAnsi="Times New Roman" w:cs="Times New Roman"/>
          <w:b/>
          <w:bCs/>
          <w:snapToGrid/>
          <w:kern w:val="2"/>
          <w:sz w:val="32"/>
          <w:szCs w:val="32"/>
          <w:lang w:eastAsia="zh-CN"/>
        </w:rPr>
      </w:pPr>
    </w:p>
    <w:p w14:paraId="024979CF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Table S</w:t>
      </w:r>
      <w:r>
        <w:rPr>
          <w:rFonts w:hint="default" w:cs="Times New Roman"/>
          <w:b/>
          <w:sz w:val="20"/>
          <w:szCs w:val="20"/>
          <w:lang w:val="en-US"/>
        </w:rPr>
        <w:t>X</w:t>
      </w:r>
      <w:r>
        <w:rPr>
          <w:rFonts w:hint="eastAsia"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Details on continuous covariates included in this study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4313"/>
        <w:gridCol w:w="2456"/>
      </w:tblGrid>
      <w:tr w14:paraId="6697A43F">
        <w:trPr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</w:tcPr>
          <w:p w14:paraId="65E508D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Covariates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</w:tcPr>
          <w:p w14:paraId="5C79D9C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Description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</w:tcPr>
          <w:p w14:paraId="086923F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 ID</w:t>
            </w:r>
          </w:p>
        </w:tc>
      </w:tr>
      <w:tr w14:paraId="5A112D84">
        <w:trPr>
          <w:jc w:val="center"/>
        </w:trPr>
        <w:tc>
          <w:tcPr>
            <w:tcW w:w="0" w:type="auto"/>
            <w:tcBorders>
              <w:top w:val="single" w:color="auto" w:sz="4" w:space="0"/>
            </w:tcBorders>
          </w:tcPr>
          <w:p w14:paraId="561D2F8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 w14:paraId="2A6482F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 w14:paraId="46363DA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21022</w:t>
            </w:r>
          </w:p>
        </w:tc>
      </w:tr>
      <w:tr w14:paraId="33245AB3">
        <w:trPr>
          <w:jc w:val="center"/>
        </w:trPr>
        <w:tc>
          <w:tcPr>
            <w:tcW w:w="0" w:type="auto"/>
          </w:tcPr>
          <w:p w14:paraId="611A2B4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Alcohol consumption</w:t>
            </w:r>
          </w:p>
        </w:tc>
        <w:tc>
          <w:tcPr>
            <w:tcW w:w="0" w:type="auto"/>
          </w:tcPr>
          <w:p w14:paraId="29669DF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1 drink of beer/cider contained 2 standard drinks</w:t>
            </w:r>
          </w:p>
          <w:p w14:paraId="19FCCD3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1 glass of red and white wine to contain 1.5 standard drinks</w:t>
            </w:r>
          </w:p>
          <w:p w14:paraId="5CAD2B0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1 glass of fortified wine to contain 1.25 standard drinks</w:t>
            </w:r>
          </w:p>
          <w:p w14:paraId="230E38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1 measures of spirits/liqueurs to contain 1 standard drinks </w:t>
            </w:r>
          </w:p>
          <w:p w14:paraId="763AA1B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1 glasses of other alcoholic drinks to contain 1 standard drinks</w:t>
            </w:r>
          </w:p>
          <w:p w14:paraId="2CD318A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Alcohol consumption is the sum of standard drinks above</w:t>
            </w:r>
          </w:p>
        </w:tc>
        <w:tc>
          <w:tcPr>
            <w:tcW w:w="0" w:type="auto"/>
          </w:tcPr>
          <w:p w14:paraId="30F1261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1568, 1578, 1588, 1598, 1608, 5364</w:t>
            </w:r>
          </w:p>
        </w:tc>
      </w:tr>
    </w:tbl>
    <w:p w14:paraId="3DFDC215">
      <w:pPr>
        <w:rPr>
          <w:rFonts w:hint="default" w:eastAsia="宋体"/>
          <w:lang w:val="en-US" w:eastAsia="zh-CN"/>
        </w:rPr>
      </w:pPr>
    </w:p>
    <w:p w14:paraId="6D5FB6F7">
      <w:pP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bidi="ar"/>
        </w:rPr>
      </w:pPr>
    </w:p>
    <w:p w14:paraId="03AAE87A">
      <w:pP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bidi="ar"/>
        </w:rPr>
      </w:pPr>
    </w:p>
    <w:p w14:paraId="2EF2A208">
      <w:pP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bidi="ar"/>
        </w:rPr>
      </w:pPr>
    </w:p>
    <w:p w14:paraId="7604C2BC">
      <w:pPr>
        <w:spacing w:line="480" w:lineRule="auto"/>
        <w:rPr>
          <w:rFonts w:hint="default"/>
          <w:lang w:val="en-US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bidi="ar"/>
        </w:rPr>
        <w:t xml:space="preserve">Table </w:t>
      </w:r>
      <w:r>
        <w:rPr>
          <w:rFonts w:hint="default" w:eastAsia="宋体" w:cs="Times New Roman"/>
          <w:b/>
          <w:bCs/>
          <w:color w:val="000000"/>
          <w:kern w:val="0"/>
          <w:sz w:val="22"/>
          <w:szCs w:val="22"/>
          <w:lang w:val="en-US" w:bidi="ar"/>
        </w:rPr>
        <w:t>X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bidi="ar"/>
        </w:rPr>
        <w:t>. Associations Between Benzene Exposure and the Risks of COPD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val="en-US" w:eastAsia="zh-CN" w:bidi="ar"/>
        </w:rPr>
        <w:t xml:space="preserve"> in sensitivity analyze Among White Participants</w:t>
      </w:r>
    </w:p>
    <w:tbl>
      <w:tblPr>
        <w:tblStyle w:val="2"/>
        <w:tblpPr w:leftFromText="180" w:rightFromText="180" w:vertAnchor="text" w:horzAnchor="page" w:tblpX="849" w:tblpY="271"/>
        <w:tblOverlap w:val="never"/>
        <w:tblW w:w="1109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2181"/>
        <w:gridCol w:w="1411"/>
        <w:gridCol w:w="1777"/>
        <w:gridCol w:w="1739"/>
        <w:gridCol w:w="1696"/>
        <w:gridCol w:w="1200"/>
      </w:tblGrid>
      <w:tr w14:paraId="5A0E4B48">
        <w:trPr>
          <w:trHeight w:val="276" w:hRule="atLeast"/>
        </w:trPr>
        <w:tc>
          <w:tcPr>
            <w:tcW w:w="1090" w:type="dxa"/>
            <w:tcBorders>
              <w:top w:val="single" w:color="000000" w:sz="4" w:space="0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29A26AAE">
            <w:pP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18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1DC97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 w:val="22"/>
                <w:szCs w:val="22"/>
                <w:lang w:bidi="ar"/>
              </w:rPr>
              <w:t>Benzene(continuous)</w:t>
            </w:r>
          </w:p>
        </w:tc>
        <w:tc>
          <w:tcPr>
            <w:tcW w:w="6623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BE0F2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 w:val="22"/>
                <w:szCs w:val="22"/>
                <w:lang w:bidi="ar"/>
              </w:rPr>
              <w:t>Benzene(quartiles)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AB09C5">
            <w:pP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</w:rPr>
            </w:pPr>
          </w:p>
        </w:tc>
      </w:tr>
      <w:tr w14:paraId="2B949561">
        <w:trPr>
          <w:trHeight w:val="564" w:hRule="atLeast"/>
        </w:trPr>
        <w:tc>
          <w:tcPr>
            <w:tcW w:w="109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3B7E6303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DFF935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1B1B1B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1B1B1B"/>
                <w:kern w:val="0"/>
                <w:sz w:val="22"/>
                <w:szCs w:val="22"/>
                <w:lang w:bidi="ar"/>
              </w:rPr>
              <w:t>HR (95% CI) for 1 μg/m</w:t>
            </w:r>
            <w:r>
              <w:rPr>
                <w:rFonts w:ascii="Times New Roman" w:hAnsi="Times New Roman" w:eastAsia="宋体" w:cs="Times New Roman"/>
                <w:color w:val="1B1B1B"/>
                <w:kern w:val="0"/>
                <w:sz w:val="22"/>
                <w:szCs w:val="22"/>
                <w:vertAlign w:val="superscript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1B1B1B"/>
                <w:kern w:val="0"/>
                <w:sz w:val="22"/>
                <w:szCs w:val="22"/>
                <w:lang w:bidi="ar"/>
              </w:rPr>
              <w:t xml:space="preserve"> increase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268C4C5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1B1B1B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1B1B1B"/>
                <w:kern w:val="0"/>
                <w:sz w:val="22"/>
                <w:szCs w:val="22"/>
                <w:lang w:bidi="ar"/>
              </w:rPr>
              <w:t>Quartile 1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066CD59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1B1B1B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1B1B1B"/>
                <w:kern w:val="0"/>
                <w:sz w:val="22"/>
                <w:szCs w:val="22"/>
                <w:lang w:bidi="ar"/>
              </w:rPr>
              <w:t>Quartile 2</w:t>
            </w:r>
          </w:p>
        </w:tc>
        <w:tc>
          <w:tcPr>
            <w:tcW w:w="173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6B1D42C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1B1B1B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1B1B1B"/>
                <w:kern w:val="0"/>
                <w:sz w:val="22"/>
                <w:szCs w:val="22"/>
                <w:lang w:bidi="ar"/>
              </w:rPr>
              <w:t>Quartile 3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1451ACA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1B1B1B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1B1B1B"/>
                <w:kern w:val="0"/>
                <w:sz w:val="22"/>
                <w:szCs w:val="22"/>
                <w:lang w:bidi="ar"/>
              </w:rPr>
              <w:t>Quartile 4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4344FF4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for trend</w:t>
            </w:r>
          </w:p>
        </w:tc>
      </w:tr>
      <w:tr w14:paraId="51F2684F">
        <w:trPr>
          <w:trHeight w:val="276" w:hRule="atLeast"/>
        </w:trPr>
        <w:tc>
          <w:tcPr>
            <w:tcW w:w="11094" w:type="dxa"/>
            <w:gridSpan w:val="7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064EA1D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sz w:val="22"/>
                <w:szCs w:val="22"/>
                <w:lang w:val="en-US"/>
              </w:rPr>
              <w:t>COPD</w:t>
            </w:r>
          </w:p>
        </w:tc>
      </w:tr>
      <w:tr w14:paraId="66372E5E">
        <w:trPr>
          <w:trHeight w:val="480" w:hRule="atLeast"/>
        </w:trPr>
        <w:tc>
          <w:tcPr>
            <w:tcW w:w="3271" w:type="dxa"/>
            <w:gridSpan w:val="2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0FF3B7F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 w:val="22"/>
                <w:szCs w:val="22"/>
                <w:lang w:bidi="ar"/>
              </w:rPr>
              <w:t>Case/Overall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2AAEF83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836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65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415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459F973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325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65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828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50EE91B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571/66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438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4F58EF0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849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65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277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00C0FE7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14:paraId="273CC8A2">
        <w:trPr>
          <w:trHeight w:val="481" w:hRule="atLeast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281AD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Model 1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2BADD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1.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bidi="ar"/>
              </w:rPr>
              <w:t>26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 (1.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bidi="ar"/>
              </w:rPr>
              <w:t>21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, 1.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bidi="ar"/>
              </w:rPr>
              <w:t>31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9C1A5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Reference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36761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58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45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, 1.7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1D0B9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93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77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, 2.1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E69D7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2.4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 (2.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5, 2.6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43673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14:paraId="7D1ED941">
        <w:trPr>
          <w:trHeight w:val="450" w:hRule="atLeast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8C9AC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Model 2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0B0D9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1.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bidi="ar"/>
              </w:rPr>
              <w:t xml:space="preserve">21 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(1.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bidi="ar"/>
              </w:rPr>
              <w:t>16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, 1.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bidi="ar"/>
              </w:rPr>
              <w:t>25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5A172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Reference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28B1B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56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 (1.4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, 1.7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30820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8 (1.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64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4)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3F962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2.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17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 (2.0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, 2.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36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4C90C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14:paraId="22BFC412">
        <w:trPr>
          <w:trHeight w:val="491" w:hRule="atLeast"/>
        </w:trPr>
        <w:tc>
          <w:tcPr>
            <w:tcW w:w="10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9D7CA1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Model 3</w:t>
            </w:r>
          </w:p>
        </w:tc>
        <w:tc>
          <w:tcPr>
            <w:tcW w:w="21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B62488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1.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bidi="ar"/>
              </w:rPr>
              <w:t>21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 (1.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bidi="ar"/>
              </w:rPr>
              <w:t>15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, 1.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bidi="ar"/>
              </w:rPr>
              <w:t>26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9E0A49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Reference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5E412B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 (1.4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, 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5)</w:t>
            </w:r>
          </w:p>
        </w:tc>
        <w:tc>
          <w:tcPr>
            <w:tcW w:w="173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A24F1A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78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1.93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B2228F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2.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 (1.9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, 2.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29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96CFDA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</w:tbl>
    <w:p w14:paraId="26BAAD6A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Model 1</w:t>
      </w:r>
      <w:r>
        <w:rPr>
          <w:rFonts w:hint="default" w:ascii="Times New Roman" w:hAnsi="Times New Roman" w:eastAsia="宋体" w:cs="Times New Roman"/>
          <w:b w:val="0"/>
          <w:bCs w:val="0"/>
          <w:sz w:val="18"/>
          <w:szCs w:val="18"/>
          <w:lang w:val="en-US" w:eastAsia="zh-CN"/>
        </w:rPr>
        <w:t>: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Age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(continuous, years), sex (female, male) .</w:t>
      </w:r>
    </w:p>
    <w:p w14:paraId="66C5F413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Model 2:model 1 plus BMI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(&lt;30 kg/m2, ≥30 kg/m2)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,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t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obacco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smoking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 xml:space="preserve"> (never, current or former smokers)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bidi="ar"/>
        </w:rPr>
        <w:t>,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alcohol consumption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(never, current or former drinkers) and physical activity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(inactive, active).</w:t>
      </w:r>
    </w:p>
    <w:p w14:paraId="07159F49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Model3:model 2 plus</w:t>
      </w:r>
      <w:r>
        <w:rPr>
          <w:rFonts w:hint="eastAsia" w:ascii="Times New Roman" w:hAnsi="Times New Roman" w:eastAsia="宋体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PM</w:t>
      </w:r>
      <w:r>
        <w:rPr>
          <w:rStyle w:val="5"/>
          <w:rFonts w:hint="default" w:ascii="Times New Roman" w:hAnsi="Times New Roman" w:eastAsia="宋体" w:cs="Times New Roman"/>
          <w:color w:val="000000"/>
          <w:kern w:val="2"/>
          <w:sz w:val="22"/>
          <w:szCs w:val="22"/>
          <w:vertAlign w:val="subscript"/>
          <w:lang w:val="en-US" w:eastAsia="zh-CN" w:bidi="ar"/>
        </w:rPr>
        <w:t>2.5</w:t>
      </w:r>
      <w:r>
        <w:rPr>
          <w:rStyle w:val="5"/>
          <w:rFonts w:hint="default" w:ascii="Times New Roman" w:hAnsi="Times New Roman" w:eastAsia="宋体" w:cs="Times New Roman"/>
          <w:color w:val="000000"/>
          <w:kern w:val="2"/>
          <w:sz w:val="22"/>
          <w:szCs w:val="22"/>
          <w:vertAlign w:val="baseline"/>
          <w:lang w:val="en-US" w:eastAsia="zh-CN" w:bidi="ar"/>
        </w:rPr>
        <w:t>(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continuous,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bidi="ar"/>
        </w:rPr>
        <w:t xml:space="preserve"> </w:t>
      </w:r>
      <w:r>
        <w:rPr>
          <w:rFonts w:ascii="Times New Roman" w:hAnsi="Times New Roman" w:eastAsia="Georgia" w:cs="Times New Roman"/>
          <w:color w:val="1F1F1F"/>
          <w:sz w:val="22"/>
          <w:szCs w:val="22"/>
        </w:rPr>
        <w:t>μm</w:t>
      </w:r>
      <w:r>
        <w:rPr>
          <w:rFonts w:hint="default" w:ascii="Times New Roman" w:hAnsi="Times New Roman" w:eastAsia="Georgia" w:cs="Times New Roman"/>
          <w:color w:val="1F1F1F"/>
          <w:sz w:val="22"/>
          <w:szCs w:val="22"/>
          <w:lang w:val="en-US"/>
        </w:rPr>
        <w:t>/m</w:t>
      </w:r>
      <w:r>
        <w:rPr>
          <w:rFonts w:hint="default" w:ascii="Times New Roman" w:hAnsi="Times New Roman" w:eastAsia="Georgia" w:cs="Times New Roman"/>
          <w:color w:val="1F1F1F"/>
          <w:sz w:val="22"/>
          <w:szCs w:val="22"/>
          <w:vertAlign w:val="superscript"/>
          <w:lang w:val="en-US"/>
        </w:rPr>
        <w:t>3</w:t>
      </w:r>
      <w:r>
        <w:rPr>
          <w:rStyle w:val="5"/>
          <w:rFonts w:hint="default" w:ascii="Times New Roman" w:hAnsi="Times New Roman" w:eastAsia="宋体" w:cs="Times New Roman"/>
          <w:color w:val="000000"/>
          <w:kern w:val="2"/>
          <w:sz w:val="22"/>
          <w:szCs w:val="22"/>
          <w:vertAlign w:val="baseline"/>
          <w:lang w:val="en-US" w:eastAsia="zh-CN" w:bidi="ar"/>
        </w:rPr>
        <w:t>)</w:t>
      </w:r>
      <w:r>
        <w:rPr>
          <w:rFonts w:hint="default" w:ascii="Times New Roman" w:hAnsi="Times New Roman" w:eastAsia="宋体" w:cs="Times New Roman"/>
          <w:b w:val="0"/>
          <w:bCs w:val="0"/>
          <w:sz w:val="18"/>
          <w:szCs w:val="18"/>
          <w:lang w:val="en-US" w:eastAsia="zh-CN"/>
        </w:rPr>
        <w:t>,</w:t>
      </w:r>
      <w:r>
        <w:rPr>
          <w:rFonts w:hint="eastAsia" w:ascii="Times New Roman" w:hAnsi="Times New Roman" w:eastAsia="宋体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hypertension base (Yes,No),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hyperlipid base (Yes,No),diet (Ideal and unhealthy) and home income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(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low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bidi="ar"/>
        </w:rPr>
        <w:t xml:space="preserve"> and 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high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)</w:t>
      </w:r>
      <w:r>
        <w:rPr>
          <w:rFonts w:hint="default" w:ascii="Times New Roman" w:hAnsi="Times New Roman" w:eastAsia="宋体" w:cs="Times New Roman"/>
          <w:b w:val="0"/>
          <w:bCs w:val="0"/>
          <w:sz w:val="18"/>
          <w:szCs w:val="18"/>
          <w:lang w:val="en-US" w:eastAsia="zh-CN"/>
        </w:rPr>
        <w:t>.</w:t>
      </w:r>
    </w:p>
    <w:p w14:paraId="55FD18E8">
      <w:pPr>
        <w:spacing w:line="480" w:lineRule="auto"/>
        <w:rPr>
          <w:rStyle w:val="6"/>
          <w:rFonts w:eastAsia="宋体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Abbreviation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s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: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SD, standard deviation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; 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COPD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Chronic Obstructive Pulmonary Disease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.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HR, hazard ratio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; CI, confidence interval.</w:t>
      </w:r>
    </w:p>
    <w:p w14:paraId="01C8A7CB">
      <w:pPr>
        <w:spacing w:line="480" w:lineRule="auto"/>
        <w:rPr>
          <w:rStyle w:val="6"/>
          <w:rFonts w:hint="eastAsia" w:eastAsia="宋体"/>
          <w:lang w:bidi="ar"/>
        </w:rPr>
      </w:pPr>
      <w:r>
        <w:rPr>
          <w:rStyle w:val="6"/>
          <w:rFonts w:eastAsia="宋体"/>
          <w:i/>
          <w:iCs/>
          <w:lang w:bidi="ar"/>
        </w:rPr>
        <w:t>P</w:t>
      </w:r>
      <w:r>
        <w:rPr>
          <w:rStyle w:val="6"/>
          <w:rFonts w:eastAsia="宋体"/>
          <w:lang w:bidi="ar"/>
        </w:rPr>
        <w:t xml:space="preserve"> for trend was tested by using ordered integer values</w:t>
      </w:r>
      <w:r>
        <w:rPr>
          <w:rStyle w:val="6"/>
          <w:rFonts w:hint="eastAsia" w:eastAsia="宋体"/>
          <w:lang w:bidi="ar"/>
        </w:rPr>
        <w:t>.</w:t>
      </w:r>
    </w:p>
    <w:p w14:paraId="393B2CB9"/>
    <w:p w14:paraId="692A8A85"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FA48BAF">
      <w:pPr>
        <w:spacing w:line="480" w:lineRule="auto"/>
        <w:rPr>
          <w:rFonts w:hint="default" w:eastAsia="宋体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bidi="ar"/>
        </w:rPr>
        <w:t xml:space="preserve">Table </w:t>
      </w:r>
      <w:r>
        <w:rPr>
          <w:rFonts w:hint="default" w:eastAsia="宋体" w:cs="Times New Roman"/>
          <w:b/>
          <w:bCs/>
          <w:color w:val="000000"/>
          <w:kern w:val="0"/>
          <w:sz w:val="22"/>
          <w:szCs w:val="22"/>
          <w:lang w:val="en-US" w:bidi="ar"/>
        </w:rPr>
        <w:t>X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bidi="ar"/>
        </w:rPr>
        <w:t>. Associations Between Benzene Exposure and the Risks of COPD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val="en-US" w:eastAsia="zh-CN" w:bidi="ar"/>
        </w:rPr>
        <w:t xml:space="preserve"> in sensitivity analyze</w:t>
      </w:r>
      <w:r>
        <w:rPr>
          <w:rFonts w:hint="eastAsia" w:eastAsia="宋体" w:cs="Times New Roman"/>
          <w:b/>
          <w:bCs/>
          <w:color w:val="000000"/>
          <w:kern w:val="0"/>
          <w:sz w:val="22"/>
          <w:szCs w:val="22"/>
          <w:lang w:val="en-US" w:eastAsia="zh-CN" w:bidi="ar"/>
        </w:rPr>
        <w:t>（(Excluding the population without the relevant covariates)）</w:t>
      </w:r>
    </w:p>
    <w:tbl>
      <w:tblPr>
        <w:tblStyle w:val="2"/>
        <w:tblpPr w:leftFromText="180" w:rightFromText="180" w:vertAnchor="text" w:horzAnchor="page" w:tblpX="849" w:tblpY="271"/>
        <w:tblOverlap w:val="never"/>
        <w:tblW w:w="1109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2181"/>
        <w:gridCol w:w="1411"/>
        <w:gridCol w:w="1777"/>
        <w:gridCol w:w="1739"/>
        <w:gridCol w:w="1696"/>
        <w:gridCol w:w="1200"/>
      </w:tblGrid>
      <w:tr w14:paraId="53442C8F">
        <w:trPr>
          <w:trHeight w:val="276" w:hRule="atLeast"/>
        </w:trPr>
        <w:tc>
          <w:tcPr>
            <w:tcW w:w="1090" w:type="dxa"/>
            <w:tcBorders>
              <w:top w:val="single" w:color="000000" w:sz="4" w:space="0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30326877">
            <w:pP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18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44BDA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 w:val="22"/>
                <w:szCs w:val="22"/>
                <w:lang w:bidi="ar"/>
              </w:rPr>
              <w:t>Benzene(continuous)</w:t>
            </w:r>
          </w:p>
        </w:tc>
        <w:tc>
          <w:tcPr>
            <w:tcW w:w="6623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09162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 w:val="22"/>
                <w:szCs w:val="22"/>
                <w:lang w:bidi="ar"/>
              </w:rPr>
              <w:t>Benzene(quartiles)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6FAF19">
            <w:pP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</w:rPr>
            </w:pPr>
          </w:p>
        </w:tc>
      </w:tr>
      <w:tr w14:paraId="4E066EE7">
        <w:trPr>
          <w:trHeight w:val="564" w:hRule="atLeast"/>
        </w:trPr>
        <w:tc>
          <w:tcPr>
            <w:tcW w:w="109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7B565EE3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285500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1B1B1B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1B1B1B"/>
                <w:kern w:val="0"/>
                <w:sz w:val="22"/>
                <w:szCs w:val="22"/>
                <w:lang w:bidi="ar"/>
              </w:rPr>
              <w:t>HR (95% CI) for 1 μg/m</w:t>
            </w:r>
            <w:r>
              <w:rPr>
                <w:rFonts w:ascii="Times New Roman" w:hAnsi="Times New Roman" w:eastAsia="宋体" w:cs="Times New Roman"/>
                <w:color w:val="1B1B1B"/>
                <w:kern w:val="0"/>
                <w:sz w:val="22"/>
                <w:szCs w:val="22"/>
                <w:vertAlign w:val="superscript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1B1B1B"/>
                <w:kern w:val="0"/>
                <w:sz w:val="22"/>
                <w:szCs w:val="22"/>
                <w:lang w:bidi="ar"/>
              </w:rPr>
              <w:t xml:space="preserve"> increase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10EE0AC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1B1B1B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1B1B1B"/>
                <w:kern w:val="0"/>
                <w:sz w:val="22"/>
                <w:szCs w:val="22"/>
                <w:lang w:bidi="ar"/>
              </w:rPr>
              <w:t>Quartile 1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5672A05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1B1B1B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1B1B1B"/>
                <w:kern w:val="0"/>
                <w:sz w:val="22"/>
                <w:szCs w:val="22"/>
                <w:lang w:bidi="ar"/>
              </w:rPr>
              <w:t>Quartile 2</w:t>
            </w:r>
          </w:p>
        </w:tc>
        <w:tc>
          <w:tcPr>
            <w:tcW w:w="173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19C2AE7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1B1B1B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1B1B1B"/>
                <w:kern w:val="0"/>
                <w:sz w:val="22"/>
                <w:szCs w:val="22"/>
                <w:lang w:bidi="ar"/>
              </w:rPr>
              <w:t>Quartile 3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0A1FDD6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1B1B1B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1B1B1B"/>
                <w:kern w:val="0"/>
                <w:sz w:val="22"/>
                <w:szCs w:val="22"/>
                <w:lang w:bidi="ar"/>
              </w:rPr>
              <w:t>Quartile 4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19E969F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for trend</w:t>
            </w:r>
          </w:p>
        </w:tc>
      </w:tr>
      <w:tr w14:paraId="5E4A0BE0">
        <w:trPr>
          <w:trHeight w:val="276" w:hRule="atLeast"/>
        </w:trPr>
        <w:tc>
          <w:tcPr>
            <w:tcW w:w="11094" w:type="dxa"/>
            <w:gridSpan w:val="7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6F74A47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sz w:val="22"/>
                <w:szCs w:val="22"/>
                <w:lang w:val="en-US"/>
              </w:rPr>
              <w:t>COPD</w:t>
            </w:r>
          </w:p>
        </w:tc>
      </w:tr>
      <w:tr w14:paraId="75477D57">
        <w:trPr>
          <w:trHeight w:val="480" w:hRule="atLeast"/>
        </w:trPr>
        <w:tc>
          <w:tcPr>
            <w:tcW w:w="3271" w:type="dxa"/>
            <w:gridSpan w:val="2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6F86AAF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 w:val="22"/>
                <w:szCs w:val="22"/>
                <w:lang w:bidi="ar"/>
              </w:rPr>
              <w:t>Case/Overall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0B1B4DA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419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877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23D775C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607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38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172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362DEDA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660/36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367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15B66D3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695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34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841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0D06C80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14:paraId="729ECC8E">
        <w:trPr>
          <w:trHeight w:val="481" w:hRule="atLeast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C2275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Model 1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15096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1.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bidi="ar"/>
              </w:rPr>
              <w:t>39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 (1.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bidi="ar"/>
              </w:rPr>
              <w:t>36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, 1.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bidi="ar"/>
              </w:rPr>
              <w:t>4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2)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1158F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Reference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A709E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37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, 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55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84331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1.63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44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84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1F432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98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76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, 2.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CE859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14:paraId="02326F08">
        <w:trPr>
          <w:trHeight w:val="450" w:hRule="atLeast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14B13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Model 2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B7EB0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1.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bidi="ar"/>
              </w:rPr>
              <w:t>38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 (1.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bidi="ar"/>
              </w:rPr>
              <w:t>32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, 1.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bidi="ar"/>
              </w:rPr>
              <w:t>46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09284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Reference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08344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32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17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, 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03BF3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48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31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68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84A6A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71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51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1.93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1A7C3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14:paraId="4589899E">
        <w:trPr>
          <w:trHeight w:val="491" w:hRule="atLeast"/>
        </w:trPr>
        <w:tc>
          <w:tcPr>
            <w:tcW w:w="10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9E10F5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Model 3</w:t>
            </w:r>
          </w:p>
        </w:tc>
        <w:tc>
          <w:tcPr>
            <w:tcW w:w="21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770487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32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16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, 1.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9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36E0DA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Reference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B6C1DB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32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(1.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16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, 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49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73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96D1EC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47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66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EFA430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66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46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89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36DE58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</w:tbl>
    <w:p w14:paraId="09C7BA62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Model 1</w:t>
      </w:r>
      <w:r>
        <w:rPr>
          <w:rFonts w:hint="default" w:ascii="Times New Roman" w:hAnsi="Times New Roman" w:eastAsia="宋体" w:cs="Times New Roman"/>
          <w:b w:val="0"/>
          <w:bCs w:val="0"/>
          <w:sz w:val="18"/>
          <w:szCs w:val="18"/>
          <w:lang w:val="en-US" w:eastAsia="zh-CN"/>
        </w:rPr>
        <w:t>: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Age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(continuous, years), sex (female, male) .</w:t>
      </w:r>
    </w:p>
    <w:p w14:paraId="4573A8FF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Model 2:model 1 plus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BMI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(&lt;30 kg/m2, ≥30 kg/m2)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,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t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obacco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smoking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 xml:space="preserve"> (never, current or former smokers)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bidi="ar"/>
        </w:rPr>
        <w:t>,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alcohol consumption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(never, current or former drinkers) and physical activity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(inactive, active).</w:t>
      </w:r>
    </w:p>
    <w:p w14:paraId="772A8517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Model3:model 2 plus</w:t>
      </w:r>
      <w:r>
        <w:rPr>
          <w:rFonts w:hint="eastAsia" w:ascii="Times New Roman" w:hAnsi="Times New Roman" w:eastAsia="宋体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PM</w:t>
      </w:r>
      <w:r>
        <w:rPr>
          <w:rStyle w:val="5"/>
          <w:rFonts w:hint="default" w:ascii="Times New Roman" w:hAnsi="Times New Roman" w:eastAsia="宋体" w:cs="Times New Roman"/>
          <w:color w:val="000000"/>
          <w:kern w:val="2"/>
          <w:sz w:val="22"/>
          <w:szCs w:val="22"/>
          <w:vertAlign w:val="subscript"/>
          <w:lang w:val="en-US" w:eastAsia="zh-CN" w:bidi="ar"/>
        </w:rPr>
        <w:t>2.5</w:t>
      </w:r>
      <w:r>
        <w:rPr>
          <w:rStyle w:val="5"/>
          <w:rFonts w:hint="default" w:ascii="Times New Roman" w:hAnsi="Times New Roman" w:eastAsia="宋体" w:cs="Times New Roman"/>
          <w:color w:val="000000"/>
          <w:kern w:val="2"/>
          <w:sz w:val="22"/>
          <w:szCs w:val="22"/>
          <w:vertAlign w:val="baseline"/>
          <w:lang w:val="en-US" w:eastAsia="zh-CN" w:bidi="ar"/>
        </w:rPr>
        <w:t>(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continuous,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bidi="ar"/>
        </w:rPr>
        <w:t xml:space="preserve"> </w:t>
      </w:r>
      <w:r>
        <w:rPr>
          <w:rFonts w:ascii="Times New Roman" w:hAnsi="Times New Roman" w:eastAsia="Georgia" w:cs="Times New Roman"/>
          <w:color w:val="1F1F1F"/>
          <w:sz w:val="22"/>
          <w:szCs w:val="22"/>
        </w:rPr>
        <w:t>μm</w:t>
      </w:r>
      <w:r>
        <w:rPr>
          <w:rFonts w:hint="default" w:ascii="Times New Roman" w:hAnsi="Times New Roman" w:eastAsia="Georgia" w:cs="Times New Roman"/>
          <w:color w:val="1F1F1F"/>
          <w:sz w:val="22"/>
          <w:szCs w:val="22"/>
          <w:lang w:val="en-US"/>
        </w:rPr>
        <w:t>/m</w:t>
      </w:r>
      <w:r>
        <w:rPr>
          <w:rFonts w:hint="default" w:ascii="Times New Roman" w:hAnsi="Times New Roman" w:eastAsia="Georgia" w:cs="Times New Roman"/>
          <w:color w:val="1F1F1F"/>
          <w:sz w:val="22"/>
          <w:szCs w:val="22"/>
          <w:vertAlign w:val="superscript"/>
          <w:lang w:val="en-US"/>
        </w:rPr>
        <w:t>3</w:t>
      </w:r>
      <w:r>
        <w:rPr>
          <w:rStyle w:val="5"/>
          <w:rFonts w:hint="default" w:ascii="Times New Roman" w:hAnsi="Times New Roman" w:eastAsia="宋体" w:cs="Times New Roman"/>
          <w:color w:val="000000"/>
          <w:kern w:val="2"/>
          <w:sz w:val="22"/>
          <w:szCs w:val="22"/>
          <w:vertAlign w:val="baseline"/>
          <w:lang w:val="en-US" w:eastAsia="zh-CN" w:bidi="ar"/>
        </w:rPr>
        <w:t>)</w:t>
      </w:r>
      <w:r>
        <w:rPr>
          <w:rFonts w:hint="default" w:ascii="Times New Roman" w:hAnsi="Times New Roman" w:eastAsia="宋体" w:cs="Times New Roman"/>
          <w:b w:val="0"/>
          <w:bCs w:val="0"/>
          <w:sz w:val="18"/>
          <w:szCs w:val="18"/>
          <w:lang w:val="en-US" w:eastAsia="zh-CN"/>
        </w:rPr>
        <w:t>,</w:t>
      </w:r>
      <w:r>
        <w:rPr>
          <w:rFonts w:hint="eastAsia" w:ascii="Times New Roman" w:hAnsi="Times New Roman" w:eastAsia="宋体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hypertension base (Yes,No),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hyperlipid base (Yes,No),diet (Ideal and unhealthy) and home income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(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low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bidi="ar"/>
        </w:rPr>
        <w:t xml:space="preserve"> and 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high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)</w:t>
      </w:r>
      <w:r>
        <w:rPr>
          <w:rFonts w:hint="default" w:ascii="Times New Roman" w:hAnsi="Times New Roman" w:eastAsia="宋体" w:cs="Times New Roman"/>
          <w:b w:val="0"/>
          <w:bCs w:val="0"/>
          <w:sz w:val="18"/>
          <w:szCs w:val="18"/>
          <w:lang w:val="en-US" w:eastAsia="zh-CN"/>
        </w:rPr>
        <w:t>.</w:t>
      </w:r>
    </w:p>
    <w:p w14:paraId="28835010">
      <w:pPr>
        <w:spacing w:line="480" w:lineRule="auto"/>
        <w:rPr>
          <w:rStyle w:val="6"/>
          <w:rFonts w:eastAsia="宋体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Abbreviation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s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: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SD, standard deviation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; 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COPD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Chronic Obstructive Pulmonary Disease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.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HR, hazard ratio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; CI, confidence interval.</w:t>
      </w:r>
    </w:p>
    <w:p w14:paraId="3DAE1127">
      <w:pPr>
        <w:spacing w:line="480" w:lineRule="auto"/>
      </w:pPr>
      <w:r>
        <w:rPr>
          <w:rStyle w:val="6"/>
          <w:rFonts w:eastAsia="宋体"/>
          <w:i/>
          <w:iCs/>
          <w:lang w:bidi="ar"/>
        </w:rPr>
        <w:t>P</w:t>
      </w:r>
      <w:r>
        <w:rPr>
          <w:rStyle w:val="6"/>
          <w:rFonts w:eastAsia="宋体"/>
          <w:lang w:bidi="ar"/>
        </w:rPr>
        <w:t xml:space="preserve"> for trend was tested by using ordered integer values</w:t>
      </w:r>
      <w:r>
        <w:rPr>
          <w:rStyle w:val="6"/>
          <w:rFonts w:hint="eastAsia" w:eastAsia="宋体"/>
          <w:lang w:bidi="ar"/>
        </w:rPr>
        <w:t>.</w:t>
      </w:r>
    </w:p>
    <w:p w14:paraId="2B63B572">
      <w:pPr>
        <w:spacing w:line="480" w:lineRule="auto"/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FBEF9EC">
      <w:pPr>
        <w:spacing w:line="480" w:lineRule="auto"/>
        <w:rPr>
          <w:rFonts w:hint="default" w:eastAsia="宋体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bidi="ar"/>
        </w:rPr>
        <w:t xml:space="preserve">Table </w:t>
      </w:r>
      <w:r>
        <w:rPr>
          <w:rFonts w:hint="default" w:eastAsia="宋体" w:cs="Times New Roman"/>
          <w:b/>
          <w:bCs/>
          <w:color w:val="000000"/>
          <w:kern w:val="0"/>
          <w:sz w:val="22"/>
          <w:szCs w:val="22"/>
          <w:lang w:val="en-US" w:bidi="ar"/>
        </w:rPr>
        <w:t>X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bidi="ar"/>
        </w:rPr>
        <w:t>. Associations Between Benzene Exposure and the Risks of COPD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val="en-US" w:eastAsia="zh-CN" w:bidi="ar"/>
        </w:rPr>
        <w:t xml:space="preserve"> in sensitivity analyze Excluding Participants With Follow-Up Duration &lt; 2 Years</w:t>
      </w:r>
    </w:p>
    <w:tbl>
      <w:tblPr>
        <w:tblStyle w:val="2"/>
        <w:tblpPr w:leftFromText="180" w:rightFromText="180" w:vertAnchor="text" w:horzAnchor="page" w:tblpX="849" w:tblpY="271"/>
        <w:tblOverlap w:val="never"/>
        <w:tblW w:w="1109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2181"/>
        <w:gridCol w:w="1411"/>
        <w:gridCol w:w="1777"/>
        <w:gridCol w:w="1739"/>
        <w:gridCol w:w="1696"/>
        <w:gridCol w:w="1200"/>
      </w:tblGrid>
      <w:tr w14:paraId="65D15402">
        <w:trPr>
          <w:trHeight w:val="276" w:hRule="atLeast"/>
        </w:trPr>
        <w:tc>
          <w:tcPr>
            <w:tcW w:w="1090" w:type="dxa"/>
            <w:tcBorders>
              <w:top w:val="single" w:color="000000" w:sz="4" w:space="0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2BF947E2">
            <w:pP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18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C6D13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 w:val="22"/>
                <w:szCs w:val="22"/>
                <w:lang w:bidi="ar"/>
              </w:rPr>
              <w:t>Benzene(continuous)</w:t>
            </w:r>
          </w:p>
        </w:tc>
        <w:tc>
          <w:tcPr>
            <w:tcW w:w="6623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2228F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 w:val="22"/>
                <w:szCs w:val="22"/>
                <w:lang w:bidi="ar"/>
              </w:rPr>
              <w:t>Benzene(quartiles)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F3D159">
            <w:pP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</w:rPr>
            </w:pPr>
          </w:p>
        </w:tc>
      </w:tr>
      <w:tr w14:paraId="301FA6A2">
        <w:trPr>
          <w:trHeight w:val="564" w:hRule="atLeast"/>
        </w:trPr>
        <w:tc>
          <w:tcPr>
            <w:tcW w:w="109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7BDF3798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44CEA08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1B1B1B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1B1B1B"/>
                <w:kern w:val="0"/>
                <w:sz w:val="22"/>
                <w:szCs w:val="22"/>
                <w:lang w:bidi="ar"/>
              </w:rPr>
              <w:t>HR (95% CI) for 1 μg/m</w:t>
            </w:r>
            <w:r>
              <w:rPr>
                <w:rFonts w:ascii="Times New Roman" w:hAnsi="Times New Roman" w:eastAsia="宋体" w:cs="Times New Roman"/>
                <w:color w:val="1B1B1B"/>
                <w:kern w:val="0"/>
                <w:sz w:val="22"/>
                <w:szCs w:val="22"/>
                <w:vertAlign w:val="superscript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1B1B1B"/>
                <w:kern w:val="0"/>
                <w:sz w:val="22"/>
                <w:szCs w:val="22"/>
                <w:lang w:bidi="ar"/>
              </w:rPr>
              <w:t xml:space="preserve"> increase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10C2E09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1B1B1B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1B1B1B"/>
                <w:kern w:val="0"/>
                <w:sz w:val="22"/>
                <w:szCs w:val="22"/>
                <w:lang w:bidi="ar"/>
              </w:rPr>
              <w:t>Quartile 1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4219EF8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1B1B1B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1B1B1B"/>
                <w:kern w:val="0"/>
                <w:sz w:val="22"/>
                <w:szCs w:val="22"/>
                <w:lang w:bidi="ar"/>
              </w:rPr>
              <w:t>Quartile 2</w:t>
            </w:r>
          </w:p>
        </w:tc>
        <w:tc>
          <w:tcPr>
            <w:tcW w:w="173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1500C10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1B1B1B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1B1B1B"/>
                <w:kern w:val="0"/>
                <w:sz w:val="22"/>
                <w:szCs w:val="22"/>
                <w:lang w:bidi="ar"/>
              </w:rPr>
              <w:t>Quartile 3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05789D9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1B1B1B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1B1B1B"/>
                <w:kern w:val="0"/>
                <w:sz w:val="22"/>
                <w:szCs w:val="22"/>
                <w:lang w:bidi="ar"/>
              </w:rPr>
              <w:t>Quartile 4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56E23D1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for trend</w:t>
            </w:r>
          </w:p>
        </w:tc>
      </w:tr>
      <w:tr w14:paraId="1BA52C43">
        <w:trPr>
          <w:trHeight w:val="276" w:hRule="atLeast"/>
        </w:trPr>
        <w:tc>
          <w:tcPr>
            <w:tcW w:w="11094" w:type="dxa"/>
            <w:gridSpan w:val="7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277F96F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sz w:val="22"/>
                <w:szCs w:val="22"/>
                <w:lang w:val="en-US"/>
              </w:rPr>
              <w:t>COPD</w:t>
            </w:r>
          </w:p>
        </w:tc>
      </w:tr>
      <w:tr w14:paraId="33888E99">
        <w:trPr>
          <w:trHeight w:val="480" w:hRule="atLeast"/>
        </w:trPr>
        <w:tc>
          <w:tcPr>
            <w:tcW w:w="3271" w:type="dxa"/>
            <w:gridSpan w:val="2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723F516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 w:val="22"/>
                <w:szCs w:val="22"/>
                <w:lang w:bidi="ar"/>
              </w:rPr>
              <w:t>Case/Overall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1D0A055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882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71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085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026B3E2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435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bidi="ar"/>
              </w:rPr>
              <w:t>71,334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68D5816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632/71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334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6F0210C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806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bidi="ar"/>
              </w:rPr>
              <w:t>7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bidi="ar"/>
              </w:rPr>
              <w:t>335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44FF321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14:paraId="460441BD">
        <w:trPr>
          <w:trHeight w:val="481" w:hRule="atLeast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48EB6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Model 1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808AB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1.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bidi="ar"/>
              </w:rPr>
              <w:t>39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 (1.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bidi="ar"/>
              </w:rPr>
              <w:t>36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, 1.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bidi="ar"/>
              </w:rPr>
              <w:t>4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2)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0752A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Reference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DB99C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1.6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 (1.5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, 1.79)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7A472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1.95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 (1.8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, 2.1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381B7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2.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38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 (2.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19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, 2.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58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C58D8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14:paraId="731B2962">
        <w:trPr>
          <w:trHeight w:val="450" w:hRule="atLeast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A384A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Model 2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B8B33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1.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bidi="ar"/>
              </w:rPr>
              <w:t>38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 (1.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bidi="ar"/>
              </w:rPr>
              <w:t>32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, 1.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bidi="ar"/>
              </w:rPr>
              <w:t>46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EFBBD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Reference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8A3D9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1.6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 (1.4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, 1.7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8D2A5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1.8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67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97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97A85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2.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94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, 2.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29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E0EA7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14:paraId="2E23A1AD">
        <w:trPr>
          <w:trHeight w:val="491" w:hRule="atLeast"/>
        </w:trPr>
        <w:tc>
          <w:tcPr>
            <w:tcW w:w="10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E77950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Model 3</w:t>
            </w:r>
          </w:p>
        </w:tc>
        <w:tc>
          <w:tcPr>
            <w:tcW w:w="21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98C4A7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1.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bidi="ar"/>
              </w:rPr>
              <w:t>40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 (1.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bidi="ar"/>
              </w:rPr>
              <w:t>35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, 1.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bidi="ar"/>
              </w:rPr>
              <w:t>45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9D3C43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Reference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711B68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, 1.7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73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18F473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79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65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95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5C7AF7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2.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02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86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, 2.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DF3A35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</w:tbl>
    <w:p w14:paraId="675F99C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</w:pPr>
    </w:p>
    <w:p w14:paraId="5068B657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</w:pP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Model 1</w:t>
      </w:r>
      <w:r>
        <w:rPr>
          <w:rFonts w:hint="default" w:ascii="Times New Roman" w:hAnsi="Times New Roman" w:eastAsia="宋体" w:cs="Times New Roman"/>
          <w:b w:val="0"/>
          <w:bCs w:val="0"/>
          <w:sz w:val="18"/>
          <w:szCs w:val="18"/>
          <w:lang w:val="en-US" w:eastAsia="zh-CN"/>
        </w:rPr>
        <w:t>: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Age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(continuous, years), sex (female, male) .</w:t>
      </w:r>
    </w:p>
    <w:p w14:paraId="556652D1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Model 2:model 1 plus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BMI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(&lt;30 kg/m2, ≥30 kg/m2)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,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t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obacco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smoking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 xml:space="preserve"> (never, current or former smokers)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bidi="ar"/>
        </w:rPr>
        <w:t>,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alcohol consumption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(never, current or former drinkers) and physical activity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(inactive, active).</w:t>
      </w:r>
    </w:p>
    <w:p w14:paraId="45E88B8C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Model3:model 2 plus</w:t>
      </w:r>
      <w:r>
        <w:rPr>
          <w:rFonts w:hint="eastAsia" w:ascii="Times New Roman" w:hAnsi="Times New Roman" w:eastAsia="宋体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PM</w:t>
      </w:r>
      <w:r>
        <w:rPr>
          <w:rStyle w:val="5"/>
          <w:rFonts w:hint="default" w:ascii="Times New Roman" w:hAnsi="Times New Roman" w:eastAsia="宋体" w:cs="Times New Roman"/>
          <w:color w:val="000000"/>
          <w:kern w:val="2"/>
          <w:sz w:val="22"/>
          <w:szCs w:val="22"/>
          <w:vertAlign w:val="subscript"/>
          <w:lang w:val="en-US" w:eastAsia="zh-CN" w:bidi="ar"/>
        </w:rPr>
        <w:t>2.5</w:t>
      </w:r>
      <w:r>
        <w:rPr>
          <w:rStyle w:val="5"/>
          <w:rFonts w:hint="default" w:ascii="Times New Roman" w:hAnsi="Times New Roman" w:eastAsia="宋体" w:cs="Times New Roman"/>
          <w:color w:val="000000"/>
          <w:kern w:val="2"/>
          <w:sz w:val="22"/>
          <w:szCs w:val="22"/>
          <w:vertAlign w:val="baseline"/>
          <w:lang w:val="en-US" w:eastAsia="zh-CN" w:bidi="ar"/>
        </w:rPr>
        <w:t>(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continuous,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bidi="ar"/>
        </w:rPr>
        <w:t xml:space="preserve"> </w:t>
      </w:r>
      <w:r>
        <w:rPr>
          <w:rFonts w:ascii="Times New Roman" w:hAnsi="Times New Roman" w:eastAsia="Georgia" w:cs="Times New Roman"/>
          <w:color w:val="1F1F1F"/>
          <w:sz w:val="22"/>
          <w:szCs w:val="22"/>
        </w:rPr>
        <w:t>μm</w:t>
      </w:r>
      <w:r>
        <w:rPr>
          <w:rFonts w:hint="default" w:ascii="Times New Roman" w:hAnsi="Times New Roman" w:eastAsia="Georgia" w:cs="Times New Roman"/>
          <w:color w:val="1F1F1F"/>
          <w:sz w:val="22"/>
          <w:szCs w:val="22"/>
          <w:lang w:val="en-US"/>
        </w:rPr>
        <w:t>/m</w:t>
      </w:r>
      <w:r>
        <w:rPr>
          <w:rFonts w:hint="default" w:ascii="Times New Roman" w:hAnsi="Times New Roman" w:eastAsia="Georgia" w:cs="Times New Roman"/>
          <w:color w:val="1F1F1F"/>
          <w:sz w:val="22"/>
          <w:szCs w:val="22"/>
          <w:vertAlign w:val="superscript"/>
          <w:lang w:val="en-US"/>
        </w:rPr>
        <w:t>3</w:t>
      </w:r>
      <w:r>
        <w:rPr>
          <w:rStyle w:val="5"/>
          <w:rFonts w:hint="default" w:ascii="Times New Roman" w:hAnsi="Times New Roman" w:eastAsia="宋体" w:cs="Times New Roman"/>
          <w:color w:val="000000"/>
          <w:kern w:val="2"/>
          <w:sz w:val="22"/>
          <w:szCs w:val="22"/>
          <w:vertAlign w:val="baseline"/>
          <w:lang w:val="en-US" w:eastAsia="zh-CN" w:bidi="ar"/>
        </w:rPr>
        <w:t>)</w:t>
      </w:r>
      <w:r>
        <w:rPr>
          <w:rFonts w:hint="default" w:ascii="Times New Roman" w:hAnsi="Times New Roman" w:eastAsia="宋体" w:cs="Times New Roman"/>
          <w:b w:val="0"/>
          <w:bCs w:val="0"/>
          <w:sz w:val="18"/>
          <w:szCs w:val="18"/>
          <w:lang w:val="en-US" w:eastAsia="zh-CN"/>
        </w:rPr>
        <w:t>,</w:t>
      </w:r>
      <w:r>
        <w:rPr>
          <w:rFonts w:hint="eastAsia" w:ascii="Times New Roman" w:hAnsi="Times New Roman" w:eastAsia="宋体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hypertension base (Yes,No),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hyperlipid base (Yes,No),diet (Ideal and unhealthy) and home income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(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low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bidi="ar"/>
        </w:rPr>
        <w:t xml:space="preserve"> and 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high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)</w:t>
      </w:r>
      <w:r>
        <w:rPr>
          <w:rFonts w:hint="default" w:ascii="Times New Roman" w:hAnsi="Times New Roman" w:eastAsia="宋体" w:cs="Times New Roman"/>
          <w:b w:val="0"/>
          <w:bCs w:val="0"/>
          <w:sz w:val="18"/>
          <w:szCs w:val="18"/>
          <w:lang w:val="en-US" w:eastAsia="zh-CN"/>
        </w:rPr>
        <w:t>.</w:t>
      </w:r>
    </w:p>
    <w:p w14:paraId="435FDF1A">
      <w:pPr>
        <w:spacing w:line="480" w:lineRule="auto"/>
        <w:rPr>
          <w:rStyle w:val="6"/>
          <w:rFonts w:eastAsia="宋体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Abbreviation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s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: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SD, standard deviation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; 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COPD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Chronic Obstructive Pulmonary Disease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.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HR, hazard ratio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; CI, confidence interval.</w:t>
      </w:r>
    </w:p>
    <w:p w14:paraId="58E8C6CD">
      <w:pPr>
        <w:spacing w:line="480" w:lineRule="auto"/>
        <w:rPr>
          <w:rStyle w:val="6"/>
          <w:rFonts w:hint="eastAsia" w:eastAsia="宋体"/>
          <w:lang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Style w:val="6"/>
          <w:rFonts w:eastAsia="宋体"/>
          <w:i/>
          <w:iCs/>
          <w:lang w:bidi="ar"/>
        </w:rPr>
        <w:t>P</w:t>
      </w:r>
      <w:r>
        <w:rPr>
          <w:rStyle w:val="6"/>
          <w:rFonts w:eastAsia="宋体"/>
          <w:lang w:bidi="ar"/>
        </w:rPr>
        <w:t xml:space="preserve"> for trend was tested by using ordered integer values</w:t>
      </w:r>
      <w:r>
        <w:rPr>
          <w:rStyle w:val="6"/>
          <w:rFonts w:hint="eastAsia" w:eastAsia="宋体"/>
          <w:lang w:bidi="ar"/>
        </w:rPr>
        <w:t>.</w:t>
      </w:r>
    </w:p>
    <w:p w14:paraId="3291226E">
      <w:pPr>
        <w:spacing w:line="480" w:lineRule="auto"/>
        <w:rPr>
          <w:rStyle w:val="6"/>
          <w:rFonts w:hint="eastAsia" w:eastAsia="宋体"/>
          <w:lang w:bidi="ar"/>
        </w:rPr>
      </w:pPr>
    </w:p>
    <w:p w14:paraId="75F9AE34">
      <w:pPr>
        <w:rPr>
          <w:rFonts w:hint="default" w:eastAsiaTheme="minor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372735" cy="5889625"/>
            <wp:effectExtent l="0" t="0" r="12065" b="3175"/>
            <wp:docPr id="3" name="图片 3" descr="截屏2026-04-16 10.50.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截屏2026-04-16 10.50.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72735" cy="588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6CDCA">
      <w:pPr>
        <w:keepNext w:val="0"/>
        <w:keepLines w:val="0"/>
        <w:widowControl/>
        <w:suppressLineNumbers w:val="0"/>
        <w:spacing w:line="480" w:lineRule="auto"/>
        <w:jc w:val="left"/>
        <w:rPr>
          <w:rFonts w:hint="eastAsia" w:ascii="Times New Roman" w:hAnsi="Times New Roman" w:eastAsia="宋体" w:cs="Times New Roman"/>
          <w:color w:val="0F1115"/>
          <w:sz w:val="22"/>
          <w:szCs w:val="22"/>
          <w:shd w:val="clear" w:color="auto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宋体" w:cs="Times New Roman"/>
          <w:color w:val="0F1115"/>
          <w:sz w:val="22"/>
          <w:szCs w:val="22"/>
          <w:shd w:val="clear" w:color="auto" w:fill="FFFFFF"/>
        </w:rPr>
        <w:t>Figure</w:t>
      </w:r>
      <w:r>
        <w:rPr>
          <w:rFonts w:hint="default" w:eastAsia="宋体" w:cs="Times New Roman"/>
          <w:color w:val="0F1115"/>
          <w:sz w:val="22"/>
          <w:szCs w:val="22"/>
          <w:shd w:val="clear" w:color="auto" w:fill="FFFFFF"/>
          <w:lang w:val="en-US"/>
        </w:rPr>
        <w:t xml:space="preserve"> </w:t>
      </w:r>
      <w:r>
        <w:rPr>
          <w:rFonts w:hint="eastAsia" w:eastAsia="宋体" w:cs="Times New Roman"/>
          <w:color w:val="0F1115"/>
          <w:sz w:val="22"/>
          <w:szCs w:val="22"/>
          <w:shd w:val="clear" w:color="auto" w:fill="FFFFFF"/>
          <w:lang w:val="en-US" w:eastAsia="zh-CN"/>
        </w:rPr>
        <w:t xml:space="preserve">X  </w:t>
      </w:r>
      <w:r>
        <w:rPr>
          <w:rFonts w:ascii="Times New Roman" w:hAnsi="Times New Roman" w:eastAsia="宋体" w:cs="Times New Roman"/>
          <w:color w:val="0F1115"/>
          <w:sz w:val="22"/>
          <w:szCs w:val="22"/>
          <w:shd w:val="clear" w:color="auto" w:fill="FFFFFF"/>
          <w:lang w:val="en-US" w:eastAsia="zh-CN"/>
        </w:rPr>
        <w:t>Subgroup analysis of the association between long-term low-concentration ambient benzene exposure and incident chronic obstructive pulmonary disease risk</w:t>
      </w:r>
      <w:r>
        <w:rPr>
          <w:rFonts w:hint="default" w:eastAsia="宋体" w:cs="Times New Roman"/>
          <w:color w:val="0F1115"/>
          <w:sz w:val="22"/>
          <w:szCs w:val="22"/>
          <w:shd w:val="clear" w:color="auto" w:fill="FFFFFF"/>
          <w:lang w:val="en-US" w:eastAsia="zh-CN"/>
        </w:rPr>
        <w:t>.</w:t>
      </w:r>
      <w:r>
        <w:rPr>
          <w:rFonts w:eastAsia="宋体"/>
          <w:sz w:val="24"/>
          <w:szCs w:val="24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F1115"/>
          <w:sz w:val="22"/>
          <w:szCs w:val="22"/>
          <w:shd w:val="clear" w:color="auto" w:fill="FFFFFF"/>
          <w:lang w:val="en-US" w:eastAsia="zh-CN"/>
        </w:rPr>
        <w:t xml:space="preserve">BMI ( </w:t>
      </w:r>
      <w:r>
        <w:rPr>
          <w:rFonts w:hint="eastAsia" w:ascii="Times New Roman" w:hAnsi="Times New Roman" w:eastAsia="宋体" w:cs="Times New Roman"/>
          <w:color w:val="0F1115"/>
          <w:sz w:val="22"/>
          <w:szCs w:val="22"/>
          <w:shd w:val="clear" w:color="auto" w:fill="FFFFFF"/>
          <w:lang w:val="en-US" w:eastAsia="zh-CN"/>
        </w:rPr>
        <w:t xml:space="preserve">18.5 </w:t>
      </w:r>
      <w:r>
        <w:rPr>
          <w:rFonts w:ascii="Times New Roman" w:hAnsi="Times New Roman" w:eastAsia="宋体" w:cs="Times New Roman"/>
          <w:color w:val="0F1115"/>
          <w:sz w:val="22"/>
          <w:szCs w:val="22"/>
          <w:shd w:val="clear" w:color="auto" w:fill="FFFFFF"/>
          <w:lang w:val="en-US" w:eastAsia="zh-CN"/>
        </w:rPr>
        <w:t>kg/m2</w:t>
      </w:r>
      <w:r>
        <w:rPr>
          <w:rFonts w:hint="default" w:ascii="Times New Roman" w:hAnsi="Times New Roman" w:eastAsia="宋体" w:cs="Times New Roman"/>
          <w:color w:val="0F1115"/>
          <w:sz w:val="22"/>
          <w:szCs w:val="22"/>
          <w:shd w:val="clear" w:color="auto" w:fill="FFFFFF"/>
          <w:lang w:val="en-US" w:eastAsia="zh-CN"/>
        </w:rPr>
        <w:t xml:space="preserve"> -24.9 </w:t>
      </w:r>
      <w:r>
        <w:rPr>
          <w:rFonts w:ascii="Times New Roman" w:hAnsi="Times New Roman" w:eastAsia="宋体" w:cs="Times New Roman"/>
          <w:color w:val="0F1115"/>
          <w:sz w:val="22"/>
          <w:szCs w:val="22"/>
          <w:shd w:val="clear" w:color="auto" w:fill="FFFFFF"/>
          <w:lang w:val="en-US" w:eastAsia="zh-CN"/>
        </w:rPr>
        <w:t>kg/m</w:t>
      </w:r>
      <w:r>
        <w:rPr>
          <w:rFonts w:hint="default" w:ascii="Times New Roman" w:hAnsi="Times New Roman" w:eastAsia="宋体" w:cs="Times New Roman"/>
          <w:color w:val="0F1115"/>
          <w:sz w:val="22"/>
          <w:szCs w:val="22"/>
          <w:shd w:val="clear" w:color="auto" w:fill="FFFFFF"/>
          <w:lang w:val="en-US" w:eastAsia="zh-CN"/>
        </w:rPr>
        <w:t xml:space="preserve">, 25 </w:t>
      </w:r>
      <w:r>
        <w:rPr>
          <w:rFonts w:ascii="Times New Roman" w:hAnsi="Times New Roman" w:eastAsia="宋体" w:cs="Times New Roman"/>
          <w:color w:val="0F1115"/>
          <w:sz w:val="22"/>
          <w:szCs w:val="22"/>
          <w:shd w:val="clear" w:color="auto" w:fill="FFFFFF"/>
          <w:lang w:val="en-US" w:eastAsia="zh-CN"/>
        </w:rPr>
        <w:t>kg/m2</w:t>
      </w:r>
      <w:r>
        <w:rPr>
          <w:rFonts w:hint="default" w:ascii="Times New Roman" w:hAnsi="Times New Roman" w:eastAsia="宋体" w:cs="Times New Roman"/>
          <w:color w:val="0F1115"/>
          <w:sz w:val="22"/>
          <w:szCs w:val="22"/>
          <w:shd w:val="clear" w:color="auto" w:fill="FFFFFF"/>
          <w:lang w:val="en-US" w:eastAsia="zh-CN"/>
        </w:rPr>
        <w:t xml:space="preserve">- 29.9 </w:t>
      </w:r>
      <w:r>
        <w:rPr>
          <w:rFonts w:ascii="Times New Roman" w:hAnsi="Times New Roman" w:eastAsia="宋体" w:cs="Times New Roman"/>
          <w:color w:val="0F1115"/>
          <w:sz w:val="22"/>
          <w:szCs w:val="22"/>
          <w:shd w:val="clear" w:color="auto" w:fill="FFFFFF"/>
          <w:lang w:val="en-US" w:eastAsia="zh-CN"/>
        </w:rPr>
        <w:t>kg/m2</w:t>
      </w:r>
      <w:r>
        <w:rPr>
          <w:rFonts w:hint="default" w:ascii="Times New Roman" w:hAnsi="Times New Roman" w:eastAsia="宋体" w:cs="Times New Roman"/>
          <w:color w:val="0F1115"/>
          <w:sz w:val="22"/>
          <w:szCs w:val="22"/>
          <w:shd w:val="clear" w:color="auto" w:fill="FFFFFF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color w:val="0F1115"/>
          <w:sz w:val="22"/>
          <w:szCs w:val="22"/>
          <w:shd w:val="clear" w:color="auto" w:fill="FFFFFF"/>
          <w:lang w:val="en-US" w:eastAsia="zh-CN"/>
        </w:rPr>
        <w:t>, ≥30 kg/m2)</w:t>
      </w:r>
      <w:r>
        <w:rPr>
          <w:rFonts w:hint="default" w:eastAsia="宋体" w:cs="Times New Roman"/>
          <w:color w:val="0F1115"/>
          <w:sz w:val="22"/>
          <w:szCs w:val="22"/>
          <w:shd w:val="clear" w:color="auto" w:fill="FFFFFF"/>
          <w:lang w:val="en-US" w:eastAsia="zh-CN"/>
        </w:rPr>
        <w:t xml:space="preserve">, </w:t>
      </w:r>
      <w:r>
        <w:rPr>
          <w:rFonts w:ascii="Times New Roman" w:hAnsi="Times New Roman" w:eastAsia="宋体" w:cs="Times New Roman"/>
          <w:color w:val="0F1115"/>
          <w:sz w:val="22"/>
          <w:szCs w:val="22"/>
          <w:shd w:val="clear" w:color="auto" w:fill="FFFFFF"/>
          <w:lang w:val="en-US" w:eastAsia="zh-CN"/>
        </w:rPr>
        <w:t>PM2.5, particulate matter with diameter ≤</w:t>
      </w:r>
      <w:r>
        <w:rPr>
          <w:rFonts w:hint="eastAsia" w:ascii="Times New Roman" w:hAnsi="Times New Roman" w:eastAsia="宋体" w:cs="Times New Roman"/>
          <w:color w:val="0F1115"/>
          <w:sz w:val="22"/>
          <w:szCs w:val="22"/>
          <w:shd w:val="clear" w:color="auto" w:fill="FFFFFF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color w:val="0F1115"/>
          <w:sz w:val="22"/>
          <w:szCs w:val="22"/>
          <w:shd w:val="clear" w:color="auto" w:fill="FFFFFF"/>
          <w:lang w:val="en-US" w:eastAsia="zh-CN"/>
        </w:rPr>
        <w:t>2.5 μm;</w:t>
      </w:r>
    </w:p>
    <w:p w14:paraId="212F911E">
      <w:pPr>
        <w:keepNext w:val="0"/>
        <w:keepLines w:val="0"/>
        <w:widowControl/>
        <w:suppressLineNumbers w:val="0"/>
        <w:spacing w:line="480" w:lineRule="auto"/>
        <w:jc w:val="left"/>
        <w:rPr>
          <w:rFonts w:ascii="Times New Roman" w:hAnsi="Times New Roman" w:eastAsia="宋体" w:cs="Times New Roman"/>
          <w:color w:val="0F1115"/>
          <w:sz w:val="22"/>
          <w:szCs w:val="22"/>
          <w:shd w:val="clear" w:color="auto" w:fill="FFFFFF"/>
        </w:rPr>
      </w:pPr>
    </w:p>
    <w:p w14:paraId="18C97165">
      <w:pPr>
        <w:keepNext w:val="0"/>
        <w:keepLines w:val="0"/>
        <w:widowControl/>
        <w:suppressLineNumbers w:val="0"/>
        <w:spacing w:line="480" w:lineRule="auto"/>
        <w:jc w:val="left"/>
        <w:rPr>
          <w:rFonts w:ascii="Times New Roman" w:hAnsi="Times New Roman" w:eastAsia="宋体" w:cs="Times New Roman"/>
          <w:color w:val="0F1115"/>
          <w:sz w:val="22"/>
          <w:szCs w:val="22"/>
          <w:shd w:val="clear" w:color="auto" w:fill="FFFFFF"/>
        </w:rPr>
      </w:pPr>
    </w:p>
    <w:p w14:paraId="0511DF4F">
      <w:pPr>
        <w:keepNext w:val="0"/>
        <w:keepLines w:val="0"/>
        <w:widowControl/>
        <w:suppressLineNumbers w:val="0"/>
        <w:spacing w:line="480" w:lineRule="auto"/>
        <w:jc w:val="left"/>
        <w:rPr>
          <w:rFonts w:hint="eastAsia" w:ascii="Times New Roman" w:hAnsi="Times New Roman" w:eastAsia="宋体" w:cs="Times New Roman"/>
          <w:color w:val="0F1115"/>
          <w:sz w:val="22"/>
          <w:szCs w:val="22"/>
          <w:shd w:val="clear" w:color="auto" w:fill="FFFFFF"/>
          <w:lang w:eastAsia="zh-CN"/>
        </w:rPr>
      </w:pPr>
      <w:bookmarkStart w:id="0" w:name="_GoBack"/>
      <w:r>
        <w:rPr>
          <w:rFonts w:hint="eastAsia" w:ascii="Times New Roman" w:hAnsi="Times New Roman" w:eastAsia="宋体" w:cs="Times New Roman"/>
          <w:color w:val="0F1115"/>
          <w:sz w:val="22"/>
          <w:szCs w:val="22"/>
          <w:shd w:val="clear" w:color="auto" w:fill="FFFFFF"/>
          <w:lang w:eastAsia="zh-CN"/>
        </w:rPr>
        <w:drawing>
          <wp:inline distT="0" distB="0" distL="114300" distR="114300">
            <wp:extent cx="5760720" cy="3456940"/>
            <wp:effectExtent l="0" t="0" r="5080" b="22860"/>
            <wp:docPr id="5" name="图片 5" descr="imputation_stability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putation_stability_plot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7619CE2">
      <w:pPr>
        <w:keepNext w:val="0"/>
        <w:keepLines w:val="0"/>
        <w:widowControl/>
        <w:suppressLineNumbers w:val="0"/>
        <w:spacing w:line="480" w:lineRule="auto"/>
        <w:jc w:val="left"/>
        <w:rPr>
          <w:rFonts w:ascii="Times New Roman" w:hAnsi="Times New Roman" w:eastAsia="宋体" w:cs="Times New Roman"/>
          <w:color w:val="0F1115"/>
          <w:sz w:val="22"/>
          <w:szCs w:val="22"/>
          <w:shd w:val="clear" w:color="auto" w:fill="FFFFFF"/>
        </w:rPr>
      </w:pPr>
    </w:p>
    <w:p w14:paraId="45C86392">
      <w:pPr>
        <w:keepNext w:val="0"/>
        <w:keepLines w:val="0"/>
        <w:widowControl/>
        <w:suppressLineNumbers w:val="0"/>
        <w:spacing w:line="480" w:lineRule="auto"/>
        <w:jc w:val="left"/>
        <w:rPr>
          <w:rFonts w:ascii="Times New Roman" w:hAnsi="Times New Roman" w:eastAsia="宋体" w:cs="Times New Roman"/>
          <w:color w:val="0F1115"/>
          <w:sz w:val="22"/>
          <w:szCs w:val="22"/>
          <w:shd w:val="clear" w:color="auto" w:fill="FFFFFF"/>
        </w:rPr>
      </w:pPr>
      <w:r>
        <w:rPr>
          <w:rFonts w:ascii="Times New Roman" w:hAnsi="Times New Roman" w:eastAsia="宋体" w:cs="Times New Roman"/>
          <w:color w:val="0F1115"/>
          <w:sz w:val="22"/>
          <w:szCs w:val="22"/>
          <w:shd w:val="clear" w:color="auto" w:fill="FFFFFF"/>
        </w:rPr>
        <w:t>Figure</w:t>
      </w:r>
      <w:r>
        <w:rPr>
          <w:rFonts w:hint="default" w:eastAsia="宋体" w:cs="Times New Roman"/>
          <w:color w:val="0F1115"/>
          <w:sz w:val="22"/>
          <w:szCs w:val="22"/>
          <w:shd w:val="clear" w:color="auto" w:fill="FFFFFF"/>
          <w:lang w:val="en-US"/>
        </w:rPr>
        <w:t xml:space="preserve"> </w:t>
      </w:r>
      <w:r>
        <w:rPr>
          <w:rFonts w:hint="eastAsia" w:eastAsia="宋体" w:cs="Times New Roman"/>
          <w:color w:val="0F1115"/>
          <w:sz w:val="22"/>
          <w:szCs w:val="22"/>
          <w:shd w:val="clear" w:color="auto" w:fill="FFFFFF"/>
          <w:lang w:val="en-US" w:eastAsia="zh-CN"/>
        </w:rPr>
        <w:t xml:space="preserve">X  </w:t>
      </w:r>
      <w:r>
        <w:rPr>
          <w:rFonts w:ascii="Times New Roman" w:hAnsi="Times New Roman" w:eastAsia="宋体" w:cs="Times New Roman"/>
          <w:color w:val="0F1115"/>
          <w:sz w:val="22"/>
          <w:szCs w:val="22"/>
          <w:shd w:val="clear" w:color="auto" w:fill="FFFFFF"/>
          <w:lang w:val="en-US" w:eastAsia="zh-CN"/>
        </w:rPr>
        <w:t>This figure presents the stability of mean values for key variables (BMI, metabolic equivalent (met), phenotypic age (phenoage), PM</w:t>
      </w:r>
      <w:r>
        <w:rPr>
          <w:rFonts w:ascii="Times New Roman" w:hAnsi="Times New Roman" w:eastAsia="宋体" w:cs="Times New Roman"/>
          <w:color w:val="0F1115"/>
          <w:sz w:val="22"/>
          <w:szCs w:val="22"/>
          <w:shd w:val="clear" w:color="auto" w:fill="FFFFFF"/>
          <w:vertAlign w:val="subscript"/>
          <w:lang w:val="en-US" w:eastAsia="zh-CN"/>
        </w:rPr>
        <w:t xml:space="preserve">2.5 </w:t>
      </w:r>
      <w:r>
        <w:rPr>
          <w:rFonts w:ascii="Times New Roman" w:hAnsi="Times New Roman" w:eastAsia="宋体" w:cs="Times New Roman"/>
          <w:color w:val="0F1115"/>
          <w:sz w:val="22"/>
          <w:szCs w:val="22"/>
          <w:shd w:val="clear" w:color="auto" w:fill="FFFFFF"/>
          <w:lang w:val="en-US" w:eastAsia="zh-CN"/>
        </w:rPr>
        <w:t>exposure (pm</w:t>
      </w:r>
      <w:r>
        <w:rPr>
          <w:rFonts w:ascii="Times New Roman" w:hAnsi="Times New Roman" w:eastAsia="宋体" w:cs="Times New Roman"/>
          <w:color w:val="0F1115"/>
          <w:sz w:val="22"/>
          <w:szCs w:val="22"/>
          <w:shd w:val="clear" w:color="auto" w:fill="FFFFFF"/>
          <w:vertAlign w:val="subscript"/>
          <w:lang w:val="en-US" w:eastAsia="zh-CN"/>
        </w:rPr>
        <w:t>2</w:t>
      </w:r>
      <w:r>
        <w:rPr>
          <w:rFonts w:hint="default" w:eastAsia="宋体" w:cs="Times New Roman"/>
          <w:color w:val="0F1115"/>
          <w:sz w:val="22"/>
          <w:szCs w:val="22"/>
          <w:shd w:val="clear" w:color="auto" w:fill="FFFFFF"/>
          <w:vertAlign w:val="subscript"/>
          <w:lang w:val="en-US" w:eastAsia="zh-CN"/>
        </w:rPr>
        <w:t>.</w:t>
      </w:r>
      <w:r>
        <w:rPr>
          <w:rFonts w:ascii="Times New Roman" w:hAnsi="Times New Roman" w:eastAsia="宋体" w:cs="Times New Roman"/>
          <w:color w:val="0F1115"/>
          <w:sz w:val="22"/>
          <w:szCs w:val="22"/>
          <w:shd w:val="clear" w:color="auto" w:fill="FFFFFF"/>
          <w:vertAlign w:val="subscript"/>
          <w:lang w:val="en-US" w:eastAsia="zh-CN"/>
        </w:rPr>
        <w:t>5</w:t>
      </w:r>
      <w:r>
        <w:rPr>
          <w:rFonts w:ascii="Times New Roman" w:hAnsi="Times New Roman" w:eastAsia="宋体" w:cs="Times New Roman"/>
          <w:color w:val="0F1115"/>
          <w:sz w:val="22"/>
          <w:szCs w:val="22"/>
          <w:shd w:val="clear" w:color="auto" w:fill="FFFFFF"/>
          <w:lang w:val="en-US" w:eastAsia="zh-CN"/>
        </w:rPr>
        <w:t>), telomere length Z-score (telomereZ)) across 5 multiple imputation datasets. The near-constant mean values across all imputation sets indicate that the multiple imputation procedure yielded consistent and stable datasets, supporting the reliability of subsequent statistical analyses.</w:t>
      </w:r>
    </w:p>
    <w:p w14:paraId="57F5D1C8">
      <w:pPr>
        <w:rPr>
          <w:rFonts w:hint="default" w:eastAsia="宋体"/>
          <w:lang w:val="en-US" w:eastAsia="zh-CN"/>
        </w:rPr>
      </w:pPr>
    </w:p>
    <w:p w14:paraId="57799E81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Georgia">
    <w:panose1 w:val="02040502050405090303"/>
    <w:charset w:val="00"/>
    <w:family w:val="roman"/>
    <w:pitch w:val="default"/>
    <w:sig w:usb0="00000287" w:usb1="00000000" w:usb2="00000000" w:usb3="00000000" w:csb0="200000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EE19C3"/>
    <w:rsid w:val="7AFA33D3"/>
    <w:rsid w:val="7EEE19C3"/>
    <w:rsid w:val="7FDBE3B0"/>
    <w:rsid w:val="7FFC2B24"/>
    <w:rsid w:val="8D96DF2F"/>
    <w:rsid w:val="BE47C8A0"/>
    <w:rsid w:val="BEFABAA5"/>
    <w:rsid w:val="BFFE483D"/>
    <w:rsid w:val="CBBAEA62"/>
    <w:rsid w:val="DCD56FB9"/>
    <w:rsid w:val="E27F6014"/>
    <w:rsid w:val="EF3B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Times New Roman" w:hAnsi="Times New Roman" w:cs="Arial" w:eastAsiaTheme="minorEastAsia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16"/>
    <w:basedOn w:val="4"/>
    <w:uiPriority w:val="0"/>
    <w:rPr>
      <w:rFonts w:hint="default" w:ascii="Times New Roman" w:hAnsi="Times New Roman" w:cs="Times New Roman"/>
      <w:color w:val="000000"/>
      <w:sz w:val="22"/>
      <w:szCs w:val="22"/>
      <w:vertAlign w:val="subscript"/>
    </w:rPr>
  </w:style>
  <w:style w:type="character" w:customStyle="1" w:styleId="6">
    <w:name w:val="font11"/>
    <w:basedOn w:val="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2026-04-17T01:40:00Z</dcterms:created>
  <dc:creator>我爱看星星</dc:creator>
  <cp:lastModifiedBy>我爱看星星</cp:lastModifiedBy>
  <dcterms:modified xsi:type="dcterms:W3CDTF">2026-04-28T20:54:17Z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89C78E16A8A4E16E153EE069CABA4E5B_41</vt:lpwstr>
  </property>
</Properties>
</file>