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D063" w14:textId="77777777" w:rsidR="00BB05E2" w:rsidRDefault="00BB05E2" w:rsidP="00BB05E2">
      <w:pPr>
        <w:spacing w:line="360" w:lineRule="auto"/>
        <w:jc w:val="both"/>
        <w:rPr>
          <w:rFonts w:asciiTheme="majorHAnsi" w:hAnsiTheme="majorHAnsi" w:cstheme="majorHAnsi"/>
          <w:noProof/>
        </w:rPr>
      </w:pPr>
      <w:r>
        <w:rPr>
          <w:rFonts w:asciiTheme="majorHAnsi" w:hAnsiTheme="majorHAnsi" w:cstheme="majorHAnsi"/>
          <w:noProof/>
        </w:rPr>
        <w:t>Table 1: Phenotypic, genotypic and patients’ characteristics and their association with oxacillin disk susceptibility (defined as inhibition zone&gt;6 mm around 1</w:t>
      </w:r>
      <w:r>
        <w:rPr>
          <w:rFonts w:ascii="Calibri Light" w:hAnsi="Calibri Light" w:cs="Calibri Light"/>
          <w:noProof/>
        </w:rPr>
        <w:t>µ</w:t>
      </w:r>
      <w:r>
        <w:rPr>
          <w:rFonts w:asciiTheme="majorHAnsi" w:hAnsiTheme="majorHAnsi" w:cstheme="majorHAnsi"/>
          <w:noProof/>
        </w:rPr>
        <w:t>g oxacillin disk)</w:t>
      </w:r>
    </w:p>
    <w:tbl>
      <w:tblPr>
        <w:tblStyle w:val="TableGrid"/>
        <w:tblW w:w="12469" w:type="dxa"/>
        <w:tblLook w:val="04A0" w:firstRow="1" w:lastRow="0" w:firstColumn="1" w:lastColumn="0" w:noHBand="0" w:noVBand="1"/>
      </w:tblPr>
      <w:tblGrid>
        <w:gridCol w:w="3091"/>
        <w:gridCol w:w="1460"/>
        <w:gridCol w:w="1279"/>
        <w:gridCol w:w="2399"/>
        <w:gridCol w:w="1131"/>
        <w:gridCol w:w="2118"/>
        <w:gridCol w:w="991"/>
      </w:tblGrid>
      <w:tr w:rsidR="00BB05E2" w:rsidRPr="00122963" w14:paraId="043868D4" w14:textId="77777777" w:rsidTr="00BD03BD">
        <w:tc>
          <w:tcPr>
            <w:tcW w:w="3109" w:type="dxa"/>
          </w:tcPr>
          <w:p w14:paraId="3ECA466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FB882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Oxacillin disk ‘susceptible’</w:t>
            </w:r>
          </w:p>
          <w:p w14:paraId="7CA221F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N=205</w:t>
            </w:r>
          </w:p>
        </w:tc>
        <w:tc>
          <w:tcPr>
            <w:tcW w:w="1280" w:type="dxa"/>
          </w:tcPr>
          <w:p w14:paraId="72FEFC8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Oxacillin disk  ‘resistant’</w:t>
            </w:r>
          </w:p>
          <w:p w14:paraId="3B2B304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N=123</w:t>
            </w:r>
          </w:p>
        </w:tc>
        <w:tc>
          <w:tcPr>
            <w:tcW w:w="2410" w:type="dxa"/>
          </w:tcPr>
          <w:p w14:paraId="02E8985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uOR (95% CI)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for ‘susceptible’ phenotype</w:t>
            </w:r>
          </w:p>
        </w:tc>
        <w:tc>
          <w:tcPr>
            <w:tcW w:w="1134" w:type="dxa"/>
          </w:tcPr>
          <w:p w14:paraId="30284AE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P value</w:t>
            </w:r>
          </w:p>
        </w:tc>
        <w:tc>
          <w:tcPr>
            <w:tcW w:w="2126" w:type="dxa"/>
          </w:tcPr>
          <w:p w14:paraId="14CEFE0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OR (95% CI)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for ‘susceptible’ phenotype</w:t>
            </w:r>
          </w:p>
        </w:tc>
        <w:tc>
          <w:tcPr>
            <w:tcW w:w="992" w:type="dxa"/>
          </w:tcPr>
          <w:p w14:paraId="63F334A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P value</w:t>
            </w:r>
          </w:p>
        </w:tc>
      </w:tr>
      <w:tr w:rsidR="00BB05E2" w:rsidRPr="00122963" w14:paraId="031DF77B" w14:textId="77777777" w:rsidTr="00BD03BD">
        <w:tc>
          <w:tcPr>
            <w:tcW w:w="8217" w:type="dxa"/>
            <w:gridSpan w:val="4"/>
          </w:tcPr>
          <w:p w14:paraId="031A454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Genotype</w:t>
            </w:r>
          </w:p>
        </w:tc>
        <w:tc>
          <w:tcPr>
            <w:tcW w:w="1134" w:type="dxa"/>
          </w:tcPr>
          <w:p w14:paraId="21E0EB2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AAAEC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01120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05E2" w:rsidRPr="00122963" w14:paraId="4210C7E1" w14:textId="77777777" w:rsidTr="00BD03BD">
        <w:tc>
          <w:tcPr>
            <w:tcW w:w="3109" w:type="dxa"/>
          </w:tcPr>
          <w:p w14:paraId="2FABE81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ST</w:t>
            </w:r>
          </w:p>
          <w:p w14:paraId="70F3ECA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22 </w:t>
            </w:r>
          </w:p>
          <w:p w14:paraId="58CBF21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93 </w:t>
            </w:r>
          </w:p>
          <w:p w14:paraId="2313CB7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  <w:p w14:paraId="4970EC3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  <w:p w14:paraId="0C22FA5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  <w:p w14:paraId="34EA6E7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239</w:t>
            </w:r>
          </w:p>
          <w:p w14:paraId="209D828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  <w:p w14:paraId="55A676E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78</w:t>
            </w:r>
          </w:p>
          <w:p w14:paraId="6E2D26C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  <w:p w14:paraId="55369C5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Other</w:t>
            </w:r>
          </w:p>
        </w:tc>
        <w:tc>
          <w:tcPr>
            <w:tcW w:w="1418" w:type="dxa"/>
          </w:tcPr>
          <w:p w14:paraId="2B18272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8A28E1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10 (5)</w:t>
            </w:r>
          </w:p>
          <w:p w14:paraId="6F328F9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56 (27)</w:t>
            </w:r>
          </w:p>
          <w:p w14:paraId="01BAFE9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48 (23)</w:t>
            </w:r>
          </w:p>
          <w:p w14:paraId="7DC5371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29 (14)</w:t>
            </w:r>
          </w:p>
          <w:p w14:paraId="11E0ABC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16 (8)</w:t>
            </w:r>
          </w:p>
          <w:p w14:paraId="732AEA7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 (0)</w:t>
            </w:r>
          </w:p>
          <w:p w14:paraId="507132F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14 (7)</w:t>
            </w:r>
          </w:p>
          <w:p w14:paraId="21BD0AD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 (3)</w:t>
            </w:r>
          </w:p>
          <w:p w14:paraId="6C56B80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 (3)</w:t>
            </w:r>
          </w:p>
          <w:p w14:paraId="55DE7BB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20 (10)</w:t>
            </w:r>
          </w:p>
        </w:tc>
        <w:tc>
          <w:tcPr>
            <w:tcW w:w="1280" w:type="dxa"/>
          </w:tcPr>
          <w:p w14:paraId="533C3A7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9B1F0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66 (54)</w:t>
            </w:r>
          </w:p>
          <w:p w14:paraId="020118F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 (1)</w:t>
            </w:r>
          </w:p>
          <w:p w14:paraId="7F26BC8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8 (7)</w:t>
            </w:r>
          </w:p>
          <w:p w14:paraId="0C1A6A6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23 (19)</w:t>
            </w:r>
          </w:p>
          <w:p w14:paraId="6C6F904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4 (3)</w:t>
            </w:r>
          </w:p>
          <w:p w14:paraId="0EFE145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19 (15)</w:t>
            </w:r>
          </w:p>
          <w:p w14:paraId="445EF17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 (0)</w:t>
            </w:r>
          </w:p>
          <w:p w14:paraId="09636F3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 (0)</w:t>
            </w:r>
          </w:p>
          <w:p w14:paraId="46ADDE1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 (0)</w:t>
            </w:r>
          </w:p>
          <w:p w14:paraId="172E7ED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 (2)</w:t>
            </w:r>
          </w:p>
        </w:tc>
        <w:tc>
          <w:tcPr>
            <w:tcW w:w="2410" w:type="dxa"/>
          </w:tcPr>
          <w:p w14:paraId="6DC4A71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C4B04E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Ref</w:t>
            </w:r>
          </w:p>
          <w:p w14:paraId="5508135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238.5 (54.9-2270.1)</w:t>
            </w:r>
          </w:p>
          <w:p w14:paraId="31D9FED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36.1 (14.3-102.3)</w:t>
            </w:r>
          </w:p>
          <w:p w14:paraId="1313487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7.9 (3.5-19.3)</w:t>
            </w:r>
          </w:p>
          <w:p w14:paraId="65CFD17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23.2 (7.3-88.5)</w:t>
            </w:r>
          </w:p>
          <w:p w14:paraId="70A308E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0.16 (0-1.4)</w:t>
            </w:r>
          </w:p>
          <w:p w14:paraId="3999AE3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183.7 (21.7-24130.9)</w:t>
            </w:r>
          </w:p>
          <w:p w14:paraId="57BCFFE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82.3 (8.69-11039.1)</w:t>
            </w:r>
          </w:p>
          <w:p w14:paraId="08B1C97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82.3 (8.69-11039.1)</w:t>
            </w:r>
          </w:p>
          <w:p w14:paraId="278A827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51.9 (13.9-288.8)</w:t>
            </w:r>
          </w:p>
        </w:tc>
        <w:tc>
          <w:tcPr>
            <w:tcW w:w="1134" w:type="dxa"/>
          </w:tcPr>
          <w:p w14:paraId="07BBFDD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205656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0F69B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4E57A11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12CCDD9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585E57C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365955C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0.1</w:t>
            </w:r>
          </w:p>
          <w:p w14:paraId="1C3CF59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69A62EB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275C122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123147E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07A0F5D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03E90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05E2" w:rsidRPr="00122963" w14:paraId="0DB3CBF4" w14:textId="77777777" w:rsidTr="00BD03BD">
        <w:tc>
          <w:tcPr>
            <w:tcW w:w="3109" w:type="dxa"/>
          </w:tcPr>
          <w:p w14:paraId="18D0DE0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HA-MRSA lineage*</w:t>
            </w:r>
          </w:p>
          <w:p w14:paraId="1FE188F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CA-MRSA lineage*</w:t>
            </w:r>
          </w:p>
          <w:p w14:paraId="2A50DD0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Unclassified </w:t>
            </w:r>
          </w:p>
        </w:tc>
        <w:tc>
          <w:tcPr>
            <w:tcW w:w="1418" w:type="dxa"/>
          </w:tcPr>
          <w:p w14:paraId="7B3B1E5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2607EB8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17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84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18E3D16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280" w:type="dxa"/>
          </w:tcPr>
          <w:p w14:paraId="76E4D55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101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82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43DA9AD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20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16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34740C2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302A49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Ref</w:t>
            </w:r>
          </w:p>
          <w:p w14:paraId="7770CA5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72.8 (35.4-162)</w:t>
            </w:r>
          </w:p>
          <w:p w14:paraId="3D100A4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84.2 (21.3-571)</w:t>
            </w:r>
          </w:p>
        </w:tc>
        <w:tc>
          <w:tcPr>
            <w:tcW w:w="1134" w:type="dxa"/>
          </w:tcPr>
          <w:p w14:paraId="2B67448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BB9BE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3F587F4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41178D8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9D398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05E2" w:rsidRPr="00122963" w14:paraId="3F023E92" w14:textId="77777777" w:rsidTr="00BD03BD">
        <w:tc>
          <w:tcPr>
            <w:tcW w:w="3109" w:type="dxa"/>
          </w:tcPr>
          <w:p w14:paraId="45A40B0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mecA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 xml:space="preserve"> allele</w:t>
            </w:r>
          </w:p>
          <w:p w14:paraId="414919D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R1</w:t>
            </w:r>
          </w:p>
          <w:p w14:paraId="2C71FDD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R2</w:t>
            </w:r>
          </w:p>
          <w:p w14:paraId="2C23F0A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R3</w:t>
            </w:r>
          </w:p>
          <w:p w14:paraId="79D5194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R4</w:t>
            </w:r>
          </w:p>
          <w:p w14:paraId="7F3893D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S1</w:t>
            </w:r>
          </w:p>
          <w:p w14:paraId="388D468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S2</w:t>
            </w:r>
          </w:p>
          <w:p w14:paraId="1ED84AC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S3</w:t>
            </w:r>
          </w:p>
          <w:p w14:paraId="6ABA10B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S5</w:t>
            </w:r>
          </w:p>
        </w:tc>
        <w:tc>
          <w:tcPr>
            <w:tcW w:w="1418" w:type="dxa"/>
          </w:tcPr>
          <w:p w14:paraId="7F20BE9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63D36F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8 (4)</w:t>
            </w:r>
          </w:p>
          <w:p w14:paraId="1573A3B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 (0.5)</w:t>
            </w:r>
          </w:p>
          <w:p w14:paraId="105B629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 (0)</w:t>
            </w:r>
          </w:p>
          <w:p w14:paraId="1CE30C6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 (0.5)</w:t>
            </w:r>
          </w:p>
          <w:p w14:paraId="4D5FD6C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4 (2)</w:t>
            </w:r>
          </w:p>
          <w:p w14:paraId="70BFB12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123 (60)</w:t>
            </w:r>
          </w:p>
          <w:p w14:paraId="04FC716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55 (27)</w:t>
            </w:r>
          </w:p>
          <w:p w14:paraId="63981C1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13 (6)</w:t>
            </w:r>
          </w:p>
        </w:tc>
        <w:tc>
          <w:tcPr>
            <w:tcW w:w="1280" w:type="dxa"/>
          </w:tcPr>
          <w:p w14:paraId="5D799E3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DB8000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63 (51)</w:t>
            </w:r>
          </w:p>
          <w:p w14:paraId="36E6923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31 (25)</w:t>
            </w:r>
          </w:p>
          <w:p w14:paraId="468346B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 (3)</w:t>
            </w:r>
          </w:p>
          <w:p w14:paraId="353D411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 (4)</w:t>
            </w:r>
          </w:p>
          <w:p w14:paraId="09F7AC7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 (0)</w:t>
            </w:r>
          </w:p>
          <w:p w14:paraId="7D9FE3C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19 (15)</w:t>
            </w:r>
          </w:p>
          <w:p w14:paraId="79F37E3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 (2)</w:t>
            </w:r>
          </w:p>
          <w:p w14:paraId="0D3D4A1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 (0)</w:t>
            </w:r>
          </w:p>
        </w:tc>
        <w:tc>
          <w:tcPr>
            <w:tcW w:w="2410" w:type="dxa"/>
          </w:tcPr>
          <w:p w14:paraId="034F121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B74F03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Ref</w:t>
            </w:r>
          </w:p>
          <w:p w14:paraId="20313AB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0.35 (0.04-1.69)</w:t>
            </w:r>
          </w:p>
          <w:p w14:paraId="1BA748A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1.06 (0-1.25)</w:t>
            </w:r>
          </w:p>
          <w:p w14:paraId="7B9C189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2.04 (0.19-1.21)</w:t>
            </w:r>
          </w:p>
          <w:p w14:paraId="2E68EF4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67.23 (6.34-9.21)</w:t>
            </w:r>
          </w:p>
          <w:p w14:paraId="0AAF52E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47.31 (20.99-118.89)</w:t>
            </w:r>
          </w:p>
          <w:p w14:paraId="030D1E6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165.84 (45.61-919.73)</w:t>
            </w:r>
          </w:p>
          <w:p w14:paraId="2954E44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201.70 (23.13-26691)</w:t>
            </w:r>
          </w:p>
        </w:tc>
        <w:tc>
          <w:tcPr>
            <w:tcW w:w="1134" w:type="dxa"/>
          </w:tcPr>
          <w:p w14:paraId="38C6903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96D08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8CB1A1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0.21</w:t>
            </w:r>
          </w:p>
          <w:p w14:paraId="42B3F98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0.9</w:t>
            </w:r>
          </w:p>
          <w:p w14:paraId="0D77C95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0.5</w:t>
            </w:r>
          </w:p>
          <w:p w14:paraId="4773012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21FF9E5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666953E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  <w:p w14:paraId="71C4B3E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2235E5A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B9125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05E2" w:rsidRPr="00122963" w14:paraId="1CE5CA29" w14:textId="77777777" w:rsidTr="00BD03BD">
        <w:tc>
          <w:tcPr>
            <w:tcW w:w="3109" w:type="dxa"/>
          </w:tcPr>
          <w:p w14:paraId="5427372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Any ‘susceptible’ genotype</w:t>
            </w:r>
          </w:p>
        </w:tc>
        <w:tc>
          <w:tcPr>
            <w:tcW w:w="1418" w:type="dxa"/>
          </w:tcPr>
          <w:p w14:paraId="7F7B1A3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195 (95)</w:t>
            </w:r>
          </w:p>
        </w:tc>
        <w:tc>
          <w:tcPr>
            <w:tcW w:w="1280" w:type="dxa"/>
          </w:tcPr>
          <w:p w14:paraId="30A9D4C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21 (17)</w:t>
            </w:r>
          </w:p>
        </w:tc>
        <w:tc>
          <w:tcPr>
            <w:tcW w:w="2410" w:type="dxa"/>
          </w:tcPr>
          <w:p w14:paraId="7E538DB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94.7 (44.9-220)</w:t>
            </w:r>
          </w:p>
        </w:tc>
        <w:tc>
          <w:tcPr>
            <w:tcW w:w="1134" w:type="dxa"/>
          </w:tcPr>
          <w:p w14:paraId="66704F4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7D9EB18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0CAA1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05E2" w:rsidRPr="00122963" w14:paraId="1E0A8253" w14:textId="77777777" w:rsidTr="00BD03BD">
        <w:tc>
          <w:tcPr>
            <w:tcW w:w="8217" w:type="dxa"/>
            <w:gridSpan w:val="4"/>
          </w:tcPr>
          <w:p w14:paraId="36895B4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Participants characteristics**</w:t>
            </w:r>
          </w:p>
        </w:tc>
        <w:tc>
          <w:tcPr>
            <w:tcW w:w="1134" w:type="dxa"/>
          </w:tcPr>
          <w:p w14:paraId="4E7F076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4C1A7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A0207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05E2" w:rsidRPr="00122963" w14:paraId="6DE2E8B0" w14:textId="77777777" w:rsidTr="00BD03BD">
        <w:tc>
          <w:tcPr>
            <w:tcW w:w="3109" w:type="dxa"/>
          </w:tcPr>
          <w:p w14:paraId="14365EC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DDD93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Oxacillin disk ‘susceptible’</w:t>
            </w:r>
          </w:p>
          <w:p w14:paraId="4DE321A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N=204</w:t>
            </w:r>
          </w:p>
        </w:tc>
        <w:tc>
          <w:tcPr>
            <w:tcW w:w="1280" w:type="dxa"/>
          </w:tcPr>
          <w:p w14:paraId="1D8E8AC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Oxacillin disk ‘resistant’</w:t>
            </w:r>
          </w:p>
          <w:p w14:paraId="006F24A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N=122</w:t>
            </w:r>
          </w:p>
        </w:tc>
        <w:tc>
          <w:tcPr>
            <w:tcW w:w="2410" w:type="dxa"/>
          </w:tcPr>
          <w:p w14:paraId="42DECAA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uOR (95% CI)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for ‘susceptible’ phenotype</w:t>
            </w:r>
          </w:p>
        </w:tc>
        <w:tc>
          <w:tcPr>
            <w:tcW w:w="1134" w:type="dxa"/>
          </w:tcPr>
          <w:p w14:paraId="78113F4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 value</w:t>
            </w:r>
          </w:p>
        </w:tc>
        <w:tc>
          <w:tcPr>
            <w:tcW w:w="2126" w:type="dxa"/>
          </w:tcPr>
          <w:p w14:paraId="48B5B7E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OR (95% CI)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for ‘susceptible’ phenotype</w:t>
            </w:r>
          </w:p>
        </w:tc>
        <w:tc>
          <w:tcPr>
            <w:tcW w:w="992" w:type="dxa"/>
          </w:tcPr>
          <w:p w14:paraId="7E5DC1D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P value</w:t>
            </w:r>
          </w:p>
        </w:tc>
      </w:tr>
      <w:tr w:rsidR="00BB05E2" w:rsidRPr="00122963" w14:paraId="014451BD" w14:textId="77777777" w:rsidTr="00BD03BD">
        <w:tc>
          <w:tcPr>
            <w:tcW w:w="3109" w:type="dxa"/>
          </w:tcPr>
          <w:p w14:paraId="3505AB2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Age (median, IQR)</w:t>
            </w:r>
          </w:p>
        </w:tc>
        <w:tc>
          <w:tcPr>
            <w:tcW w:w="1418" w:type="dxa"/>
          </w:tcPr>
          <w:p w14:paraId="358339A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58 (43-73)</w:t>
            </w:r>
          </w:p>
        </w:tc>
        <w:tc>
          <w:tcPr>
            <w:tcW w:w="1280" w:type="dxa"/>
          </w:tcPr>
          <w:p w14:paraId="064790A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68 (58-79)</w:t>
            </w:r>
          </w:p>
        </w:tc>
        <w:tc>
          <w:tcPr>
            <w:tcW w:w="2410" w:type="dxa"/>
          </w:tcPr>
          <w:p w14:paraId="0284964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0.97 (0.95-0.98)</w:t>
            </w:r>
          </w:p>
        </w:tc>
        <w:tc>
          <w:tcPr>
            <w:tcW w:w="1134" w:type="dxa"/>
          </w:tcPr>
          <w:p w14:paraId="3387070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5E2659F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5613D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05E2" w:rsidRPr="00122963" w14:paraId="27E40600" w14:textId="77777777" w:rsidTr="00BD03BD">
        <w:tc>
          <w:tcPr>
            <w:tcW w:w="3109" w:type="dxa"/>
          </w:tcPr>
          <w:p w14:paraId="3500745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Sex (male)</w:t>
            </w:r>
          </w:p>
        </w:tc>
        <w:tc>
          <w:tcPr>
            <w:tcW w:w="1418" w:type="dxa"/>
          </w:tcPr>
          <w:p w14:paraId="6D7BE3B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130 (64)</w:t>
            </w:r>
          </w:p>
        </w:tc>
        <w:tc>
          <w:tcPr>
            <w:tcW w:w="1280" w:type="dxa"/>
          </w:tcPr>
          <w:p w14:paraId="44DAD14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85 (70)</w:t>
            </w:r>
          </w:p>
        </w:tc>
        <w:tc>
          <w:tcPr>
            <w:tcW w:w="2410" w:type="dxa"/>
          </w:tcPr>
          <w:p w14:paraId="199C1BE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0.76 (0.47-1.23)</w:t>
            </w:r>
          </w:p>
        </w:tc>
        <w:tc>
          <w:tcPr>
            <w:tcW w:w="1134" w:type="dxa"/>
          </w:tcPr>
          <w:p w14:paraId="14E7A88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0.3</w:t>
            </w:r>
          </w:p>
        </w:tc>
        <w:tc>
          <w:tcPr>
            <w:tcW w:w="2126" w:type="dxa"/>
          </w:tcPr>
          <w:p w14:paraId="1639896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0.74 (0.42-1.28)</w:t>
            </w:r>
          </w:p>
        </w:tc>
        <w:tc>
          <w:tcPr>
            <w:tcW w:w="992" w:type="dxa"/>
          </w:tcPr>
          <w:p w14:paraId="3858208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0.3</w:t>
            </w:r>
          </w:p>
        </w:tc>
      </w:tr>
      <w:tr w:rsidR="00BB05E2" w:rsidRPr="00122963" w14:paraId="6E241492" w14:textId="77777777" w:rsidTr="00BD03BD">
        <w:tc>
          <w:tcPr>
            <w:tcW w:w="3109" w:type="dxa"/>
          </w:tcPr>
          <w:p w14:paraId="71C7019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Charlson Comorbidity Index (median, IQR)</w:t>
            </w:r>
          </w:p>
        </w:tc>
        <w:tc>
          <w:tcPr>
            <w:tcW w:w="1418" w:type="dxa"/>
          </w:tcPr>
          <w:p w14:paraId="7A95FF8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4 (1-7)</w:t>
            </w:r>
          </w:p>
        </w:tc>
        <w:tc>
          <w:tcPr>
            <w:tcW w:w="1280" w:type="dxa"/>
          </w:tcPr>
          <w:p w14:paraId="67781AD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6 (4-8)</w:t>
            </w:r>
          </w:p>
        </w:tc>
        <w:tc>
          <w:tcPr>
            <w:tcW w:w="2410" w:type="dxa"/>
          </w:tcPr>
          <w:p w14:paraId="05AA39E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0.85 (0.79-0.91)</w:t>
            </w:r>
          </w:p>
        </w:tc>
        <w:tc>
          <w:tcPr>
            <w:tcW w:w="1134" w:type="dxa"/>
          </w:tcPr>
          <w:p w14:paraId="6E7CAC5B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3FED23E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0.90 (0.82-0.98)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***</w:t>
            </w:r>
          </w:p>
        </w:tc>
        <w:tc>
          <w:tcPr>
            <w:tcW w:w="992" w:type="dxa"/>
          </w:tcPr>
          <w:p w14:paraId="0787571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0.01</w:t>
            </w:r>
          </w:p>
        </w:tc>
      </w:tr>
      <w:tr w:rsidR="00BB05E2" w:rsidRPr="00122963" w14:paraId="5ED7C6D5" w14:textId="77777777" w:rsidTr="00BD03BD">
        <w:tc>
          <w:tcPr>
            <w:tcW w:w="3109" w:type="dxa"/>
          </w:tcPr>
          <w:p w14:paraId="7936065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Acquisition</w:t>
            </w:r>
          </w:p>
          <w:p w14:paraId="289F428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Hospital</w:t>
            </w:r>
          </w:p>
          <w:p w14:paraId="00C9058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Healthcare associated</w:t>
            </w:r>
          </w:p>
          <w:p w14:paraId="3AE69C0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Community</w:t>
            </w:r>
          </w:p>
        </w:tc>
        <w:tc>
          <w:tcPr>
            <w:tcW w:w="1418" w:type="dxa"/>
          </w:tcPr>
          <w:p w14:paraId="3BFCC66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B537CF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50 (25)</w:t>
            </w:r>
          </w:p>
          <w:p w14:paraId="7CEEB22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56 (27)</w:t>
            </w:r>
          </w:p>
          <w:p w14:paraId="6C355D8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98 (48)</w:t>
            </w:r>
          </w:p>
        </w:tc>
        <w:tc>
          <w:tcPr>
            <w:tcW w:w="1280" w:type="dxa"/>
          </w:tcPr>
          <w:p w14:paraId="565107E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DA86A3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48 (39)</w:t>
            </w:r>
          </w:p>
          <w:p w14:paraId="40FF257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50 (41)</w:t>
            </w:r>
          </w:p>
          <w:p w14:paraId="174CC7F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24 (20)</w:t>
            </w:r>
          </w:p>
        </w:tc>
        <w:tc>
          <w:tcPr>
            <w:tcW w:w="2410" w:type="dxa"/>
          </w:tcPr>
          <w:p w14:paraId="779FBC4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607959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Ref</w:t>
            </w:r>
          </w:p>
          <w:p w14:paraId="2C027D9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1.08 (0.62-1.87)</w:t>
            </w:r>
          </w:p>
          <w:p w14:paraId="7698415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3.92 (2.18-7.21)</w:t>
            </w:r>
          </w:p>
        </w:tc>
        <w:tc>
          <w:tcPr>
            <w:tcW w:w="1134" w:type="dxa"/>
          </w:tcPr>
          <w:p w14:paraId="4A0EED9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BD64A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CAB68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0.8</w:t>
            </w:r>
          </w:p>
          <w:p w14:paraId="48CA2A4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0EC56EB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362D4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Ref</w:t>
            </w:r>
          </w:p>
          <w:p w14:paraId="0474478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0.73 (0.39-1.38)</w:t>
            </w:r>
          </w:p>
          <w:p w14:paraId="7BE9B3A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2.09 (1.03-4.27)</w:t>
            </w:r>
          </w:p>
        </w:tc>
        <w:tc>
          <w:tcPr>
            <w:tcW w:w="992" w:type="dxa"/>
          </w:tcPr>
          <w:p w14:paraId="4F9D054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E11E5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855880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0.3</w:t>
            </w:r>
          </w:p>
          <w:p w14:paraId="44507CF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0.04</w:t>
            </w:r>
          </w:p>
        </w:tc>
      </w:tr>
      <w:tr w:rsidR="00BB05E2" w:rsidRPr="00122963" w14:paraId="0EE01304" w14:textId="77777777" w:rsidTr="00BD03BD">
        <w:tc>
          <w:tcPr>
            <w:tcW w:w="3109" w:type="dxa"/>
          </w:tcPr>
          <w:p w14:paraId="16F3B9D0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Country</w:t>
            </w:r>
          </w:p>
          <w:p w14:paraId="1F2C31A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Australia/ New Zealand</w:t>
            </w:r>
          </w:p>
          <w:p w14:paraId="7D79023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Singapore</w:t>
            </w:r>
          </w:p>
          <w:p w14:paraId="26570D8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Israel</w:t>
            </w:r>
          </w:p>
        </w:tc>
        <w:tc>
          <w:tcPr>
            <w:tcW w:w="1418" w:type="dxa"/>
          </w:tcPr>
          <w:p w14:paraId="74AF2FE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FCCFF9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169 (83)</w:t>
            </w:r>
          </w:p>
          <w:p w14:paraId="7677167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32 (16)</w:t>
            </w:r>
          </w:p>
          <w:p w14:paraId="51A55A0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 (1)</w:t>
            </w:r>
          </w:p>
        </w:tc>
        <w:tc>
          <w:tcPr>
            <w:tcW w:w="1280" w:type="dxa"/>
          </w:tcPr>
          <w:p w14:paraId="4F7C6C9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35E4B05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72 (59)</w:t>
            </w:r>
          </w:p>
          <w:p w14:paraId="0370F62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21 (17)</w:t>
            </w:r>
          </w:p>
          <w:p w14:paraId="1FA103D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29 (24)</w:t>
            </w:r>
          </w:p>
        </w:tc>
        <w:tc>
          <w:tcPr>
            <w:tcW w:w="2410" w:type="dxa"/>
          </w:tcPr>
          <w:p w14:paraId="7F1C8992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4D690A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Ref</w:t>
            </w:r>
          </w:p>
          <w:p w14:paraId="36788F8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0.65 (0.35-1.21)</w:t>
            </w:r>
          </w:p>
          <w:p w14:paraId="4A2698E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0.04 (0.01-0.13)</w:t>
            </w:r>
          </w:p>
        </w:tc>
        <w:tc>
          <w:tcPr>
            <w:tcW w:w="1134" w:type="dxa"/>
          </w:tcPr>
          <w:p w14:paraId="45C51A4E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58EFF3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9E2F6B8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0.2</w:t>
            </w:r>
          </w:p>
          <w:p w14:paraId="231FBAB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134B28C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568C89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Ref</w:t>
            </w:r>
          </w:p>
          <w:p w14:paraId="5FE32DD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0.96 (0.49-1.90)</w:t>
            </w:r>
          </w:p>
          <w:p w14:paraId="2961FEF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0.05 (0.01-0.15)</w:t>
            </w:r>
          </w:p>
        </w:tc>
        <w:tc>
          <w:tcPr>
            <w:tcW w:w="992" w:type="dxa"/>
          </w:tcPr>
          <w:p w14:paraId="2F7F71F2" w14:textId="77777777" w:rsidR="00BB05E2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432270" w14:textId="77777777" w:rsidR="00BB05E2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8CEE23" w14:textId="77777777" w:rsidR="00BB05E2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0.9</w:t>
            </w:r>
          </w:p>
          <w:p w14:paraId="3A98B18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&lt;0.001</w:t>
            </w:r>
          </w:p>
        </w:tc>
      </w:tr>
      <w:tr w:rsidR="00BB05E2" w:rsidRPr="00122963" w14:paraId="228A0DA0" w14:textId="77777777" w:rsidTr="00BD03BD">
        <w:tc>
          <w:tcPr>
            <w:tcW w:w="3109" w:type="dxa"/>
          </w:tcPr>
          <w:p w14:paraId="45463B0C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SOFA score- median (IQR)</w:t>
            </w:r>
          </w:p>
        </w:tc>
        <w:tc>
          <w:tcPr>
            <w:tcW w:w="1418" w:type="dxa"/>
          </w:tcPr>
          <w:p w14:paraId="325416D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1 (0-4)</w:t>
            </w:r>
          </w:p>
        </w:tc>
        <w:tc>
          <w:tcPr>
            <w:tcW w:w="1280" w:type="dxa"/>
          </w:tcPr>
          <w:p w14:paraId="5EFD545A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 (1-5)</w:t>
            </w:r>
          </w:p>
        </w:tc>
        <w:tc>
          <w:tcPr>
            <w:tcW w:w="2410" w:type="dxa"/>
          </w:tcPr>
          <w:p w14:paraId="3799F283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0.86(0.78-0.95)</w:t>
            </w:r>
          </w:p>
        </w:tc>
        <w:tc>
          <w:tcPr>
            <w:tcW w:w="1134" w:type="dxa"/>
          </w:tcPr>
          <w:p w14:paraId="27F9620F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0.002</w:t>
            </w:r>
          </w:p>
        </w:tc>
        <w:tc>
          <w:tcPr>
            <w:tcW w:w="2126" w:type="dxa"/>
          </w:tcPr>
          <w:p w14:paraId="2533A47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0.88 (0.79-0.98)</w:t>
            </w:r>
          </w:p>
        </w:tc>
        <w:tc>
          <w:tcPr>
            <w:tcW w:w="992" w:type="dxa"/>
          </w:tcPr>
          <w:p w14:paraId="4938C92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0.02</w:t>
            </w:r>
          </w:p>
        </w:tc>
      </w:tr>
      <w:tr w:rsidR="00BB05E2" w:rsidRPr="00122963" w14:paraId="3D8C8B2D" w14:textId="77777777" w:rsidTr="00BD03BD">
        <w:tc>
          <w:tcPr>
            <w:tcW w:w="3109" w:type="dxa"/>
          </w:tcPr>
          <w:p w14:paraId="253983E6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Diagnosis of endocarditis</w:t>
            </w:r>
          </w:p>
        </w:tc>
        <w:tc>
          <w:tcPr>
            <w:tcW w:w="1418" w:type="dxa"/>
          </w:tcPr>
          <w:p w14:paraId="2A85E10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33 (16)</w:t>
            </w:r>
          </w:p>
        </w:tc>
        <w:tc>
          <w:tcPr>
            <w:tcW w:w="1280" w:type="dxa"/>
          </w:tcPr>
          <w:p w14:paraId="6D178909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9 (7)</w:t>
            </w:r>
          </w:p>
        </w:tc>
        <w:tc>
          <w:tcPr>
            <w:tcW w:w="2410" w:type="dxa"/>
          </w:tcPr>
          <w:p w14:paraId="3AF10BE4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2.42 (1.16-5.56)</w:t>
            </w:r>
          </w:p>
        </w:tc>
        <w:tc>
          <w:tcPr>
            <w:tcW w:w="1134" w:type="dxa"/>
          </w:tcPr>
          <w:p w14:paraId="4C61F9C7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2963">
              <w:rPr>
                <w:rFonts w:asciiTheme="majorHAnsi" w:hAnsiTheme="majorHAnsi" w:cstheme="majorHAnsi"/>
                <w:sz w:val="24"/>
                <w:szCs w:val="24"/>
              </w:rPr>
              <w:t>0.025</w:t>
            </w:r>
          </w:p>
        </w:tc>
        <w:tc>
          <w:tcPr>
            <w:tcW w:w="2126" w:type="dxa"/>
          </w:tcPr>
          <w:p w14:paraId="65B819DD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3.29 (1.39-8.67)</w:t>
            </w:r>
          </w:p>
        </w:tc>
        <w:tc>
          <w:tcPr>
            <w:tcW w:w="992" w:type="dxa"/>
          </w:tcPr>
          <w:p w14:paraId="62C51391" w14:textId="77777777" w:rsidR="00BB05E2" w:rsidRPr="00122963" w:rsidRDefault="00BB05E2" w:rsidP="00BD03BD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0.01</w:t>
            </w:r>
          </w:p>
        </w:tc>
      </w:tr>
    </w:tbl>
    <w:p w14:paraId="53C40D98" w14:textId="77777777" w:rsidR="00BB05E2" w:rsidRPr="00EC299B" w:rsidRDefault="00BB05E2" w:rsidP="00BB05E2">
      <w:pPr>
        <w:spacing w:line="360" w:lineRule="auto"/>
        <w:jc w:val="both"/>
        <w:rPr>
          <w:rFonts w:asciiTheme="majorHAnsi" w:hAnsiTheme="majorHAnsi" w:cstheme="majorHAnsi"/>
          <w:noProof/>
        </w:rPr>
      </w:pPr>
    </w:p>
    <w:p w14:paraId="234A6EAA" w14:textId="77777777" w:rsidR="00BB05E2" w:rsidRDefault="00BB05E2" w:rsidP="00BB05E2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</w:t>
      </w:r>
      <w:r w:rsidRPr="004F3F10">
        <w:t xml:space="preserve"> </w:t>
      </w:r>
      <w:r w:rsidRPr="004F3F10">
        <w:rPr>
          <w:rFonts w:asciiTheme="majorHAnsi" w:hAnsiTheme="majorHAnsi" w:cstheme="majorHAnsi"/>
        </w:rPr>
        <w:t>Lineages were classified as CA</w:t>
      </w:r>
      <w:r>
        <w:rPr>
          <w:rFonts w:asciiTheme="majorHAnsi" w:hAnsiTheme="majorHAnsi" w:cstheme="majorHAnsi"/>
        </w:rPr>
        <w:t>-</w:t>
      </w:r>
      <w:r w:rsidRPr="004F3F10">
        <w:rPr>
          <w:rFonts w:asciiTheme="majorHAnsi" w:hAnsiTheme="majorHAnsi" w:cstheme="majorHAnsi"/>
        </w:rPr>
        <w:t>MRSA</w:t>
      </w:r>
      <w:r>
        <w:rPr>
          <w:rFonts w:asciiTheme="majorHAnsi" w:hAnsiTheme="majorHAnsi" w:cstheme="majorHAnsi"/>
        </w:rPr>
        <w:t xml:space="preserve"> </w:t>
      </w:r>
      <w:r w:rsidRPr="004F3F10">
        <w:rPr>
          <w:rFonts w:asciiTheme="majorHAnsi" w:hAnsiTheme="majorHAnsi" w:cstheme="majorHAnsi"/>
        </w:rPr>
        <w:t>if they were ST1, ST6, ST30, ST45, ST78, ST93, or ST5 carrying SCCmec IV or V. HA-MRSA</w:t>
      </w:r>
      <w:r>
        <w:rPr>
          <w:rFonts w:asciiTheme="majorHAnsi" w:hAnsiTheme="majorHAnsi" w:cstheme="majorHAnsi"/>
        </w:rPr>
        <w:t xml:space="preserve"> </w:t>
      </w:r>
      <w:r w:rsidRPr="004F3F10">
        <w:rPr>
          <w:rFonts w:asciiTheme="majorHAnsi" w:hAnsiTheme="majorHAnsi" w:cstheme="majorHAnsi"/>
        </w:rPr>
        <w:t>included ST22, ST239, and ST5 carrying SCCmec I or II.</w:t>
      </w:r>
    </w:p>
    <w:p w14:paraId="79843F8E" w14:textId="77777777" w:rsidR="00BB05E2" w:rsidRDefault="00BB05E2" w:rsidP="00BB05E2">
      <w:pPr>
        <w:spacing w:line="360" w:lineRule="auto"/>
        <w:jc w:val="both"/>
        <w:rPr>
          <w:rFonts w:asciiTheme="majorHAnsi" w:hAnsiTheme="majorHAnsi" w:cstheme="majorBidi"/>
        </w:rPr>
      </w:pPr>
      <w:r w:rsidRPr="4960091D">
        <w:rPr>
          <w:rFonts w:asciiTheme="majorHAnsi" w:hAnsiTheme="majorHAnsi" w:cstheme="majorBidi"/>
        </w:rPr>
        <w:t>** 2 isolates came from participants who were randomised in error and had no clinical data</w:t>
      </w:r>
    </w:p>
    <w:p w14:paraId="61871595" w14:textId="77777777" w:rsidR="00BB05E2" w:rsidRDefault="00BB05E2" w:rsidP="00BB05E2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*** Charlson Comorbidity Index includes age as a component; therefore patient’s age was not included in the multi variable model</w:t>
      </w:r>
    </w:p>
    <w:p w14:paraId="1653DDA8" w14:textId="77777777" w:rsidR="00BB05E2" w:rsidRDefault="00BB05E2" w:rsidP="00BB05E2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uOR, unadjusted odds ratio; CI, confidence interval; aOR, adjusted odds ratio; ST, sequence type; CA-MRSA, </w:t>
      </w:r>
      <w:r w:rsidRPr="004F3F10">
        <w:rPr>
          <w:rFonts w:asciiTheme="majorHAnsi" w:hAnsiTheme="majorHAnsi" w:cstheme="majorHAnsi"/>
        </w:rPr>
        <w:t>community-a</w:t>
      </w:r>
      <w:r>
        <w:rPr>
          <w:rFonts w:asciiTheme="majorHAnsi" w:hAnsiTheme="majorHAnsi" w:cstheme="majorHAnsi"/>
        </w:rPr>
        <w:t>ssociated methicillin-resistant Staphylococcus aureus; HA-MRSA, hospital</w:t>
      </w:r>
      <w:r w:rsidRPr="004F3F10">
        <w:rPr>
          <w:rFonts w:asciiTheme="majorHAnsi" w:hAnsiTheme="majorHAnsi" w:cstheme="majorHAnsi"/>
        </w:rPr>
        <w:t>-a</w:t>
      </w:r>
      <w:r>
        <w:rPr>
          <w:rFonts w:asciiTheme="majorHAnsi" w:hAnsiTheme="majorHAnsi" w:cstheme="majorHAnsi"/>
        </w:rPr>
        <w:t>ssociated methicillin-resistant Staphylococcus aureus; SOFA, sequential organ failure assessment</w:t>
      </w:r>
    </w:p>
    <w:p w14:paraId="2A6B386B" w14:textId="77777777" w:rsidR="00BB05E2" w:rsidRDefault="00BB05E2" w:rsidP="00BB05E2">
      <w:pPr>
        <w:spacing w:line="360" w:lineRule="auto"/>
        <w:jc w:val="both"/>
        <w:rPr>
          <w:rFonts w:asciiTheme="majorHAnsi" w:hAnsiTheme="majorHAnsi" w:cstheme="majorHAnsi"/>
        </w:rPr>
      </w:pPr>
    </w:p>
    <w:p w14:paraId="19D93E2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E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B05E2"/>
    <w:rsid w:val="00C94D66"/>
    <w:rsid w:val="00D7420A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FFF8D"/>
  <w15:chartTrackingRefBased/>
  <w15:docId w15:val="{6A3CC9D6-B469-4057-BB62-D4205A93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5E2"/>
    <w:pPr>
      <w:spacing w:after="0" w:line="240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5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5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5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5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5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5E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5E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5E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5E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5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B0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5E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B0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5E2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B0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5E2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B0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5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05E2"/>
    <w:pPr>
      <w:spacing w:after="0" w:line="240" w:lineRule="auto"/>
    </w:pPr>
    <w:rPr>
      <w:kern w:val="0"/>
      <w:sz w:val="22"/>
      <w:szCs w:val="22"/>
      <w:lang w:val="en-US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2026-07-03T14:00:00Z</dcterms:created>
  <dcterms:modified xsi:type="dcterms:W3CDTF">2026-07-03T14:00:00Z</dcterms:modified>
</cp:coreProperties>
</file>