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12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auto"/>
          <w:sz w:val="22"/>
          <w:u w:val="single"/>
        </w:rPr>
        <w:t>Supplementary Information</w:t>
      </w:r>
    </w:p>
    <w:p>
      <w:pPr>
        <w:pStyle w:val="Normal"/>
        <w:spacing w:lineRule="auto" w:line="259" w:before="0" w:after="12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auto"/>
          <w:sz w:val="24"/>
          <w:szCs w:val="24"/>
        </w:rPr>
        <w:t>Variance-weighted social power bounds both the cost and the detectability of steering a networked consensus</w:t>
      </w:r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 xml:space="preserve">This document contains derivations, extended computational results, public-data calibration detail, and the design analysis for a proposed future experiment. The proposed experiment is </w:t>
      </w:r>
      <w:r>
        <w:rPr>
          <w:rFonts w:eastAsia="Times New Roman" w:cs="Times New Roman" w:ascii="times new roman" w:hAnsi="times new roman"/>
          <w:b/>
          <w:color w:val="auto"/>
          <w:sz w:val="22"/>
        </w:rPr>
        <w:t>not part of the main results</w:t>
      </w:r>
      <w:r>
        <w:rPr>
          <w:rFonts w:eastAsia="Times New Roman" w:cs="Times New Roman" w:ascii="times new roman" w:hAnsi="times new roman"/>
          <w:color w:val="auto"/>
          <w:sz w:val="22"/>
        </w:rPr>
        <w:t>; it is included to show the framework is empirically testable and to record the operating characteristics of a possible future study. All numbers below are produced by the released, seeded pipeline.</w:t>
      </w:r>
    </w:p>
    <w:p>
      <w:pPr>
        <w:pStyle w:val="Heading1"/>
        <w:keepNext w:val="true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Supplementary Note 1 — Derivations</w:t>
      </w:r>
    </w:p>
    <w:p>
      <w:pPr>
        <w:pStyle w:val="Heading2"/>
        <w:keepNext w:val="true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S1.1 Steady-state response and the influence vector</w:t>
      </w:r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 xml:space="preserve">With </w:t>
      </w:r>
      <w:r>
        <w:rPr>
          <w:rFonts w:eastAsia="Cambria Math" w:cs="Cambria Math" w:ascii="times new roman" w:hAnsi="times new roman"/>
          <w:color w:val="auto"/>
          <w:sz w:val="22"/>
        </w:rPr>
        <w:t>μᵗ = (I-Γ)Wμᵗ⁻¹ + Γxᵗ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and a constant signal mean </w:t>
      </w:r>
      <w:r>
        <w:rPr>
          <w:rFonts w:eastAsia="Cambria Math" w:cs="Cambria Math" w:ascii="times new roman" w:hAnsi="times new roman"/>
          <w:color w:val="auto"/>
          <w:sz w:val="22"/>
        </w:rPr>
        <w:t>E[xᵗ]=a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the expected belief vector converges (spectral radius of </w:t>
      </w:r>
      <w:r>
        <w:rPr>
          <w:rFonts w:eastAsia="Cambria Math" w:cs="Cambria Math" w:ascii="times new roman" w:hAnsi="times new roman"/>
          <w:color w:val="auto"/>
          <w:sz w:val="22"/>
        </w:rPr>
        <w:t>(I-Γ)W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is </w:t>
      </w:r>
      <w:r>
        <w:rPr>
          <w:rFonts w:eastAsia="Cambria Math" w:cs="Cambria Math" w:ascii="times new roman" w:hAnsi="times new roman"/>
          <w:color w:val="auto"/>
          <w:sz w:val="22"/>
        </w:rPr>
        <w:t>&lt;1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for </w:t>
      </w:r>
      <w:r>
        <w:rPr>
          <w:rFonts w:eastAsia="Cambria Math" w:cs="Cambria Math" w:ascii="times new roman" w:hAnsi="times new roman"/>
          <w:color w:val="auto"/>
          <w:sz w:val="22"/>
        </w:rPr>
        <w:t>Γ≻0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</w:t>
      </w:r>
      <w:r>
        <w:rPr>
          <w:rFonts w:eastAsia="Cambria Math" w:cs="Cambria Math" w:ascii="times new roman" w:hAnsi="times new roman"/>
          <w:color w:val="auto"/>
          <w:sz w:val="22"/>
        </w:rPr>
        <w:t>W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row-stochastic and irreducible) to the fixed point</w:t>
      </w:r>
    </w:p>
    <w:p>
      <w:pPr>
        <w:pStyle w:val="Normal"/>
        <w:keepNext w:val="false"/>
        <w:keepLine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m:oMathPara xmlns:m="http://schemas.openxmlformats.org/officeDocument/2006/math">
        <m:oMathParaPr>
          <m:jc m:val="center"/>
        </m:oMathParaPr>
        <m:oMath>
          <m:r>
            <m:t xml:space="preserve">μ</m:t>
          </m:r>
          <m:r>
            <m:t xml:space="preserve">∞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=</m:t>
          </m:r>
          <m:r>
            <m:rPr>
              <m:lit/>
              <m:nor/>
            </m:rPr>
            <m:t xml:space="preserve"> </m:t>
          </m:r>
          <m:r>
            <m:t xml:space="preserve">(</m:t>
          </m:r>
          <m:r>
            <m:t xml:space="preserve">I</m:t>
          </m:r>
          <m:r>
            <m:rPr>
              <m:lit/>
              <m:nor/>
            </m:rPr>
            <m:t xml:space="preserve"> </m:t>
          </m:r>
          <m:r>
            <m:t xml:space="preserve">−</m:t>
          </m:r>
          <m:r>
            <m:rPr>
              <m:lit/>
              <m:nor/>
            </m:rPr>
            <m:t xml:space="preserve"> </m:t>
          </m:r>
          <m:r>
            <m:t xml:space="preserve">(</m:t>
          </m:r>
          <m:r>
            <m:t xml:space="preserve">I</m:t>
          </m:r>
          <m:r>
            <m:rPr>
              <m:lit/>
              <m:nor/>
            </m:rPr>
            <m:t xml:space="preserve"> </m:t>
          </m:r>
          <m:r>
            <m:t xml:space="preserve">−</m:t>
          </m:r>
          <m:r>
            <m:rPr>
              <m:lit/>
              <m:nor/>
            </m:rPr>
            <m:t xml:space="preserve"> </m:t>
          </m:r>
          <m:r>
            <m:t xml:space="preserve">Γ</m:t>
          </m:r>
          <m:r>
            <m:t xml:space="preserve">)</m:t>
          </m:r>
          <m:r>
            <m:t xml:space="preserve">W</m:t>
          </m:r>
          <m:r>
            <m:t xml:space="preserve">)</m:t>
          </m:r>
          <m:r>
            <m:t xml:space="preserve">⁻</m:t>
          </m:r>
          <m:r>
            <m:t xml:space="preserve">¹</m:t>
          </m:r>
          <m:r>
            <m:t xml:space="preserve">Γa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=</m:t>
          </m:r>
          <m:r>
            <m:rPr>
              <m:lit/>
              <m:nor/>
            </m:rPr>
            <m:t xml:space="preserve"> </m:t>
          </m:r>
          <m:r>
            <m:t xml:space="preserve">M</m:t>
          </m:r>
          <m:r>
            <m:t xml:space="preserve">⁻</m:t>
          </m:r>
          <m:r>
            <m:t xml:space="preserve">¹</m:t>
          </m:r>
          <m:r>
            <m:t xml:space="preserve">Γa</m:t>
          </m:r>
          <m:r>
            <m:t xml:space="preserve">,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t xml:space="preserve">M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=</m:t>
          </m:r>
          <m:r>
            <m:rPr>
              <m:lit/>
              <m:nor/>
            </m:rPr>
            <m:t xml:space="preserve"> </m:t>
          </m:r>
          <m:r>
            <m:t xml:space="preserve">I</m:t>
          </m:r>
          <m:r>
            <m:rPr>
              <m:lit/>
              <m:nor/>
            </m:rPr>
            <m:t xml:space="preserve"> </m:t>
          </m:r>
          <m:r>
            <m:t xml:space="preserve">−</m:t>
          </m:r>
          <m:r>
            <m:rPr>
              <m:lit/>
              <m:nor/>
            </m:rPr>
            <m:t xml:space="preserve"> </m:t>
          </m:r>
          <m:r>
            <m:t xml:space="preserve">(</m:t>
          </m:r>
          <m:r>
            <m:t xml:space="preserve">I</m:t>
          </m:r>
          <m:r>
            <m:rPr>
              <m:lit/>
              <m:nor/>
            </m:rPr>
            <m:t xml:space="preserve"> </m:t>
          </m:r>
          <m:r>
            <m:t xml:space="preserve">−</m:t>
          </m:r>
          <m:r>
            <m:rPr>
              <m:lit/>
              <m:nor/>
            </m:rPr>
            <m:t xml:space="preserve"> </m:t>
          </m:r>
          <m:r>
            <m:t xml:space="preserve">Γ</m:t>
          </m:r>
          <m:r>
            <m:t xml:space="preserve">)</m:t>
          </m:r>
          <m:r>
            <m:t xml:space="preserve">W</m:t>
          </m:r>
        </m:oMath>
      </m:oMathPara>
    </w:p>
    <w:p>
      <w:pPr>
        <w:pStyle w:val="Normal"/>
        <w:spacing w:lineRule="auto" w:line="259" w:before="0" w:after="12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>The influence-weighted consensus is therefore</w:t>
      </w:r>
    </w:p>
    <w:p>
      <w:pPr>
        <w:pStyle w:val="Normal"/>
        <w:keepNext w:val="false"/>
        <w:keepLine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m:oMathPara xmlns:m="http://schemas.openxmlformats.org/officeDocument/2006/math">
        <m:oMathParaPr>
          <m:jc m:val="center"/>
        </m:oMathParaPr>
        <m:oMath>
          <m:r>
            <m:t xml:space="preserve">μ</m:t>
          </m:r>
          <m:r>
            <m:t xml:space="preserve">∞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=</m:t>
          </m:r>
          <m:r>
            <m:rPr>
              <m:lit/>
              <m:nor/>
            </m:rPr>
            <m:t xml:space="preserve"> </m:t>
          </m:r>
          <m:r>
            <m:t xml:space="preserve">(</m:t>
          </m:r>
          <m:r>
            <m:t xml:space="preserve">I</m:t>
          </m:r>
          <m:r>
            <m:rPr>
              <m:lit/>
              <m:nor/>
            </m:rPr>
            <m:t xml:space="preserve"> </m:t>
          </m:r>
          <m:r>
            <m:t xml:space="preserve">−</m:t>
          </m:r>
          <m:r>
            <m:rPr>
              <m:lit/>
              <m:nor/>
            </m:rPr>
            <m:t xml:space="preserve"> </m:t>
          </m:r>
          <m:r>
            <m:t xml:space="preserve">(</m:t>
          </m:r>
          <m:r>
            <m:t xml:space="preserve">I</m:t>
          </m:r>
          <m:r>
            <m:rPr>
              <m:lit/>
              <m:nor/>
            </m:rPr>
            <m:t xml:space="preserve"> </m:t>
          </m:r>
          <m:r>
            <m:t xml:space="preserve">−</m:t>
          </m:r>
          <m:r>
            <m:rPr>
              <m:lit/>
              <m:nor/>
            </m:rPr>
            <m:t xml:space="preserve"> </m:t>
          </m:r>
          <m:r>
            <m:t xml:space="preserve">Γ</m:t>
          </m:r>
          <m:r>
            <m:t xml:space="preserve">)</m:t>
          </m:r>
          <m:r>
            <m:t xml:space="preserve">W</m:t>
          </m:r>
          <m:r>
            <m:t xml:space="preserve">)</m:t>
          </m:r>
          <m:r>
            <m:t xml:space="preserve">⁻</m:t>
          </m:r>
          <m:r>
            <m:t xml:space="preserve">¹</m:t>
          </m:r>
          <m:r>
            <m:t xml:space="preserve">Γa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=</m:t>
          </m:r>
          <m:r>
            <m:rPr>
              <m:lit/>
              <m:nor/>
            </m:rPr>
            <m:t xml:space="preserve"> </m:t>
          </m:r>
          <m:r>
            <m:t xml:space="preserve">M</m:t>
          </m:r>
          <m:r>
            <m:t xml:space="preserve">⁻</m:t>
          </m:r>
          <m:r>
            <m:t xml:space="preserve">¹</m:t>
          </m:r>
          <m:r>
            <m:t xml:space="preserve">Γa</m:t>
          </m:r>
          <m:r>
            <m:t xml:space="preserve">,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t xml:space="preserve">M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=</m:t>
          </m:r>
          <m:r>
            <m:rPr>
              <m:lit/>
              <m:nor/>
            </m:rPr>
            <m:t xml:space="preserve"> </m:t>
          </m:r>
          <m:r>
            <m:t xml:space="preserve">I</m:t>
          </m:r>
          <m:r>
            <m:rPr>
              <m:lit/>
              <m:nor/>
            </m:rPr>
            <m:t xml:space="preserve"> </m:t>
          </m:r>
          <m:r>
            <m:t xml:space="preserve">−</m:t>
          </m:r>
          <m:r>
            <m:rPr>
              <m:lit/>
              <m:nor/>
            </m:rPr>
            <m:t xml:space="preserve"> </m:t>
          </m:r>
          <m:r>
            <m:t xml:space="preserve">(</m:t>
          </m:r>
          <m:r>
            <m:t xml:space="preserve">I</m:t>
          </m:r>
          <m:r>
            <m:rPr>
              <m:lit/>
              <m:nor/>
            </m:rPr>
            <m:t xml:space="preserve"> </m:t>
          </m:r>
          <m:r>
            <m:t xml:space="preserve">−</m:t>
          </m:r>
          <m:r>
            <m:rPr>
              <m:lit/>
              <m:nor/>
            </m:rPr>
            <m:t xml:space="preserve"> </m:t>
          </m:r>
          <m:r>
            <m:t xml:space="preserve">Γ</m:t>
          </m:r>
          <m:r>
            <m:t xml:space="preserve">)</m:t>
          </m:r>
          <m:r>
            <m:t xml:space="preserve">W</m:t>
          </m:r>
        </m:oMath>
      </m:oMathPara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 xml:space="preserve">For </w:t>
      </w:r>
      <w:r>
        <w:rPr>
          <w:rFonts w:eastAsia="Cambria Math" w:cs="Cambria Math" w:ascii="times new roman" w:hAnsi="times new roman"/>
          <w:color w:val="auto"/>
          <w:sz w:val="22"/>
        </w:rPr>
        <w:t>Γ=γI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</w:t>
      </w:r>
      <w:r>
        <w:rPr>
          <w:rFonts w:eastAsia="Cambria Math" w:cs="Cambria Math" w:ascii="times new roman" w:hAnsi="times new roman"/>
          <w:color w:val="auto"/>
          <w:sz w:val="22"/>
        </w:rPr>
        <w:t>M⁻¹Γ = γ(I-(1-γ)W)⁻¹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and since </w:t>
      </w:r>
      <w:r>
        <w:rPr>
          <w:rFonts w:eastAsia="Cambria Math" w:cs="Cambria Math" w:ascii="times new roman" w:hAnsi="times new roman"/>
          <w:color w:val="auto"/>
          <w:sz w:val="22"/>
        </w:rPr>
        <w:t>vᵀ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is a left eigenvector of </w:t>
      </w:r>
      <w:r>
        <w:rPr>
          <w:rFonts w:eastAsia="Cambria Math" w:cs="Cambria Math" w:ascii="times new roman" w:hAnsi="times new roman"/>
          <w:color w:val="auto"/>
          <w:sz w:val="22"/>
        </w:rPr>
        <w:t>W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with eigenvalue 1, </w:t>
      </w:r>
      <w:r>
        <w:rPr>
          <w:rFonts w:eastAsia="Cambria Math" w:cs="Cambria Math" w:ascii="times new roman" w:hAnsi="times new roman"/>
          <w:color w:val="auto"/>
          <w:sz w:val="22"/>
        </w:rPr>
        <w:t>vᵀγ(I-(1-γ)W)⁻¹ = γfrac11-(1-γ)vᵀ = vᵀ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giving </w:t>
      </w:r>
      <w:r>
        <w:rPr>
          <w:rFonts w:eastAsia="Cambria Math" w:cs="Cambria Math" w:ascii="times new roman" w:hAnsi="times new roman"/>
          <w:color w:val="auto"/>
          <w:sz w:val="22"/>
        </w:rPr>
        <w:t>c=v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exactly. The correct linear system for the heterogeneous case is </w:t>
      </w:r>
      <w:r>
        <w:rPr>
          <w:rFonts w:eastAsia="Cambria Math" w:cs="Cambria Math" w:ascii="times new roman" w:hAnsi="times new roman"/>
          <w:color w:val="auto"/>
          <w:sz w:val="22"/>
        </w:rPr>
        <w:t>Mᵀy = v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</w:t>
      </w:r>
      <w:r>
        <w:rPr>
          <w:rFonts w:eastAsia="Cambria Math" w:cs="Cambria Math" w:ascii="times new roman" w:hAnsi="times new roman"/>
          <w:color w:val="auto"/>
          <w:sz w:val="22"/>
        </w:rPr>
        <w:t>c = Γy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(the order matters: </w:t>
      </w:r>
      <w:r>
        <w:rPr>
          <w:rFonts w:eastAsia="Cambria Math" w:cs="Cambria Math" w:ascii="times new roman" w:hAnsi="times new roman"/>
          <w:color w:val="auto"/>
          <w:sz w:val="22"/>
        </w:rPr>
        <w:t>Γ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and </w:t>
      </w:r>
      <w:r>
        <w:rPr>
          <w:rFonts w:eastAsia="Cambria Math" w:cs="Cambria Math" w:ascii="times new roman" w:hAnsi="times new roman"/>
          <w:color w:val="auto"/>
          <w:sz w:val="22"/>
        </w:rPr>
        <w:t>M⁻ᵀ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do not commute), verified against brute-force iteration of the deterministic dynamics to a tolerance of </w:t>
      </w:r>
      <w:r>
        <w:rPr>
          <w:rFonts w:eastAsia="Cambria Math" w:cs="Cambria Math" w:ascii="times new roman" w:hAnsi="times new roman"/>
          <w:color w:val="auto"/>
          <w:sz w:val="22"/>
        </w:rPr>
        <w:t>10⁻⁶</w:t>
      </w:r>
      <w:r>
        <w:rPr>
          <w:rFonts w:eastAsia="Times New Roman" w:cs="Times New Roman" w:ascii="times new roman" w:hAnsi="times new roman"/>
          <w:color w:val="auto"/>
          <w:sz w:val="22"/>
        </w:rPr>
        <w:t>.</w:t>
      </w:r>
    </w:p>
    <w:p>
      <w:pPr>
        <w:pStyle w:val="Heading2"/>
        <w:keepNext w:val="true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S1.2 The fragility rate</w:t>
      </w:r>
    </w:p>
    <w:p>
      <w:pPr>
        <w:pStyle w:val="Normal"/>
        <w:spacing w:lineRule="auto" w:line="259" w:before="0" w:after="12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>The adversary solves</w:t>
      </w:r>
    </w:p>
    <w:p>
      <w:pPr>
        <w:pStyle w:val="Normal"/>
        <w:keepNext w:val="false"/>
        <w:keepLine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m:oMathPara xmlns:m="http://schemas.openxmlformats.org/officeDocument/2006/math">
        <m:oMathParaPr>
          <m:jc m:val="center"/>
        </m:oMathParaPr>
        <m:oMath>
          <m:r>
            <m:t xml:space="preserve">minₐ</m:t>
          </m:r>
          <m:r>
            <m:rPr>
              <m:lit/>
              <m:nor/>
            </m:rPr>
            <m:t xml:space="preserve"> </m:t>
          </m:r>
          <m:r>
            <m:t xml:space="preserve">1</m:t>
          </m:r>
          <m:r>
            <m:rPr>
              <m:lit/>
              <m:nor/>
            </m:rPr>
            <m:t xml:space="preserve">/</m:t>
          </m:r>
          <m:r>
            <m:t xml:space="preserve">2</m:t>
          </m:r>
          <m:r>
            <m:rPr>
              <m:lit/>
              <m:nor/>
            </m:rPr>
            <m:t xml:space="preserve"> </m:t>
          </m:r>
          <m:r>
            <m:t xml:space="preserve">aᵀΣ</m:t>
          </m:r>
          <m:r>
            <m:t xml:space="preserve">⁻</m:t>
          </m:r>
          <m:r>
            <m:t xml:space="preserve">¹</m:t>
          </m:r>
          <m:r>
            <m:t xml:space="preserve">a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t xml:space="preserve">subject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t xml:space="preserve">cᵀa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=</m:t>
          </m:r>
          <m:r>
            <m:rPr>
              <m:lit/>
              <m:nor/>
            </m:rPr>
            <m:t xml:space="preserve"> </m:t>
          </m:r>
          <m:r>
            <m:t xml:space="preserve">θ</m:t>
          </m:r>
        </m:oMath>
      </m:oMathPara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 xml:space="preserve">The Lagrangian has stationarity </w:t>
      </w:r>
      <w:r>
        <w:rPr>
          <w:rFonts w:eastAsia="Cambria Math" w:cs="Cambria Math" w:ascii="times new roman" w:hAnsi="times new roman"/>
          <w:color w:val="auto"/>
          <w:sz w:val="22"/>
        </w:rPr>
        <w:t>Σ⁻¹a = λc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i.e. </w:t>
      </w:r>
      <w:r>
        <w:rPr>
          <w:rFonts w:eastAsia="Cambria Math" w:cs="Cambria Math" w:ascii="times new roman" w:hAnsi="times new roman"/>
          <w:color w:val="auto"/>
          <w:sz w:val="22"/>
        </w:rPr>
        <w:t>a = λΣc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; the constraint gives </w:t>
      </w:r>
      <w:r>
        <w:rPr>
          <w:rFonts w:eastAsia="Cambria Math" w:cs="Cambria Math" w:ascii="times new roman" w:hAnsi="times new roman"/>
          <w:color w:val="auto"/>
          <w:sz w:val="22"/>
        </w:rPr>
        <w:t>λ = θ/(cᵀΣc)</w:t>
      </w:r>
      <w:r>
        <w:rPr>
          <w:rFonts w:eastAsia="Times New Roman" w:cs="Times New Roman" w:ascii="times new roman" w:hAnsi="times new roman"/>
          <w:color w:val="auto"/>
          <w:sz w:val="22"/>
        </w:rPr>
        <w:t>, hence</w:t>
      </w:r>
    </w:p>
    <w:p>
      <w:pPr>
        <w:pStyle w:val="Normal"/>
        <w:keepNext w:val="false"/>
        <w:keepLine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m:oMathPara xmlns:m="http://schemas.openxmlformats.org/officeDocument/2006/math">
        <m:oMathParaPr>
          <m:jc m:val="center"/>
        </m:oMathParaPr>
        <m:oMath>
          <m:r>
            <m:t xml:space="preserve">a</m:t>
          </m:r>
          <m:r>
            <m:rPr>
              <m:lit/>
              <m:nor/>
            </m:rPr>
            <m:t xml:space="preserve">*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=</m:t>
          </m:r>
          <m:r>
            <m:rPr>
              <m:lit/>
              <m:nor/>
            </m:rPr>
            <m:t xml:space="preserve"> </m:t>
          </m:r>
          <m:r>
            <m:t xml:space="preserve">θΣc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/</m:t>
          </m:r>
          <m:r>
            <m:rPr>
              <m:lit/>
              <m:nor/>
            </m:rPr>
            <m:t xml:space="preserve"> </m:t>
          </m:r>
          <m:r>
            <m:t xml:space="preserve">(</m:t>
          </m:r>
          <m:r>
            <m:t xml:space="preserve">cᵀΣc</m:t>
          </m:r>
          <m:r>
            <m:t xml:space="preserve">)</m:t>
          </m:r>
          <m:r>
            <m:t xml:space="preserve">,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t xml:space="preserve">ρ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=</m:t>
          </m:r>
          <m:r>
            <m:rPr>
              <m:lit/>
              <m:nor/>
            </m:rPr>
            <m:t xml:space="preserve"> </m:t>
          </m:r>
          <m:r>
            <m:t xml:space="preserve">1</m:t>
          </m:r>
          <m:r>
            <m:rPr>
              <m:lit/>
              <m:nor/>
            </m:rPr>
            <m:t xml:space="preserve">/</m:t>
          </m:r>
          <m:r>
            <m:t xml:space="preserve">2</m:t>
          </m:r>
          <m:r>
            <m:rPr>
              <m:lit/>
              <m:nor/>
            </m:rPr>
            <m:t xml:space="preserve"> </m:t>
          </m:r>
          <m:r>
            <m:t xml:space="preserve">a</m:t>
          </m:r>
          <m:r>
            <m:rPr>
              <m:lit/>
              <m:nor/>
            </m:rPr>
            <m:t xml:space="preserve">*</m:t>
          </m:r>
          <m:r>
            <m:t xml:space="preserve">ᵀΣ</m:t>
          </m:r>
          <m:r>
            <m:t xml:space="preserve">⁻</m:t>
          </m:r>
          <m:r>
            <m:t xml:space="preserve">¹</m:t>
          </m:r>
          <m:r>
            <m:t xml:space="preserve">a</m:t>
          </m:r>
          <m:r>
            <m:rPr>
              <m:lit/>
              <m:nor/>
            </m:rPr>
            <m:t xml:space="preserve">*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=</m:t>
          </m:r>
          <m:r>
            <m:rPr>
              <m:lit/>
              <m:nor/>
            </m:rPr>
            <m:t xml:space="preserve"> </m:t>
          </m:r>
          <m:r>
            <m:t xml:space="preserve">θ</m:t>
          </m:r>
          <m:r>
            <m:t xml:space="preserve">²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/</m:t>
          </m:r>
          <m:r>
            <m:rPr>
              <m:lit/>
              <m:nor/>
            </m:rPr>
            <m:t xml:space="preserve"> </m:t>
          </m:r>
          <m:r>
            <m:t xml:space="preserve">(</m:t>
          </m:r>
          <m:r>
            <m:t xml:space="preserve">2</m:t>
          </m:r>
          <m:r>
            <m:t xml:space="preserve">cᵀΣc</m:t>
          </m:r>
          <m:r>
            <m:t xml:space="preserve">)</m:t>
          </m:r>
        </m:oMath>
      </m:oMathPara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>The objective is strictly convex (</w:t>
      </w:r>
      <w:r>
        <w:rPr>
          <w:rFonts w:eastAsia="Cambria Math" w:cs="Cambria Math" w:ascii="times new roman" w:hAnsi="times new roman"/>
          <w:color w:val="auto"/>
          <w:sz w:val="22"/>
        </w:rPr>
        <w:t>Σ≻0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), so the stationary point is the global minimum. With </w:t>
      </w:r>
      <w:r>
        <w:rPr>
          <w:rFonts w:eastAsia="Cambria Math" w:cs="Cambria Math" w:ascii="times new roman" w:hAnsi="times new roman"/>
          <w:color w:val="auto"/>
          <w:sz w:val="22"/>
        </w:rPr>
        <w:t>c=v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</w:t>
      </w:r>
      <w:r>
        <w:rPr>
          <w:rFonts w:eastAsia="Cambria Math" w:cs="Cambria Math" w:ascii="times new roman" w:hAnsi="times new roman"/>
          <w:color w:val="auto"/>
          <w:sz w:val="22"/>
        </w:rPr>
        <w:t>Σ=τ²I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</w:t>
      </w:r>
      <w:r>
        <w:rPr>
          <w:rFonts w:eastAsia="Cambria Math" w:cs="Cambria Math" w:ascii="times new roman" w:hAnsi="times new roman"/>
          <w:color w:val="auto"/>
          <w:sz w:val="22"/>
        </w:rPr>
        <w:t>ρ = θ²/(2τ²‖v‖²)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. The rate has no </w:t>
      </w:r>
      <w:r>
        <w:rPr>
          <w:rFonts w:eastAsia="Cambria Math" w:cs="Cambria Math" w:ascii="times new roman" w:hAnsi="times new roman"/>
          <w:color w:val="auto"/>
          <w:sz w:val="22"/>
        </w:rPr>
        <w:t>γ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dependence because the steady-state mean depends only on the constraint </w:t>
      </w:r>
      <w:r>
        <w:rPr>
          <w:rFonts w:eastAsia="Cambria Math" w:cs="Cambria Math" w:ascii="times new roman" w:hAnsi="times new roman"/>
          <w:color w:val="auto"/>
          <w:sz w:val="22"/>
        </w:rPr>
        <w:t>cᵀa=θ</w:t>
      </w:r>
      <w:r>
        <w:rPr>
          <w:rFonts w:eastAsia="Times New Roman" w:cs="Times New Roman" w:ascii="times new roman" w:hAnsi="times new roman"/>
          <w:color w:val="auto"/>
          <w:sz w:val="22"/>
        </w:rPr>
        <w:t>, not on the convergence speed.</w:t>
      </w:r>
    </w:p>
    <w:p>
      <w:pPr>
        <w:pStyle w:val="Heading2"/>
        <w:keepNext w:val="true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S1.3 Natural-volatility corollary</w:t>
      </w:r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 xml:space="preserve">For homogeneous </w:t>
      </w:r>
      <w:r>
        <w:rPr>
          <w:rFonts w:eastAsia="Cambria Math" w:cs="Cambria Math" w:ascii="times new roman" w:hAnsi="times new roman"/>
          <w:color w:val="auto"/>
          <w:sz w:val="22"/>
        </w:rPr>
        <w:t>γ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</w:t>
      </w:r>
      <w:r>
        <w:rPr>
          <w:rFonts w:eastAsia="Cambria Math" w:cs="Cambria Math" w:ascii="times new roman" w:hAnsi="times new roman"/>
          <w:color w:val="auto"/>
          <w:sz w:val="22"/>
        </w:rPr>
        <w:t>Bₜ = (1-γ)Bₜ₋₁ + γξₜ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</w:t>
      </w:r>
      <w:r>
        <w:rPr>
          <w:rFonts w:eastAsia="Cambria Math" w:cs="Cambria Math" w:ascii="times new roman" w:hAnsi="times new roman"/>
          <w:color w:val="auto"/>
          <w:sz w:val="22"/>
        </w:rPr>
        <w:t>ξₜ = vᵀxᵗ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</w:t>
      </w:r>
      <w:r>
        <w:rPr>
          <w:rFonts w:eastAsia="Cambria Math" w:cs="Cambria Math" w:ascii="times new roman" w:hAnsi="times new roman"/>
          <w:color w:val="auto"/>
          <w:sz w:val="22"/>
        </w:rPr>
        <w:t>Var(ξₜ)=vᵀΣv</w:t>
      </w:r>
      <w:r>
        <w:rPr>
          <w:rFonts w:eastAsia="Times New Roman" w:cs="Times New Roman" w:ascii="times new roman" w:hAnsi="times new roman"/>
          <w:color w:val="auto"/>
          <w:sz w:val="22"/>
        </w:rPr>
        <w:t>. This AR(1) has stationary variance</w:t>
      </w:r>
    </w:p>
    <w:p>
      <w:pPr>
        <w:pStyle w:val="Normal"/>
        <w:keepNext w:val="false"/>
        <w:keepLine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m:oMathPara xmlns:m="http://schemas.openxmlformats.org/officeDocument/2006/math">
        <m:oMathParaPr>
          <m:jc m:val="center"/>
        </m:oMathParaPr>
        <m:oMath>
          <m:r>
            <m:t xml:space="preserve">B</m:t>
          </m:r>
          <m:r>
            <m:t xml:space="preserve">∞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=</m:t>
          </m:r>
          <m:r>
            <m:rPr>
              <m:lit/>
              <m:nor/>
            </m:rPr>
            <m:t xml:space="preserve"> </m:t>
          </m:r>
          <m:r>
            <m:t xml:space="preserve">vᵀμ</m:t>
          </m:r>
          <m:r>
            <m:t xml:space="preserve">∞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=</m:t>
          </m:r>
          <m:r>
            <m:rPr>
              <m:lit/>
              <m:nor/>
            </m:rPr>
            <m:t xml:space="preserve"> </m:t>
          </m:r>
          <m:r>
            <m:t xml:space="preserve">vᵀM</m:t>
          </m:r>
          <m:r>
            <m:t xml:space="preserve">⁻</m:t>
          </m:r>
          <m:r>
            <m:t xml:space="preserve">¹</m:t>
          </m:r>
          <m:r>
            <m:t xml:space="preserve">Γa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=</m:t>
          </m:r>
          <m:r>
            <m:rPr>
              <m:lit/>
              <m:nor/>
            </m:rPr>
            <m:t xml:space="preserve"> </m:t>
          </m:r>
          <m:r>
            <m:t xml:space="preserve">cᵀa</m:t>
          </m:r>
          <m:r>
            <m:t xml:space="preserve">,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t xml:space="preserve">cᵀ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=</m:t>
          </m:r>
          <m:r>
            <m:rPr>
              <m:lit/>
              <m:nor/>
            </m:rPr>
            <m:t xml:space="preserve"> </m:t>
          </m:r>
          <m:r>
            <m:t xml:space="preserve">vᵀM</m:t>
          </m:r>
          <m:r>
            <m:t xml:space="preserve">⁻</m:t>
          </m:r>
          <m:r>
            <m:t xml:space="preserve">¹</m:t>
          </m:r>
          <m:r>
            <m:t xml:space="preserve">Γ</m:t>
          </m:r>
        </m:oMath>
      </m:oMathPara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 xml:space="preserve">The heterogeneous case has belief covariance solving the discrete Lyapunov equation </w:t>
      </w:r>
      <w:r>
        <w:rPr>
          <w:rFonts w:eastAsia="Cambria Math" w:cs="Cambria Math" w:ascii="times new roman" w:hAnsi="times new roman"/>
          <w:color w:val="auto"/>
          <w:sz w:val="22"/>
        </w:rPr>
        <w:t>P = APAᵀ + ΓΣΓ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</w:t>
      </w:r>
      <w:r>
        <w:rPr>
          <w:rFonts w:eastAsia="Cambria Math" w:cs="Cambria Math" w:ascii="times new roman" w:hAnsi="times new roman"/>
          <w:color w:val="auto"/>
          <w:sz w:val="22"/>
        </w:rPr>
        <w:t>A=(I-Γ)W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and </w:t>
      </w:r>
      <w:r>
        <w:rPr>
          <w:rFonts w:eastAsia="Cambria Math" w:cs="Cambria Math" w:ascii="times new roman" w:hAnsi="times new roman"/>
          <w:color w:val="auto"/>
          <w:sz w:val="22"/>
        </w:rPr>
        <w:t>Var(B∞)=vᵀPv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. Simulation matches both forms to </w:t>
      </w:r>
      <w:r>
        <w:rPr>
          <w:rFonts w:eastAsia="Cambria Math" w:cs="Cambria Math" w:ascii="times new roman" w:hAnsi="times new roman"/>
          <w:color w:val="auto"/>
          <w:sz w:val="22"/>
        </w:rPr>
        <w:t>&lt;0.2%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relative error after burn-in; the homogeneous and heterogeneous expressions agree when </w:t>
      </w:r>
      <w:r>
        <w:rPr>
          <w:rFonts w:eastAsia="Cambria Math" w:cs="Cambria Math" w:ascii="times new roman" w:hAnsi="times new roman"/>
          <w:color w:val="auto"/>
          <w:sz w:val="22"/>
        </w:rPr>
        <w:t>Γ=γI</w:t>
      </w:r>
      <w:r>
        <w:rPr>
          <w:rFonts w:eastAsia="Times New Roman" w:cs="Times New Roman" w:ascii="times new roman" w:hAnsi="times new roman"/>
          <w:color w:val="auto"/>
          <w:sz w:val="22"/>
        </w:rPr>
        <w:t>.</w:t>
      </w:r>
    </w:p>
    <w:p>
      <w:pPr>
        <w:pStyle w:val="Heading2"/>
        <w:keepNext w:val="true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S1.4 Detection duality and the data-processing bound</w:t>
      </w:r>
    </w:p>
    <w:p>
      <w:pPr>
        <w:pStyle w:val="Normal"/>
        <w:spacing w:lineRule="auto" w:line="259" w:before="0" w:after="12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>For two Gaussians with common covariance,</w:t>
      </w:r>
    </w:p>
    <w:p>
      <w:pPr>
        <w:pStyle w:val="Normal"/>
        <w:keepNext w:val="false"/>
        <w:keepLine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m:oMathPara xmlns:m="http://schemas.openxmlformats.org/officeDocument/2006/math">
        <m:oMathParaPr>
          <m:jc m:val="center"/>
        </m:oMathParaPr>
        <m:oMath>
          <m:r>
            <m:t xml:space="preserve">KL</m:t>
          </m:r>
          <m:r>
            <m:t xml:space="preserve">(</m:t>
          </m:r>
          <m:r>
            <m:t xml:space="preserve">N</m:t>
          </m:r>
          <m:r>
            <m:t xml:space="preserve">(</m:t>
          </m:r>
          <m:r>
            <m:t xml:space="preserve">a</m:t>
          </m:r>
          <m:r>
            <m:t xml:space="preserve">,</m:t>
          </m:r>
          <m:r>
            <m:t xml:space="preserve">Σ</m:t>
          </m:r>
          <m:r>
            <m:t xml:space="preserve">)</m:t>
          </m:r>
          <m:r>
            <m:rPr>
              <m:lit/>
              <m:nor/>
            </m:rPr>
            <m:t xml:space="preserve"> </m:t>
          </m:r>
          <m:r>
            <m:t xml:space="preserve">‖</m:t>
          </m:r>
          <m:r>
            <m:rPr>
              <m:lit/>
              <m:nor/>
            </m:rPr>
            <m:t xml:space="preserve"> </m:t>
          </m:r>
          <m:r>
            <m:t xml:space="preserve">N</m:t>
          </m:r>
          <m:r>
            <m:t xml:space="preserve">(</m:t>
          </m:r>
          <m:r>
            <m:t xml:space="preserve">0</m:t>
          </m:r>
          <m:r>
            <m:t xml:space="preserve">,</m:t>
          </m:r>
          <m:r>
            <m:t xml:space="preserve">Σ</m:t>
          </m:r>
          <m:r>
            <m:t xml:space="preserve">)</m:t>
          </m:r>
          <m:r>
            <m:t xml:space="preserve">)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=</m:t>
          </m:r>
          <m:r>
            <m:rPr>
              <m:lit/>
              <m:nor/>
            </m:rPr>
            <m:t xml:space="preserve"> </m:t>
          </m:r>
          <m:r>
            <m:t xml:space="preserve">1</m:t>
          </m:r>
          <m:r>
            <m:rPr>
              <m:lit/>
              <m:nor/>
            </m:rPr>
            <m:t xml:space="preserve">/</m:t>
          </m:r>
          <m:r>
            <m:t xml:space="preserve">2</m:t>
          </m:r>
          <m:r>
            <m:rPr>
              <m:lit/>
              <m:nor/>
            </m:rPr>
            <m:t xml:space="preserve"> </m:t>
          </m:r>
          <m:r>
            <m:t xml:space="preserve">aᵀΣ</m:t>
          </m:r>
          <m:r>
            <m:t xml:space="preserve">⁻</m:t>
          </m:r>
          <m:r>
            <m:t xml:space="preserve">¹</m:t>
          </m:r>
          <m:r>
            <m:t xml:space="preserve">a</m:t>
          </m:r>
        </m:oMath>
      </m:oMathPara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 xml:space="preserve">identically the per-step steering cost. The Chernoff–Stein lemma states that for </w:t>
      </w:r>
      <w:r>
        <w:rPr>
          <w:rFonts w:eastAsia="Cambria Math" w:cs="Cambria Math" w:ascii="times new roman" w:hAnsi="times new roman"/>
          <w:color w:val="auto"/>
          <w:sz w:val="22"/>
        </w:rPr>
        <w:t>n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i.i.d. observations, the minimum type-II error subject to a fixed type-I bound decays as </w:t>
      </w:r>
      <w:r>
        <w:rPr>
          <w:rFonts w:eastAsia="Cambria Math" w:cs="Cambria Math" w:ascii="times new roman" w:hAnsi="times new roman"/>
          <w:color w:val="auto"/>
          <w:sz w:val="22"/>
        </w:rPr>
        <w:t>exp(-nKL)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; thus the per-step KL is the optimal detector's error exponent. For a scalar projection </w:t>
      </w:r>
      <w:r>
        <w:rPr>
          <w:rFonts w:eastAsia="Cambria Math" w:cs="Cambria Math" w:ascii="times new roman" w:hAnsi="times new roman"/>
          <w:color w:val="auto"/>
          <w:sz w:val="22"/>
        </w:rPr>
        <w:t>y=dᵀx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honest </w:t>
      </w:r>
      <w:r>
        <w:rPr>
          <w:rFonts w:eastAsia="Cambria Math" w:cs="Cambria Math" w:ascii="times new roman" w:hAnsi="times new roman"/>
          <w:color w:val="auto"/>
          <w:sz w:val="22"/>
        </w:rPr>
        <w:t>ysim N(0,dᵀΣd)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and steered </w:t>
      </w:r>
      <w:r>
        <w:rPr>
          <w:rFonts w:eastAsia="Cambria Math" w:cs="Cambria Math" w:ascii="times new roman" w:hAnsi="times new roman"/>
          <w:color w:val="auto"/>
          <w:sz w:val="22"/>
        </w:rPr>
        <w:t>ysim N(dᵀa,dᵀΣd)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so its exponent is </w:t>
      </w:r>
      <w:r>
        <w:rPr>
          <w:rFonts w:eastAsia="Cambria Math" w:cs="Cambria Math" w:ascii="times new roman" w:hAnsi="times new roman"/>
          <w:color w:val="auto"/>
          <w:sz w:val="22"/>
        </w:rPr>
        <w:t>(dᵀa)²/(2dᵀΣd)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. Writing the Σ-inner-product </w:t>
      </w:r>
      <w:r>
        <w:rPr>
          <w:rFonts w:eastAsia="Cambria Math" w:cs="Cambria Math" w:ascii="times new roman" w:hAnsi="times new roman"/>
          <w:color w:val="auto"/>
          <w:sz w:val="22"/>
        </w:rPr>
        <w:t>⟨u,w⟩_Σ = uᵀΣw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Cauchy–Schwarz gives </w:t>
      </w:r>
      <w:r>
        <w:rPr>
          <w:rFonts w:eastAsia="Cambria Math" w:cs="Cambria Math" w:ascii="times new roman" w:hAnsi="times new roman"/>
          <w:color w:val="auto"/>
          <w:sz w:val="22"/>
        </w:rPr>
        <w:t>(dᵀa)² = ⟨d, a⟩²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where </w:t>
      </w:r>
      <w:r>
        <w:rPr>
          <w:rFonts w:eastAsia="Cambria Math" w:cs="Cambria Math" w:ascii="times new roman" w:hAnsi="times new roman"/>
          <w:color w:val="auto"/>
          <w:sz w:val="22"/>
        </w:rPr>
        <w:t>a=Σ⁻¹(Σa)</w:t>
      </w:r>
      <w:r>
        <w:rPr>
          <w:rFonts w:eastAsia="Times New Roman" w:cs="Times New Roman" w:ascii="times new roman" w:hAnsi="times new roman"/>
          <w:color w:val="auto"/>
          <w:sz w:val="22"/>
        </w:rPr>
        <w:t>; more directly</w:t>
      </w:r>
    </w:p>
    <w:p>
      <w:pPr>
        <w:pStyle w:val="Normal"/>
        <w:keepNext w:val="false"/>
        <w:keepLines/>
        <w:spacing w:before="120"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m:oMathPara xmlns:m="http://schemas.openxmlformats.org/officeDocument/2006/math">
        <m:oMathParaPr>
          <m:jc m:val="center"/>
        </m:oMathParaPr>
        <m:oMath>
          <m:r>
            <m:t xml:space="preserve">(</m:t>
          </m:r>
          <m:r>
            <m:t xml:space="preserve">dᵀa</m:t>
          </m:r>
          <m:r>
            <m:t xml:space="preserve">)</m:t>
          </m:r>
          <m:r>
            <m:t xml:space="preserve">²</m:t>
          </m:r>
          <m:r>
            <m:rPr>
              <m:lit/>
              <m:nor/>
            </m:rPr>
            <m:t xml:space="preserve"> </m:t>
          </m:r>
          <m:r>
            <m:t xml:space="preserve">≤</m:t>
          </m:r>
          <m:r>
            <m:rPr>
              <m:lit/>
              <m:nor/>
            </m:rPr>
            <m:t xml:space="preserve"> </m:t>
          </m:r>
          <m:r>
            <m:t xml:space="preserve">(</m:t>
          </m:r>
          <m:r>
            <m:t xml:space="preserve">dᵀΣd</m:t>
          </m:r>
          <m:r>
            <m:t xml:space="preserve">)</m:t>
          </m:r>
          <m:r>
            <m:t xml:space="preserve">(</m:t>
          </m:r>
          <m:r>
            <m:t xml:space="preserve">aᵀΣ</m:t>
          </m:r>
          <m:r>
            <m:t xml:space="preserve">⁻</m:t>
          </m:r>
          <m:r>
            <m:t xml:space="preserve">¹</m:t>
          </m:r>
          <m:r>
            <m:t xml:space="preserve">a</m:t>
          </m:r>
          <m:r>
            <m:t xml:space="preserve">)</m:t>
          </m:r>
          <m:r>
            <m:t xml:space="preserve">,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 </m:t>
          </m:r>
          <m:r>
            <m:t xml:space="preserve">(</m:t>
          </m:r>
          <m:r>
            <m:t xml:space="preserve">dᵀa</m:t>
          </m:r>
          <m:r>
            <m:t xml:space="preserve">)</m:t>
          </m:r>
          <m:r>
            <m:t xml:space="preserve">²</m:t>
          </m:r>
          <m:r>
            <m:rPr>
              <m:lit/>
              <m:nor/>
            </m:rPr>
            <m:t xml:space="preserve"> </m:t>
          </m:r>
          <m:r>
            <m:rPr>
              <m:lit/>
              <m:nor/>
            </m:rPr>
            <m:t xml:space="preserve">/</m:t>
          </m:r>
          <m:r>
            <m:rPr>
              <m:lit/>
              <m:nor/>
            </m:rPr>
            <m:t xml:space="preserve"> </m:t>
          </m:r>
          <m:r>
            <m:t xml:space="preserve">(</m:t>
          </m:r>
          <m:r>
            <m:t xml:space="preserve">2</m:t>
          </m:r>
          <m:r>
            <m:t xml:space="preserve">dᵀΣd</m:t>
          </m:r>
          <m:r>
            <m:t xml:space="preserve">)</m:t>
          </m:r>
          <m:r>
            <m:rPr>
              <m:lit/>
              <m:nor/>
            </m:rPr>
            <m:t xml:space="preserve"> </m:t>
          </m:r>
          <m:r>
            <m:t xml:space="preserve">≤</m:t>
          </m:r>
          <m:r>
            <m:rPr>
              <m:lit/>
              <m:nor/>
            </m:rPr>
            <m:t xml:space="preserve"> </m:t>
          </m:r>
          <m:r>
            <m:t xml:space="preserve">1</m:t>
          </m:r>
          <m:r>
            <m:rPr>
              <m:lit/>
              <m:nor/>
            </m:rPr>
            <m:t xml:space="preserve">/</m:t>
          </m:r>
          <m:r>
            <m:t xml:space="preserve">2</m:t>
          </m:r>
          <m:r>
            <m:rPr>
              <m:lit/>
              <m:nor/>
            </m:rPr>
            <m:t xml:space="preserve"> </m:t>
          </m:r>
          <m:r>
            <m:t xml:space="preserve">aᵀΣ</m:t>
          </m:r>
          <m:r>
            <m:t xml:space="preserve">⁻</m:t>
          </m:r>
          <m:r>
            <m:t xml:space="preserve">¹</m:t>
          </m:r>
          <m:r>
            <m:t xml:space="preserve">a</m:t>
          </m:r>
        </m:oMath>
      </m:oMathPara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 xml:space="preserve">The inequality holds with equality iff </w:t>
      </w:r>
      <w:r>
        <w:rPr>
          <w:rFonts w:eastAsia="Cambria Math" w:cs="Cambria Math" w:ascii="times new roman" w:hAnsi="times new roman"/>
          <w:color w:val="auto"/>
          <w:sz w:val="22"/>
        </w:rPr>
        <w:t>Σ^1/2d ∝ Σ^-1/2a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i.e. </w:t>
      </w:r>
      <w:r>
        <w:rPr>
          <w:rFonts w:eastAsia="Cambria Math" w:cs="Cambria Math" w:ascii="times new roman" w:hAnsi="times new roman"/>
          <w:color w:val="auto"/>
          <w:sz w:val="22"/>
        </w:rPr>
        <w:t>d ∝ Σ⁻¹a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. At </w:t>
      </w:r>
      <w:r>
        <w:rPr>
          <w:rFonts w:eastAsia="Cambria Math" w:cs="Cambria Math" w:ascii="times new roman" w:hAnsi="times new roman"/>
          <w:color w:val="auto"/>
          <w:sz w:val="22"/>
        </w:rPr>
        <w:t>a*=θΣc/F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</w:t>
      </w:r>
      <w:r>
        <w:rPr>
          <w:rFonts w:eastAsia="Cambria Math" w:cs="Cambria Math" w:ascii="times new roman" w:hAnsi="times new roman"/>
          <w:color w:val="auto"/>
          <w:sz w:val="22"/>
        </w:rPr>
        <w:t>Σ⁻¹a* ∝ c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so the consensus monitor </w:t>
      </w:r>
      <w:r>
        <w:rPr>
          <w:rFonts w:eastAsia="Cambria Math" w:cs="Cambria Math" w:ascii="times new roman" w:hAnsi="times new roman"/>
          <w:color w:val="auto"/>
          <w:sz w:val="22"/>
        </w:rPr>
        <w:t>d=c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attains equality and its exponent is </w:t>
      </w:r>
      <w:r>
        <w:rPr>
          <w:rFonts w:eastAsia="Cambria Math" w:cs="Cambria Math" w:ascii="times new roman" w:hAnsi="times new roman"/>
          <w:color w:val="auto"/>
          <w:sz w:val="22"/>
        </w:rPr>
        <w:t>(cᵀa*)²/(2cᵀΣc) = θ²/(2F) = ρ</w:t>
      </w:r>
      <w:r>
        <w:rPr>
          <w:rFonts w:eastAsia="Times New Roman" w:cs="Times New Roman" w:ascii="times new roman" w:hAnsi="times new roman"/>
          <w:color w:val="auto"/>
          <w:sz w:val="22"/>
        </w:rPr>
        <w:t>.</w:t>
      </w:r>
    </w:p>
    <w:p>
      <w:pPr>
        <w:pStyle w:val="Heading2"/>
        <w:keepNext w:val="true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S1.5 Persistent versus endpoint adversary; KL-control extension</w:t>
      </w:r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 xml:space="preserve">A persistent adversary holding </w:t>
      </w:r>
      <w:r>
        <w:rPr>
          <w:rFonts w:eastAsia="Cambria Math" w:cs="Cambria Math" w:ascii="times new roman" w:hAnsi="times new roman"/>
          <w:color w:val="auto"/>
          <w:sz w:val="22"/>
        </w:rPr>
        <w:t>E[Bₜ]=θ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every step over a window of length </w:t>
      </w:r>
      <w:r>
        <w:rPr>
          <w:rFonts w:eastAsia="Cambria Math" w:cs="Cambria Math" w:ascii="times new roman" w:hAnsi="times new roman"/>
          <w:color w:val="auto"/>
          <w:sz w:val="22"/>
        </w:rPr>
        <w:t>T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pays total KL </w:t>
      </w:r>
      <w:r>
        <w:rPr>
          <w:rFonts w:eastAsia="Cambria Math" w:cs="Cambria Math" w:ascii="times new roman" w:hAnsi="times new roman"/>
          <w:color w:val="auto"/>
          <w:sz w:val="22"/>
        </w:rPr>
        <w:t>= Tρ</w:t>
      </w:r>
      <w:r>
        <w:rPr>
          <w:rFonts w:eastAsia="Times New Roman" w:cs="Times New Roman" w:ascii="times new roman" w:hAnsi="times new roman"/>
          <w:color w:val="auto"/>
          <w:sz w:val="22"/>
        </w:rPr>
        <w:t>. An endpoint-only target (</w:t>
      </w:r>
      <w:r>
        <w:rPr>
          <w:rFonts w:eastAsia="Cambria Math" w:cs="Cambria Math" w:ascii="times new roman" w:hAnsi="times new roman"/>
          <w:color w:val="auto"/>
          <w:sz w:val="22"/>
        </w:rPr>
        <w:t>E[B_T]=θ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) admits a bounded total cost that does not grow with </w:t>
      </w:r>
      <w:r>
        <w:rPr>
          <w:rFonts w:eastAsia="Cambria Math" w:cs="Cambria Math" w:ascii="times new roman" w:hAnsi="times new roman"/>
          <w:color w:val="auto"/>
          <w:sz w:val="22"/>
        </w:rPr>
        <w:t>T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(</w:t>
      </w:r>
      <w:r>
        <w:rPr>
          <w:rFonts w:eastAsia="Cambria Math" w:cs="Cambria Math" w:ascii="times new roman" w:hAnsi="times new roman"/>
          <w:color w:val="auto"/>
          <w:sz w:val="22"/>
        </w:rPr>
        <w:t>total/T → 0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); the rate </w:t>
      </w:r>
      <w:r>
        <w:rPr>
          <w:rFonts w:eastAsia="Cambria Math" w:cs="Cambria Math" w:ascii="times new roman" w:hAnsi="times new roman"/>
          <w:color w:val="auto"/>
          <w:sz w:val="22"/>
        </w:rPr>
        <w:t>ρ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describes only the persistent case. A finite-horizon feedback adversary can be cast as a linearly-solvable KL-control problem (refs 10, 11): the value recursion </w:t>
      </w:r>
      <w:r>
        <w:rPr>
          <w:rFonts w:eastAsia="Cambria Math" w:cs="Cambria Math" w:ascii="times new roman" w:hAnsi="times new roman"/>
          <w:color w:val="auto"/>
          <w:sz w:val="22"/>
        </w:rPr>
        <w:t>zₜ(B)=e^-q(B)E_π₀[z_t+1]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is linear in the exponentiated value. I verify internal consistency in the stationary regime: the pure mean-shift control attains exactly </w:t>
      </w:r>
      <w:r>
        <w:rPr>
          <w:rFonts w:eastAsia="Cambria Math" w:cs="Cambria Math" w:ascii="times new roman" w:hAnsi="times new roman"/>
          <w:color w:val="auto"/>
          <w:sz w:val="22"/>
        </w:rPr>
        <w:t>ρ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per step, while a soft-tracking optimum that also suppresses fluctuations pays strictly more than </w:t>
      </w:r>
      <w:r>
        <w:rPr>
          <w:rFonts w:eastAsia="Cambria Math" w:cs="Cambria Math" w:ascii="times new roman" w:hAnsi="times new roman"/>
          <w:color w:val="auto"/>
          <w:sz w:val="22"/>
        </w:rPr>
        <w:t>ρ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once it tracks the target—so </w:t>
      </w:r>
      <w:r>
        <w:rPr>
          <w:rFonts w:eastAsia="Cambria Math" w:cs="Cambria Math" w:ascii="times new roman" w:hAnsi="times new roman"/>
          <w:color w:val="auto"/>
          <w:sz w:val="22"/>
        </w:rPr>
        <w:t>ρ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is the mean-only lower bound. This extension is exploratory and is not used in the main results.</w:t>
      </w:r>
    </w:p>
    <w:p>
      <w:pPr>
        <w:pStyle w:val="Heading1"/>
        <w:keepNext w:val="true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Supplementary Note 2 — Extended computational results</w:t>
      </w:r>
    </w:p>
    <w:p>
      <w:pPr>
        <w:pStyle w:val="Heading2"/>
        <w:keepNext w:val="true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S2.1 Detection exponents match across topologies (Supplementary Table 1)</w:t>
      </w:r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 xml:space="preserve">For every topology × covariance combination at </w:t>
      </w:r>
      <w:r>
        <w:rPr>
          <w:rFonts w:eastAsia="Cambria Math" w:cs="Cambria Math" w:ascii="times new roman" w:hAnsi="times new roman"/>
          <w:color w:val="auto"/>
          <w:sz w:val="22"/>
        </w:rPr>
        <w:t>N=12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the full-signal-vector Chernoff–Stein exponent and the consensus-monitor exponent both equal the fragility rate </w:t>
      </w:r>
      <w:r>
        <w:rPr>
          <w:rFonts w:eastAsia="Cambria Math" w:cs="Cambria Math" w:ascii="times new roman" w:hAnsi="times new roman"/>
          <w:color w:val="auto"/>
          <w:sz w:val="22"/>
        </w:rPr>
        <w:t>ρ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to machine precision. Representative values: complete graph, i.i.d., </w:t>
      </w:r>
      <w:r>
        <w:rPr>
          <w:rFonts w:eastAsia="Cambria Math" w:cs="Cambria Math" w:ascii="times new roman" w:hAnsi="times new roman"/>
          <w:color w:val="auto"/>
          <w:sz w:val="22"/>
        </w:rPr>
        <w:t>F=0.0833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</w:t>
      </w:r>
      <w:r>
        <w:rPr>
          <w:rFonts w:eastAsia="Cambria Math" w:cs="Cambria Math" w:ascii="times new roman" w:hAnsi="times new roman"/>
          <w:color w:val="auto"/>
          <w:sz w:val="22"/>
        </w:rPr>
        <w:t>ρ=</w:t>
      </w:r>
      <w:r>
        <w:rPr>
          <w:rFonts w:eastAsia="Times New Roman" w:cs="Times New Roman" w:ascii="times new roman" w:hAnsi="times new roman"/>
          <w:color w:val="auto"/>
          <w:sz w:val="22"/>
        </w:rPr>
        <w:t>full</w:t>
      </w:r>
      <w:r>
        <w:rPr>
          <w:rFonts w:eastAsia="Cambria Math" w:cs="Cambria Math" w:ascii="times new roman" w:hAnsi="times new roman"/>
          <w:color w:val="auto"/>
          <w:sz w:val="22"/>
        </w:rPr>
        <w:t>=</w:t>
      </w:r>
      <w:r>
        <w:rPr>
          <w:rFonts w:eastAsia="Times New Roman" w:cs="Times New Roman" w:ascii="times new roman" w:hAnsi="times new roman"/>
          <w:color w:val="auto"/>
          <w:sz w:val="22"/>
        </w:rPr>
        <w:t>consensus</w:t>
      </w:r>
      <w:r>
        <w:rPr>
          <w:rFonts w:eastAsia="Cambria Math" w:cs="Cambria Math" w:ascii="times new roman" w:hAnsi="times new roman"/>
          <w:color w:val="auto"/>
          <w:sz w:val="22"/>
        </w:rPr>
        <w:t>=6.00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; complete, common-shock, </w:t>
      </w:r>
      <w:r>
        <w:rPr>
          <w:rFonts w:eastAsia="Cambria Math" w:cs="Cambria Math" w:ascii="times new roman" w:hAnsi="times new roman"/>
          <w:color w:val="auto"/>
          <w:sz w:val="22"/>
        </w:rPr>
        <w:t>F=0.358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</w:t>
      </w:r>
      <w:r>
        <w:rPr>
          <w:rFonts w:eastAsia="Cambria Math" w:cs="Cambria Math" w:ascii="times new roman" w:hAnsi="times new roman"/>
          <w:color w:val="auto"/>
          <w:sz w:val="22"/>
        </w:rPr>
        <w:t>ρ=1.40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; Barabási–Albert, central-accurate, </w:t>
      </w:r>
      <w:r>
        <w:rPr>
          <w:rFonts w:eastAsia="Cambria Math" w:cs="Cambria Math" w:ascii="times new roman" w:hAnsi="times new roman"/>
          <w:color w:val="auto"/>
          <w:sz w:val="22"/>
        </w:rPr>
        <w:t>F=0.0910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</w:t>
      </w:r>
      <w:r>
        <w:rPr>
          <w:rFonts w:eastAsia="Cambria Math" w:cs="Cambria Math" w:ascii="times new roman" w:hAnsi="times new roman"/>
          <w:color w:val="auto"/>
          <w:sz w:val="22"/>
        </w:rPr>
        <w:t>ρ=5.49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. The CUSUM monitor on the whitened consensus innovation gives a detection delay whose product with </w:t>
      </w:r>
      <w:r>
        <w:rPr>
          <w:rFonts w:eastAsia="Cambria Math" w:cs="Cambria Math" w:ascii="times new roman" w:hAnsi="times new roman"/>
          <w:color w:val="auto"/>
          <w:sz w:val="22"/>
        </w:rPr>
        <w:t>ρ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is approximately constant across topologies (range ≈ 6–9 for a log-likelihood threshold of 5, consistent with Wald's identity plus discrete overshoot), confirming the </w:t>
      </w:r>
      <w:r>
        <w:rPr>
          <w:rFonts w:eastAsia="Cambria Math" w:cs="Cambria Math" w:ascii="times new roman" w:hAnsi="times new roman"/>
          <w:color w:val="auto"/>
          <w:sz w:val="22"/>
        </w:rPr>
        <w:t>1/ρ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scaling. Source: </w:t>
      </w:r>
      <w:r>
        <w:rPr>
          <w:rFonts w:eastAsia="Cambria Math" w:cs="Cambria Math" w:ascii="times new roman" w:hAnsi="times new roman"/>
          <w:color w:val="auto"/>
          <w:sz w:val="22"/>
        </w:rPr>
        <w:t>output/tables/detection_diagnostics.csv</w:t>
      </w:r>
      <w:r>
        <w:rPr>
          <w:rFonts w:eastAsia="Times New Roman" w:cs="Times New Roman" w:ascii="times new roman" w:hAnsi="times new roman"/>
          <w:color w:val="auto"/>
          <w:sz w:val="22"/>
        </w:rPr>
        <w:t>.</w:t>
      </w:r>
    </w:p>
    <w:p>
      <w:pPr>
        <w:pStyle w:val="Heading2"/>
        <w:keepNext w:val="true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S2.2 Maximin design ranking (Supplementary Table 2)</w:t>
      </w:r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 xml:space="preserve">Worst-case </w:t>
      </w:r>
      <w:r>
        <w:rPr>
          <w:rFonts w:eastAsia="Cambria Math" w:cs="Cambria Math" w:ascii="times new roman" w:hAnsi="times new roman"/>
          <w:color w:val="auto"/>
          <w:sz w:val="22"/>
        </w:rPr>
        <w:t>F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and </w:t>
      </w:r>
      <w:r>
        <w:rPr>
          <w:rFonts w:eastAsia="Cambria Math" w:cs="Cambria Math" w:ascii="times new roman" w:hAnsi="times new roman"/>
          <w:color w:val="auto"/>
          <w:sz w:val="22"/>
        </w:rPr>
        <w:t>ρ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over the four covariance regimes for each eligible network at </w:t>
      </w:r>
      <w:r>
        <w:rPr>
          <w:rFonts w:eastAsia="Cambria Math" w:cs="Cambria Math" w:ascii="times new roman" w:hAnsi="times new roman"/>
          <w:color w:val="auto"/>
          <w:sz w:val="22"/>
        </w:rPr>
        <w:t>N=12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(usability cap on the maximum single influence weight). De-concentrated networks share the top robustness: cycle, complete, and 2-/4-regular graphs each have worst-case </w:t>
      </w:r>
      <w:r>
        <w:rPr>
          <w:rFonts w:eastAsia="Cambria Math" w:cs="Cambria Math" w:ascii="times new roman" w:hAnsi="times new roman"/>
          <w:color w:val="auto"/>
          <w:sz w:val="22"/>
        </w:rPr>
        <w:t>F=0.358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</w:t>
      </w:r>
      <w:r>
        <w:rPr>
          <w:rFonts w:eastAsia="Cambria Math" w:cs="Cambria Math" w:ascii="times new roman" w:hAnsi="times new roman"/>
          <w:color w:val="auto"/>
          <w:sz w:val="22"/>
        </w:rPr>
        <w:t>ρ=1.40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and </w:t>
      </w:r>
      <w:r>
        <w:rPr>
          <w:rFonts w:eastAsia="Cambria Math" w:cs="Cambria Math" w:ascii="times new roman" w:hAnsi="times new roman"/>
          <w:color w:val="auto"/>
          <w:sz w:val="22"/>
        </w:rPr>
        <w:t>‖v‖²=1/12</w:t>
      </w:r>
      <w:r>
        <w:rPr>
          <w:rFonts w:eastAsia="Times New Roman" w:cs="Times New Roman" w:ascii="times new roman" w:hAnsi="times new roman"/>
          <w:color w:val="auto"/>
          <w:sz w:val="22"/>
        </w:rPr>
        <w:t>; small-world (</w:t>
      </w:r>
      <w:r>
        <w:rPr>
          <w:rFonts w:eastAsia="Cambria Math" w:cs="Cambria Math" w:ascii="times new roman" w:hAnsi="times new roman"/>
          <w:color w:val="auto"/>
          <w:sz w:val="22"/>
        </w:rPr>
        <w:t>ρ≈1.39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) and scale-free graphs follow; the star and weighted-hub networks are most fragile. Source: </w:t>
      </w:r>
      <w:r>
        <w:rPr>
          <w:rFonts w:eastAsia="Cambria Math" w:cs="Cambria Math" w:ascii="times new roman" w:hAnsi="times new roman"/>
          <w:color w:val="auto"/>
          <w:sz w:val="22"/>
        </w:rPr>
        <w:t>output/tables/minimax_defender.csv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</w:t>
      </w:r>
      <w:r>
        <w:rPr>
          <w:rFonts w:eastAsia="Cambria Math" w:cs="Cambria Math" w:ascii="times new roman" w:hAnsi="times new roman"/>
          <w:color w:val="auto"/>
          <w:sz w:val="22"/>
        </w:rPr>
        <w:t>output/tables/design_optimization.csv</w:t>
      </w:r>
      <w:r>
        <w:rPr>
          <w:rFonts w:eastAsia="Times New Roman" w:cs="Times New Roman" w:ascii="times new roman" w:hAnsi="times new roman"/>
          <w:color w:val="auto"/>
          <w:sz w:val="22"/>
        </w:rPr>
        <w:t>.</w:t>
      </w:r>
    </w:p>
    <w:p>
      <w:pPr>
        <w:pStyle w:val="Heading1"/>
        <w:keepNext w:val="true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Supplementary Note 3 — Public-data calibration detail</w:t>
      </w:r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auto"/>
          <w:sz w:val="22"/>
        </w:rPr>
        <w:t>Almaatouq et al. 2020 (CC0).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"Guess the Correlation" estimation in static and dynamic networks of 12, 20 rounds with a mid-task signal-quality change. Per-round social weight is estimated from belief revisions; clipped condition means: static 0.31, dynamic 0.39, dynamic full-feedback 0.40, dynamic no-feedback 0.30, dynamic self-feedback 0.30 (self-weights 0.60–0.70). Retained data anomalies are reported and handled by fixed rules (duplicate participant-round keys, missing neighbor identifiers, and the fraction of reconstructed network-rounds that are strongly connected). Reconstructed influence concentration is endogenous to participants' linking and is treated as observational.</w:t>
      </w:r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auto"/>
          <w:sz w:val="22"/>
        </w:rPr>
        <w:t>Kao et al. 2018 (CC BY 4.0).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Numerosity estimation with controlled announced social-group sizes. Social weight among revisers ≈0.37 overall, rising with announced group size (≈0.23 at size 1 to ≈0.41 at size 50); revision-toward-signal rate ≈0.85 among changers. Estimation bias grows with the true magnitude (arithmetic relative error ≈0.34, 0.02, 0.10, 0.22, 1.40 across the five tested numerosities), motivating log-domain analysis. Source: </w:t>
      </w:r>
      <w:r>
        <w:rPr>
          <w:rFonts w:eastAsia="Cambria Math" w:cs="Cambria Math" w:ascii="times new roman" w:hAnsi="times new roman"/>
          <w:color w:val="auto"/>
          <w:sz w:val="22"/>
        </w:rPr>
        <w:t>data/external/kao_2018/derived/*.csv</w:t>
      </w:r>
      <w:r>
        <w:rPr>
          <w:rFonts w:eastAsia="Times New Roman" w:cs="Times New Roman" w:ascii="times new roman" w:hAnsi="times new roman"/>
          <w:color w:val="auto"/>
          <w:sz w:val="22"/>
        </w:rPr>
        <w:t>.</w:t>
      </w:r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>These analyses calibrate empirical self/social weights and signal-precision ranges and provide external plausibility; they are not a causal or confirmatory test of the fragility law.</w:t>
      </w:r>
    </w:p>
    <w:p>
      <w:pPr>
        <w:pStyle w:val="Heading1"/>
        <w:keepNext w:val="true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Supplementary Note 4 — Proposed future experiment and its design analysis (NOT part of the main results)</w:t>
      </w:r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 xml:space="preserve">The fragility law makes behavioral predictions (P1: groups with larger </w:t>
      </w:r>
      <w:r>
        <w:rPr>
          <w:rFonts w:eastAsia="Cambria Math" w:cs="Cambria Math" w:ascii="times new roman" w:hAnsi="times new roman"/>
          <w:color w:val="auto"/>
          <w:sz w:val="22"/>
        </w:rPr>
        <w:t>F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require lower steering cost; P2: </w:t>
      </w:r>
      <w:r>
        <w:rPr>
          <w:rFonts w:eastAsia="Cambria Math" w:cs="Cambria Math" w:ascii="times new roman" w:hAnsi="times new roman"/>
          <w:color w:val="auto"/>
          <w:sz w:val="22"/>
        </w:rPr>
        <w:t>F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predicts steering cost better than topology alone; P5: larger </w:t>
      </w:r>
      <w:r>
        <w:rPr>
          <w:rFonts w:eastAsia="Cambria Math" w:cs="Cambria Math" w:ascii="times new roman" w:hAnsi="times new roman"/>
          <w:color w:val="auto"/>
          <w:sz w:val="22"/>
        </w:rPr>
        <w:t>F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yields larger natural volatility with no adversary). Testing them requires a prospective assigned-network experiment that this work does not run. We record the design and its operating characteristics so the framework is demonstrably testable.</w:t>
      </w:r>
    </w:p>
    <w:p>
      <w:pPr>
        <w:pStyle w:val="Heading2"/>
        <w:keepNext w:val="true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S4.1 Identification and the errors-in-variables model</w:t>
      </w:r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 xml:space="preserve">In a future experiment, </w:t>
      </w:r>
      <w:r>
        <w:rPr>
          <w:rFonts w:eastAsia="Cambria Math" w:cs="Cambria Math" w:ascii="times new roman" w:hAnsi="times new roman"/>
          <w:color w:val="auto"/>
          <w:sz w:val="22"/>
        </w:rPr>
        <w:t>F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would be estimated from finite pre-perturbation rounds and the steering cost measured from the response to a bounded persistent signal-mean perturbation, with the regressor and the cost estimated from disjoint blocks of rounds so the confirmatory slope is a genuine statistic rather than an identity. Because the regressor </w:t>
      </w:r>
      <w:r>
        <w:rPr>
          <w:rFonts w:eastAsia="Cambria Math" w:cs="Cambria Math" w:ascii="times new roman" w:hAnsi="times new roman"/>
          <w:color w:val="auto"/>
          <w:sz w:val="22"/>
        </w:rPr>
        <w:t>log F̂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is measured with error, ordinary least squares attenuates the slope toward zero. A hierarchical Bayesian errors-in-variables model treats </w:t>
      </w:r>
      <w:r>
        <w:rPr>
          <w:rFonts w:eastAsia="Cambria Math" w:cs="Cambria Math" w:ascii="times new roman" w:hAnsi="times new roman"/>
          <w:color w:val="auto"/>
          <w:sz w:val="22"/>
        </w:rPr>
        <w:t>log F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as a latent covariate measured with group-specific error. In calibration (</w:t>
      </w:r>
      <w:r>
        <w:rPr>
          <w:rFonts w:eastAsia="Cambria Math" w:cs="Cambria Math" w:ascii="times new roman" w:hAnsi="times new roman"/>
          <w:color w:val="auto"/>
          <w:sz w:val="22"/>
        </w:rPr>
        <w:t>output/tables/eiv_attenuation.csv</w:t>
      </w:r>
      <w:r>
        <w:rPr>
          <w:rFonts w:eastAsia="Times New Roman" w:cs="Times New Roman" w:ascii="times new roman" w:hAnsi="times new roman"/>
          <w:color w:val="auto"/>
          <w:sz w:val="22"/>
        </w:rPr>
        <w:t>), ordinary least squares attenuates a true slope of −1.0 to −0.95, −0.84, −0.70, and −0.56 as the measurement-error standard deviation increases (0.2 → 0.8), whereas the errors-in-variables posterior recovers −0.98, −0.96, −0.93, and −0.88 with 95% credible intervals that cover the truth at every level. Simulation-based calibration of the sampler gives uniform rank statistics (</w:t>
      </w:r>
      <w:r>
        <w:rPr>
          <w:rFonts w:eastAsia="Cambria Math" w:cs="Cambria Math" w:ascii="times new roman" w:hAnsi="times new roman"/>
          <w:color w:val="auto"/>
          <w:sz w:val="22"/>
        </w:rPr>
        <w:t>output/tables/eiv_sbc.csv</w:t>
      </w:r>
      <w:r>
        <w:rPr>
          <w:rFonts w:eastAsia="Times New Roman" w:cs="Times New Roman" w:ascii="times new roman" w:hAnsi="times new roman"/>
          <w:color w:val="auto"/>
          <w:sz w:val="22"/>
        </w:rPr>
        <w:t>: rank mean 502.9 vs expected 500.0 over 1,000 posterior draws; Kolmogorov–Smirnov p = 0.31).</w:t>
      </w:r>
    </w:p>
    <w:p>
      <w:pPr>
        <w:pStyle w:val="Heading2"/>
        <w:keepNext w:val="true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S4.2 Power, Type-I, and sequential-Bayes-factor design analysis</w:t>
      </w:r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>On a parametric model calibrated to the forward pipeline (</w:t>
      </w:r>
      <w:r>
        <w:rPr>
          <w:rFonts w:eastAsia="Cambria Math" w:cs="Cambria Math" w:ascii="times new roman" w:hAnsi="times new roman"/>
          <w:color w:val="auto"/>
          <w:sz w:val="22"/>
        </w:rPr>
        <w:t>log F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spread ≈0.69; residual standard deviation 0.21 when the DeGroot analysis model is correct, 0.51 under Friedkin–Johnsen misspecification), a-priori frequentist power at a pre-specified smallest effect of interest (slope −0.3) is ≈1.00 at 120 groups under correct specification and ≈0.99 under misspecification (</w:t>
      </w:r>
      <w:r>
        <w:rPr>
          <w:rFonts w:eastAsia="Cambria Math" w:cs="Cambria Math" w:ascii="times new roman" w:hAnsi="times new roman"/>
          <w:color w:val="auto"/>
          <w:sz w:val="22"/>
        </w:rPr>
        <w:t>output/tables/design_power_sesoi.csv</w:t>
      </w:r>
      <w:r>
        <w:rPr>
          <w:rFonts w:eastAsia="Times New Roman" w:cs="Times New Roman" w:ascii="times new roman" w:hAnsi="times new roman"/>
          <w:color w:val="auto"/>
          <w:sz w:val="22"/>
        </w:rPr>
        <w:t>). The false-positive calibration at the null (slope 0) gives a frequentist Type-I rate ≈0.06 and a Bayes-factor-exceeds-10 rate of ≈0.001—the test almost never fires absent an effect. A sequential-Bayes-factor design analysis (</w:t>
      </w:r>
      <w:r>
        <w:rPr>
          <w:rFonts w:eastAsia="Cambria Math" w:cs="Cambria Math" w:ascii="times new roman" w:hAnsi="times new roman"/>
          <w:color w:val="auto"/>
          <w:sz w:val="22"/>
        </w:rPr>
        <w:t>output/tables/bfda.csv</w:t>
      </w:r>
      <w:r>
        <w:rPr>
          <w:rFonts w:eastAsia="Times New Roman" w:cs="Times New Roman" w:ascii="times new roman" w:hAnsi="times new roman"/>
          <w:color w:val="auto"/>
          <w:sz w:val="22"/>
        </w:rPr>
        <w:t>) stops for the alternative with probability 1.0 and expected accrual near the minimum under the structural effect, and false-stops for the alternative with probability ≈0.008 under the null. Both inference routes (frequentist power ≥0.95 at the smallest effect of interest, or a sequential Bayes factor with threshold 10) are available; the choice would be pre-registered.</w:t>
      </w:r>
    </w:p>
    <w:p>
      <w:pPr>
        <w:pStyle w:val="Heading2"/>
        <w:keepNext w:val="true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S4.3 Deception-free co-primary and feasibility</w:t>
      </w:r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 xml:space="preserve">The natural-volatility corollary furnishes a confirmatory route with no manipulation: regress log consensus variance on </w:t>
      </w:r>
      <w:r>
        <w:rPr>
          <w:rFonts w:eastAsia="Cambria Math" w:cs="Cambria Math" w:ascii="times new roman" w:hAnsi="times new roman"/>
          <w:color w:val="auto"/>
          <w:sz w:val="22"/>
        </w:rPr>
        <w:t>log F̂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and test for a positive slope. In simulation (</w:t>
      </w:r>
      <w:r>
        <w:rPr>
          <w:rFonts w:eastAsia="Cambria Math" w:cs="Cambria Math" w:ascii="times new roman" w:hAnsi="times new roman"/>
          <w:color w:val="auto"/>
          <w:sz w:val="22"/>
        </w:rPr>
        <w:t>output/tables/volatility_power.csv</w:t>
      </w:r>
      <w:r>
        <w:rPr>
          <w:rFonts w:eastAsia="Times New Roman" w:cs="Times New Roman" w:ascii="times new roman" w:hAnsi="times new roman"/>
          <w:color w:val="auto"/>
          <w:sz w:val="22"/>
        </w:rPr>
        <w:t>) this test has power ≈1.0 with a positive slope (≈1.1) under both the correct and the misspecified update model. A conservative (no-backfill) feasibility projection (</w:t>
      </w:r>
      <w:r>
        <w:rPr>
          <w:rFonts w:eastAsia="Cambria Math" w:cs="Cambria Math" w:ascii="times new roman" w:hAnsi="times new roman"/>
          <w:color w:val="auto"/>
          <w:sz w:val="22"/>
        </w:rPr>
        <w:t>output/tables/pilot_feasibility.csv</w:t>
      </w:r>
      <w:r>
        <w:rPr>
          <w:rFonts w:eastAsia="Times New Roman" w:cs="Times New Roman" w:ascii="times new roman" w:hAnsi="times new roman"/>
          <w:color w:val="auto"/>
          <w:sz w:val="22"/>
        </w:rPr>
        <w:t>) indicates that, requiring at least 9 of 12 synchronous members usable at 75% per-participant completion, ≈30% of recruited groups are analyzable, so ≈330 recruited groups (≈3,950 participants) would be needed per 100 analyzable groups; lobby-based dynamic group formation and over-recruitment are the standard mitigations.</w:t>
      </w:r>
    </w:p>
    <w:p>
      <w:pPr>
        <w:pStyle w:val="Heading2"/>
        <w:keepNext w:val="true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S4.4 Update-model comparison</w:t>
      </w:r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 xml:space="preserve">DeGroot-with-signals is one model; a future analysis would fit and compare DeGroot, stubborn Friedkin–Johnsen, and weighted-median rules on pre-perturbation trajectories and recompute </w:t>
      </w:r>
      <w:r>
        <w:rPr>
          <w:rFonts w:eastAsia="Cambria Math" w:cs="Cambria Math" w:ascii="times new roman" w:hAnsi="times new roman"/>
          <w:color w:val="auto"/>
          <w:sz w:val="22"/>
        </w:rPr>
        <w:t>c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under the best-supported rule. The released </w:t>
      </w:r>
      <w:r>
        <w:rPr>
          <w:rFonts w:eastAsia="Cambria Math" w:cs="Cambria Math" w:ascii="times new roman" w:hAnsi="times new roman"/>
          <w:color w:val="auto"/>
          <w:sz w:val="22"/>
        </w:rPr>
        <w:t>compare_update_models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routine recovers the true generating model from simulated trajectories by an information criterion.</w:t>
      </w:r>
    </w:p>
    <w:p>
      <w:pPr>
        <w:pStyle w:val="Heading1"/>
        <w:keepNext w:val="true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Supplementary Figures</w:t>
      </w:r>
    </w:p>
    <w:p>
      <w:pPr>
        <w:pStyle w:val="ListBullet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auto"/>
          <w:sz w:val="22"/>
        </w:rPr>
        <w:t>Supplementary Fig. 1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(</w:t>
      </w:r>
      <w:r>
        <w:rPr>
          <w:rFonts w:eastAsia="Cambria Math" w:cs="Cambria Math" w:ascii="times new roman" w:hAnsi="times new roman"/>
          <w:color w:val="auto"/>
          <w:sz w:val="22"/>
        </w:rPr>
        <w:t>output/figures/fig3_inference_design.*</w:t>
      </w:r>
      <w:r>
        <w:rPr>
          <w:rFonts w:eastAsia="Times New Roman" w:cs="Times New Roman" w:ascii="times new roman" w:hAnsi="times new roman"/>
          <w:color w:val="auto"/>
          <w:sz w:val="22"/>
        </w:rPr>
        <w:t>). Design analysis for the proposed</w:t>
      </w:r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 xml:space="preserve">future experiment: (a) forward-simulation slope versus number of groups under correct and misspecified update models; (b) ordinary-least-squares attenuation versus errors-in-variables recovery across measurement noise; (c) simulation-based-calibration rank check; (d) maximin-defender ranking by worst-case </w:t>
      </w:r>
      <w:r>
        <w:rPr>
          <w:rFonts w:eastAsia="Cambria Math" w:cs="Cambria Math" w:ascii="times new roman" w:hAnsi="times new roman"/>
          <w:color w:val="auto"/>
          <w:sz w:val="22"/>
        </w:rPr>
        <w:t>ρ</w:t>
      </w:r>
      <w:r>
        <w:rPr>
          <w:rFonts w:eastAsia="Times New Roman" w:cs="Times New Roman" w:ascii="times new roman" w:hAnsi="times new roman"/>
          <w:color w:val="auto"/>
          <w:sz w:val="22"/>
        </w:rPr>
        <w:t>.</w:t>
      </w:r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 xml:space="preserve">The public-data calibration (Almaatouq et al. social weights and reconstructed concentration; Kao et al. bias-by-magnitude and social weight by group size) is presented in main-text Fig. 2; the full numeric detail is in the derived tables under </w:t>
      </w:r>
      <w:r>
        <w:rPr>
          <w:rFonts w:eastAsia="Cambria Math" w:cs="Cambria Math" w:ascii="times new roman" w:hAnsi="times new roman"/>
          <w:color w:val="auto"/>
          <w:sz w:val="22"/>
        </w:rPr>
        <w:t>data/external/*/derived/</w:t>
      </w:r>
      <w:r>
        <w:rPr>
          <w:rFonts w:eastAsia="Times New Roman" w:cs="Times New Roman" w:ascii="times new roman" w:hAnsi="times new roman"/>
          <w:color w:val="auto"/>
          <w:sz w:val="22"/>
        </w:rPr>
        <w:t>.</w:t>
      </w:r>
    </w:p>
    <w:p>
      <w:pPr>
        <w:pStyle w:val="Heading1"/>
        <w:keepNext w:val="true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Supplementary references</w:t>
      </w:r>
    </w:p>
    <w:p>
      <w:pPr>
        <w:pStyle w:val="Normal"/>
        <w:spacing w:lineRule="auto" w:line="259" w:before="0" w:after="120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auto"/>
          <w:sz w:val="22"/>
        </w:rPr>
        <w:t xml:space="preserve">Schönbrodt, F. D. &amp; Wagenmakers, E.-J. Bayes factor design analysis. </w:t>
      </w:r>
      <w:r>
        <w:rPr>
          <w:rFonts w:eastAsia="Times New Roman" w:cs="Times New Roman" w:ascii="times new roman" w:hAnsi="times new roman"/>
          <w:i/>
          <w:color w:val="auto"/>
          <w:sz w:val="22"/>
        </w:rPr>
        <w:t>Psychon. Bull. Rev.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z w:val="22"/>
        </w:rPr>
        <w:t>25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, 128–142 (2018). https://doi.org/10.3758/s13423-017-1230-y · Arechar, A. A., Gächter, S. &amp; Molleman, L. Conducting interactive experiments online. </w:t>
      </w:r>
      <w:r>
        <w:rPr>
          <w:rFonts w:eastAsia="Times New Roman" w:cs="Times New Roman" w:ascii="times new roman" w:hAnsi="times new roman"/>
          <w:i/>
          <w:color w:val="auto"/>
          <w:sz w:val="22"/>
        </w:rPr>
        <w:t>Exp. Econ.</w:t>
      </w:r>
      <w:r>
        <w:rPr>
          <w:rFonts w:eastAsia="Times New Roman" w:cs="Times New Roman" w:ascii="times new roman" w:hAnsi="times new roman"/>
          <w:color w:val="auto"/>
          <w:sz w:val="22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z w:val="22"/>
        </w:rPr>
        <w:t>21</w:t>
      </w:r>
      <w:r>
        <w:rPr>
          <w:rFonts w:eastAsia="Times New Roman" w:cs="Times New Roman" w:ascii="times new roman" w:hAnsi="times new roman"/>
          <w:color w:val="auto"/>
          <w:sz w:val="22"/>
        </w:rPr>
        <w:t>, 99–131 (2018). https://doi.org/10.1007/s10683-017-9527-2 · Talts, S. et al. Validating Bayesian inference algorithms with simulation-based calibration. Preprint at arXiv:1804.06788 (2018).</w:t>
      </w:r>
    </w:p>
    <w:p>
      <w:pPr>
        <w:pStyle w:val="Normal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</w:r>
      <w:r>
        <w:br w:type="page"/>
      </w:r>
    </w:p>
    <w:p>
      <w:pPr>
        <w:pStyle w:val="Heading1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Figures</w:t>
      </w:r>
    </w:p>
    <w:p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fig3 inference design</w:t>
      </w:r>
    </w:p>
    <w:p>
      <w:pPr>
        <w:pStyle w:val="Normal"/>
        <w:spacing w:before="0" w:after="200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943600" cy="45739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start"/>
    </w:pPr>
    <w:rPr>
      <w:rFonts w:ascii="Times New Roman" w:hAnsi="Times New Roman" w:eastAsia="" w:cs="" w:cstheme="minorBidi" w:eastAsiaTheme="minorEastAsi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start"/>
    </w:pPr>
    <w:rPr>
      <w:rFonts w:ascii="Courier" w:hAnsi="Courier" w:eastAsia="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LibreOffice/25.8.1.1$Linux_X86_64 LibreOffice_project/580$Build-1</Application>
  <AppVersion>15.0000</AppVersion>
  <Pages>5</Pages>
  <Words>1626</Words>
  <Characters>9930</Characters>
  <CharactersWithSpaces>11461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2026-06-17T00:00:00Z</dcterms:created>
  <dc:creator>Anonymous Authors</dc:creator>
  <dc:description>Prepared for double-anonymized peer review.</dc:description>
  <cp:keywords>consensus social influence detection theory</cp:keywords>
  <dc:language>en-US</dc:language>
  <cp:lastModifiedBy/>
  <dcterms:modified xsi:type="dcterms:W3CDTF">2026-06-17T11:43:59Z</dcterms:modified>
  <cp:revision>3</cp:revision>
  <dc:subject>Double-anonymized review manuscript</dc:subject>
  <dc:title>Supplementary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