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37AF" w14:textId="5C045BD0" w:rsidR="008C45F9" w:rsidRDefault="008C45F9" w:rsidP="008C45F9">
      <w:pPr>
        <w:jc w:val="center"/>
        <w:rPr>
          <w:rFonts w:ascii="Times New Roman" w:hAnsi="Times New Roman" w:cs="Times New Roman"/>
          <w:b/>
          <w:bCs/>
          <w:sz w:val="24"/>
          <w:szCs w:val="24"/>
          <w:lang w:val="en-US"/>
        </w:rPr>
      </w:pPr>
      <w:r w:rsidRPr="008C45F9">
        <w:rPr>
          <w:rFonts w:ascii="Times New Roman" w:hAnsi="Times New Roman" w:cs="Times New Roman"/>
          <w:b/>
          <w:bCs/>
          <w:sz w:val="24"/>
          <w:szCs w:val="24"/>
          <w:lang w:val="en-US"/>
        </w:rPr>
        <w:t xml:space="preserve">Supplementary </w:t>
      </w:r>
      <w:r w:rsidR="00274EA0">
        <w:rPr>
          <w:rFonts w:ascii="Times New Roman" w:hAnsi="Times New Roman" w:cs="Times New Roman"/>
          <w:b/>
          <w:bCs/>
          <w:sz w:val="24"/>
          <w:szCs w:val="24"/>
          <w:lang w:val="en-US"/>
        </w:rPr>
        <w:t>Information</w:t>
      </w:r>
    </w:p>
    <w:p w14:paraId="162DF28A" w14:textId="77777777" w:rsidR="002D3995" w:rsidRDefault="002D3995" w:rsidP="008C45F9">
      <w:pPr>
        <w:jc w:val="center"/>
        <w:rPr>
          <w:rFonts w:ascii="Times New Roman" w:hAnsi="Times New Roman" w:cs="Times New Roman"/>
          <w:b/>
          <w:bCs/>
          <w:sz w:val="24"/>
          <w:szCs w:val="24"/>
          <w:lang w:val="en-US"/>
        </w:rPr>
      </w:pPr>
    </w:p>
    <w:p w14:paraId="69B9EE4E" w14:textId="77777777" w:rsidR="00F47600" w:rsidRDefault="002D3995" w:rsidP="00F47600">
      <w:pPr>
        <w:keepNext/>
        <w:jc w:val="center"/>
      </w:pPr>
      <w:r>
        <w:rPr>
          <w:rFonts w:ascii="Times New Roman" w:hAnsi="Times New Roman" w:cs="Times New Roman"/>
          <w:b/>
          <w:bCs/>
          <w:noProof/>
          <w:sz w:val="24"/>
          <w:szCs w:val="24"/>
          <w:lang w:val="en-US"/>
        </w:rPr>
        <w:drawing>
          <wp:inline distT="0" distB="0" distL="0" distR="0" wp14:anchorId="340A8C80" wp14:editId="23FACE6B">
            <wp:extent cx="3614749" cy="6361621"/>
            <wp:effectExtent l="0" t="0" r="5080" b="1270"/>
            <wp:docPr id="447417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17125" name="Imagen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16843" cy="6365307"/>
                    </a:xfrm>
                    <a:prstGeom prst="rect">
                      <a:avLst/>
                    </a:prstGeom>
                  </pic:spPr>
                </pic:pic>
              </a:graphicData>
            </a:graphic>
          </wp:inline>
        </w:drawing>
      </w:r>
    </w:p>
    <w:p w14:paraId="524444DB" w14:textId="5C8E8DF2" w:rsidR="002D3995" w:rsidRPr="00F47600" w:rsidRDefault="00F47600" w:rsidP="00F47600">
      <w:pPr>
        <w:pStyle w:val="Descripcin"/>
        <w:jc w:val="both"/>
        <w:rPr>
          <w:rFonts w:ascii="Times New Roman" w:hAnsi="Times New Roman" w:cs="Times New Roman"/>
          <w:b/>
          <w:bCs/>
          <w:i w:val="0"/>
          <w:iCs w:val="0"/>
          <w:color w:val="auto"/>
          <w:sz w:val="22"/>
          <w:szCs w:val="22"/>
          <w:lang w:val="en-US"/>
        </w:rPr>
      </w:pPr>
      <w:r w:rsidRPr="00F47600">
        <w:rPr>
          <w:rFonts w:ascii="Times New Roman" w:hAnsi="Times New Roman" w:cs="Times New Roman"/>
          <w:b/>
          <w:bCs/>
          <w:i w:val="0"/>
          <w:iCs w:val="0"/>
          <w:color w:val="auto"/>
          <w:sz w:val="22"/>
          <w:szCs w:val="22"/>
          <w:lang w:val="en-US"/>
        </w:rPr>
        <w:t xml:space="preserve">Figure </w:t>
      </w:r>
      <w:r>
        <w:rPr>
          <w:rFonts w:ascii="Times New Roman" w:hAnsi="Times New Roman" w:cs="Times New Roman"/>
          <w:b/>
          <w:bCs/>
          <w:i w:val="0"/>
          <w:iCs w:val="0"/>
          <w:color w:val="auto"/>
          <w:sz w:val="22"/>
          <w:szCs w:val="22"/>
          <w:lang w:val="en-US"/>
        </w:rPr>
        <w:t>S</w:t>
      </w:r>
      <w:r w:rsidRPr="00F47600">
        <w:rPr>
          <w:rFonts w:ascii="Times New Roman" w:hAnsi="Times New Roman" w:cs="Times New Roman"/>
          <w:b/>
          <w:bCs/>
          <w:i w:val="0"/>
          <w:iCs w:val="0"/>
          <w:color w:val="auto"/>
          <w:sz w:val="22"/>
          <w:szCs w:val="22"/>
          <w:lang w:val="en-US"/>
        </w:rPr>
        <w:fldChar w:fldCharType="begin"/>
      </w:r>
      <w:r w:rsidRPr="00F47600">
        <w:rPr>
          <w:rFonts w:ascii="Times New Roman" w:hAnsi="Times New Roman" w:cs="Times New Roman"/>
          <w:b/>
          <w:bCs/>
          <w:i w:val="0"/>
          <w:iCs w:val="0"/>
          <w:color w:val="auto"/>
          <w:sz w:val="22"/>
          <w:szCs w:val="22"/>
          <w:lang w:val="en-US"/>
        </w:rPr>
        <w:instrText xml:space="preserve"> SEQ Figure \* ARABIC </w:instrText>
      </w:r>
      <w:r w:rsidRPr="00F47600">
        <w:rPr>
          <w:rFonts w:ascii="Times New Roman" w:hAnsi="Times New Roman" w:cs="Times New Roman"/>
          <w:b/>
          <w:bCs/>
          <w:i w:val="0"/>
          <w:iCs w:val="0"/>
          <w:color w:val="auto"/>
          <w:sz w:val="22"/>
          <w:szCs w:val="22"/>
          <w:lang w:val="en-US"/>
        </w:rPr>
        <w:fldChar w:fldCharType="separate"/>
      </w:r>
      <w:r w:rsidRPr="00F47600">
        <w:rPr>
          <w:rFonts w:ascii="Times New Roman" w:hAnsi="Times New Roman" w:cs="Times New Roman"/>
          <w:b/>
          <w:bCs/>
          <w:i w:val="0"/>
          <w:iCs w:val="0"/>
          <w:color w:val="auto"/>
          <w:sz w:val="22"/>
          <w:szCs w:val="22"/>
          <w:lang w:val="en-US"/>
        </w:rPr>
        <w:t>1</w:t>
      </w:r>
      <w:r w:rsidRPr="00F47600">
        <w:rPr>
          <w:rFonts w:ascii="Times New Roman" w:hAnsi="Times New Roman" w:cs="Times New Roman"/>
          <w:b/>
          <w:bCs/>
          <w:i w:val="0"/>
          <w:iCs w:val="0"/>
          <w:color w:val="auto"/>
          <w:sz w:val="22"/>
          <w:szCs w:val="22"/>
          <w:lang w:val="en-US"/>
        </w:rPr>
        <w:fldChar w:fldCharType="end"/>
      </w:r>
      <w:r>
        <w:rPr>
          <w:rFonts w:ascii="Times New Roman" w:hAnsi="Times New Roman" w:cs="Times New Roman"/>
          <w:b/>
          <w:bCs/>
          <w:i w:val="0"/>
          <w:iCs w:val="0"/>
          <w:color w:val="auto"/>
          <w:sz w:val="22"/>
          <w:szCs w:val="22"/>
          <w:lang w:val="en-US"/>
        </w:rPr>
        <w:t xml:space="preserve">. </w:t>
      </w:r>
      <w:r>
        <w:rPr>
          <w:rFonts w:ascii="Times New Roman" w:hAnsi="Times New Roman" w:cs="Times New Roman"/>
          <w:i w:val="0"/>
          <w:iCs w:val="0"/>
          <w:color w:val="auto"/>
          <w:sz w:val="22"/>
          <w:szCs w:val="22"/>
          <w:lang w:val="en-US"/>
        </w:rPr>
        <w:t>A</w:t>
      </w:r>
      <w:r w:rsidRPr="00F47600">
        <w:rPr>
          <w:rFonts w:ascii="Times New Roman" w:hAnsi="Times New Roman" w:cs="Times New Roman"/>
          <w:i w:val="0"/>
          <w:iCs w:val="0"/>
          <w:color w:val="auto"/>
          <w:sz w:val="22"/>
          <w:szCs w:val="22"/>
          <w:lang w:val="en-US"/>
        </w:rPr>
        <w:t>garose gel</w:t>
      </w:r>
      <w:r w:rsidR="005602A8">
        <w:rPr>
          <w:rFonts w:ascii="Times New Roman" w:hAnsi="Times New Roman" w:cs="Times New Roman"/>
          <w:i w:val="0"/>
          <w:iCs w:val="0"/>
          <w:color w:val="auto"/>
          <w:sz w:val="22"/>
          <w:szCs w:val="22"/>
          <w:lang w:val="en-US"/>
        </w:rPr>
        <w:t xml:space="preserve"> images</w:t>
      </w:r>
      <w:r>
        <w:rPr>
          <w:rFonts w:ascii="Times New Roman" w:hAnsi="Times New Roman" w:cs="Times New Roman"/>
          <w:i w:val="0"/>
          <w:iCs w:val="0"/>
          <w:color w:val="auto"/>
          <w:sz w:val="22"/>
          <w:szCs w:val="22"/>
          <w:lang w:val="en-US"/>
        </w:rPr>
        <w:t xml:space="preserve"> (1 %) </w:t>
      </w:r>
      <w:r w:rsidRPr="00F47600">
        <w:rPr>
          <w:rFonts w:ascii="Times New Roman" w:hAnsi="Times New Roman" w:cs="Times New Roman"/>
          <w:i w:val="0"/>
          <w:iCs w:val="0"/>
          <w:color w:val="auto"/>
          <w:sz w:val="22"/>
          <w:szCs w:val="22"/>
          <w:lang w:val="en-US"/>
        </w:rPr>
        <w:t xml:space="preserve">showing PCR amplification of the bacterial 16S rRNA gene (V4–V5 region) using </w:t>
      </w:r>
      <w:r>
        <w:rPr>
          <w:rFonts w:ascii="Times New Roman" w:hAnsi="Times New Roman" w:cs="Times New Roman"/>
          <w:i w:val="0"/>
          <w:iCs w:val="0"/>
          <w:color w:val="auto"/>
          <w:sz w:val="22"/>
          <w:szCs w:val="22"/>
          <w:lang w:val="en-US"/>
        </w:rPr>
        <w:t xml:space="preserve">the </w:t>
      </w:r>
      <w:r w:rsidRPr="00F47600">
        <w:rPr>
          <w:rFonts w:ascii="Times New Roman" w:hAnsi="Times New Roman" w:cs="Times New Roman"/>
          <w:i w:val="0"/>
          <w:iCs w:val="0"/>
          <w:color w:val="auto"/>
          <w:sz w:val="22"/>
          <w:szCs w:val="22"/>
          <w:lang w:val="en-US"/>
        </w:rPr>
        <w:t>primer</w:t>
      </w:r>
      <w:r>
        <w:rPr>
          <w:rFonts w:ascii="Times New Roman" w:hAnsi="Times New Roman" w:cs="Times New Roman"/>
          <w:i w:val="0"/>
          <w:iCs w:val="0"/>
          <w:color w:val="auto"/>
          <w:sz w:val="22"/>
          <w:szCs w:val="22"/>
          <w:lang w:val="en-US"/>
        </w:rPr>
        <w:t xml:space="preserve"> pairs </w:t>
      </w:r>
      <w:r w:rsidRPr="00F47600">
        <w:rPr>
          <w:rFonts w:ascii="Times New Roman" w:hAnsi="Times New Roman" w:cs="Times New Roman"/>
          <w:i w:val="0"/>
          <w:iCs w:val="0"/>
          <w:color w:val="auto"/>
          <w:sz w:val="22"/>
          <w:szCs w:val="22"/>
          <w:lang w:val="en-US"/>
        </w:rPr>
        <w:t xml:space="preserve">515F-Y/926R. Panel (a) includes samples S0–S4 and PS0 (triplicates); panel (b) includes PS1–PS4, PSF0 and PSF1 (triplicates); panel (c) includes PSF2–PSF4 (triplicates). </w:t>
      </w:r>
      <w:r w:rsidR="00D27CE8" w:rsidRPr="00D27CE8">
        <w:rPr>
          <w:rFonts w:ascii="Times New Roman" w:hAnsi="Times New Roman" w:cs="Times New Roman"/>
          <w:i w:val="0"/>
          <w:iCs w:val="0"/>
          <w:color w:val="auto"/>
          <w:sz w:val="22"/>
          <w:szCs w:val="22"/>
          <w:lang w:val="en-US"/>
        </w:rPr>
        <w:t>DNA ladders were loaded at both ends of each gel for size comparison, confirming an expected amplicon size of approximately 410–420 bp.</w:t>
      </w:r>
    </w:p>
    <w:p w14:paraId="7C1C1B23" w14:textId="2B9025C4" w:rsidR="002D3995" w:rsidRDefault="002D3995" w:rsidP="008C45F9">
      <w:pPr>
        <w:jc w:val="center"/>
        <w:rPr>
          <w:rFonts w:ascii="Times New Roman" w:hAnsi="Times New Roman" w:cs="Times New Roman"/>
          <w:b/>
          <w:bCs/>
          <w:sz w:val="24"/>
          <w:szCs w:val="24"/>
          <w:lang w:val="en-US"/>
        </w:rPr>
      </w:pPr>
    </w:p>
    <w:p w14:paraId="7C190CB8" w14:textId="77777777" w:rsidR="002D3995" w:rsidRPr="008C45F9" w:rsidRDefault="002D3995" w:rsidP="008C45F9">
      <w:pPr>
        <w:jc w:val="center"/>
        <w:rPr>
          <w:rFonts w:ascii="Times New Roman" w:hAnsi="Times New Roman" w:cs="Times New Roman"/>
          <w:b/>
          <w:bCs/>
          <w:sz w:val="24"/>
          <w:szCs w:val="24"/>
          <w:lang w:val="en-US"/>
        </w:rPr>
      </w:pPr>
    </w:p>
    <w:p w14:paraId="3A81F1A4" w14:textId="77777777" w:rsidR="008C45F9" w:rsidRPr="000876A4" w:rsidRDefault="008C45F9" w:rsidP="008C45F9">
      <w:pPr>
        <w:keepNext/>
        <w:spacing w:line="276" w:lineRule="auto"/>
        <w:jc w:val="center"/>
        <w:rPr>
          <w:rFonts w:ascii="Times New Roman" w:hAnsi="Times New Roman" w:cs="Times New Roman"/>
        </w:rPr>
      </w:pPr>
      <w:r w:rsidRPr="000876A4">
        <w:rPr>
          <w:rFonts w:ascii="Times New Roman" w:hAnsi="Times New Roman" w:cs="Times New Roman"/>
          <w:noProof/>
          <w:sz w:val="24"/>
          <w:szCs w:val="24"/>
          <w:lang w:eastAsia="es-MX"/>
        </w:rPr>
        <w:drawing>
          <wp:inline distT="0" distB="0" distL="0" distR="0" wp14:anchorId="52697172" wp14:editId="1FC429ED">
            <wp:extent cx="5586637" cy="2681207"/>
            <wp:effectExtent l="0" t="0" r="0" b="5080"/>
            <wp:docPr id="8262131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13161" name="Imagen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592557" cy="2684048"/>
                    </a:xfrm>
                    <a:prstGeom prst="rect">
                      <a:avLst/>
                    </a:prstGeom>
                    <a:noFill/>
                  </pic:spPr>
                </pic:pic>
              </a:graphicData>
            </a:graphic>
          </wp:inline>
        </w:drawing>
      </w:r>
    </w:p>
    <w:p w14:paraId="261FFBD8" w14:textId="3144EF3D" w:rsidR="008C45F9" w:rsidRPr="000876A4" w:rsidRDefault="008C45F9" w:rsidP="008C45F9">
      <w:pPr>
        <w:pStyle w:val="Descripcin"/>
        <w:jc w:val="both"/>
        <w:rPr>
          <w:rFonts w:ascii="Times New Roman" w:hAnsi="Times New Roman" w:cs="Times New Roman"/>
          <w:i w:val="0"/>
          <w:iCs w:val="0"/>
          <w:color w:val="auto"/>
          <w:sz w:val="22"/>
          <w:szCs w:val="22"/>
          <w:lang w:val="en-US"/>
        </w:rPr>
      </w:pPr>
      <w:r w:rsidRPr="000876A4">
        <w:rPr>
          <w:rFonts w:ascii="Times New Roman" w:hAnsi="Times New Roman" w:cs="Times New Roman"/>
          <w:b/>
          <w:bCs/>
          <w:i w:val="0"/>
          <w:iCs w:val="0"/>
          <w:color w:val="auto"/>
          <w:sz w:val="22"/>
          <w:szCs w:val="22"/>
          <w:lang w:val="en-US"/>
        </w:rPr>
        <w:t>Fig</w:t>
      </w:r>
      <w:r w:rsidR="00450E26">
        <w:rPr>
          <w:rFonts w:ascii="Times New Roman" w:hAnsi="Times New Roman" w:cs="Times New Roman"/>
          <w:b/>
          <w:bCs/>
          <w:i w:val="0"/>
          <w:iCs w:val="0"/>
          <w:color w:val="auto"/>
          <w:sz w:val="22"/>
          <w:szCs w:val="22"/>
          <w:lang w:val="en-US"/>
        </w:rPr>
        <w:t>ure</w:t>
      </w:r>
      <w:r w:rsidRPr="000876A4">
        <w:rPr>
          <w:rFonts w:ascii="Times New Roman" w:hAnsi="Times New Roman" w:cs="Times New Roman"/>
          <w:b/>
          <w:bCs/>
          <w:i w:val="0"/>
          <w:iCs w:val="0"/>
          <w:color w:val="auto"/>
          <w:sz w:val="22"/>
          <w:szCs w:val="22"/>
          <w:lang w:val="en-US"/>
        </w:rPr>
        <w:t xml:space="preserve"> S</w:t>
      </w:r>
      <w:r w:rsidR="00450E26">
        <w:rPr>
          <w:rFonts w:ascii="Times New Roman" w:hAnsi="Times New Roman" w:cs="Times New Roman"/>
          <w:b/>
          <w:bCs/>
          <w:i w:val="0"/>
          <w:iCs w:val="0"/>
          <w:color w:val="auto"/>
          <w:sz w:val="22"/>
          <w:szCs w:val="22"/>
          <w:lang w:val="en-US"/>
        </w:rPr>
        <w:t>2</w:t>
      </w:r>
      <w:r w:rsidRPr="000876A4">
        <w:rPr>
          <w:rFonts w:ascii="Times New Roman" w:hAnsi="Times New Roman" w:cs="Times New Roman"/>
          <w:b/>
          <w:bCs/>
          <w:i w:val="0"/>
          <w:iCs w:val="0"/>
          <w:color w:val="auto"/>
          <w:sz w:val="22"/>
          <w:szCs w:val="22"/>
          <w:lang w:val="en-US"/>
        </w:rPr>
        <w:t>.</w:t>
      </w:r>
      <w:r w:rsidRPr="000876A4">
        <w:rPr>
          <w:rFonts w:ascii="Times New Roman" w:hAnsi="Times New Roman" w:cs="Times New Roman"/>
          <w:i w:val="0"/>
          <w:iCs w:val="0"/>
          <w:color w:val="auto"/>
          <w:sz w:val="22"/>
          <w:szCs w:val="22"/>
          <w:lang w:val="en-US"/>
        </w:rPr>
        <w:t xml:space="preserve"> </w:t>
      </w:r>
      <w:r w:rsidRPr="00450E26">
        <w:rPr>
          <w:rFonts w:ascii="Times New Roman" w:hAnsi="Times New Roman" w:cs="Times New Roman"/>
          <w:i w:val="0"/>
          <w:iCs w:val="0"/>
          <w:color w:val="auto"/>
          <w:sz w:val="22"/>
          <w:szCs w:val="22"/>
          <w:lang w:val="en-US"/>
        </w:rPr>
        <w:t>Rarefaction curves based on the Chao1 richness index for all samples from the experimental treatments PSF, PS, and S.</w:t>
      </w:r>
      <w:r w:rsidRPr="000876A4">
        <w:rPr>
          <w:rFonts w:ascii="Times New Roman" w:hAnsi="Times New Roman" w:cs="Times New Roman"/>
          <w:i w:val="0"/>
          <w:iCs w:val="0"/>
          <w:color w:val="auto"/>
          <w:sz w:val="22"/>
          <w:szCs w:val="22"/>
          <w:lang w:val="en-US"/>
        </w:rPr>
        <w:t xml:space="preserve"> Each line represents an individual sample and illustrates the variation in estimated species richness as a function of the number of sequences analyzed. Curve stabilization at sequence counts above 1,000 indicates adequate sequencing depth. PSF (seagrass + fertilizer), PS (seagrass), and S (unvegetated sediment).</w:t>
      </w:r>
    </w:p>
    <w:p w14:paraId="340D4A16" w14:textId="77777777" w:rsidR="008C45F9" w:rsidRPr="000876A4" w:rsidRDefault="008C45F9" w:rsidP="008C45F9">
      <w:pPr>
        <w:jc w:val="center"/>
        <w:rPr>
          <w:rFonts w:ascii="Times New Roman" w:hAnsi="Times New Roman" w:cs="Times New Roman"/>
          <w:lang w:val="en-US"/>
        </w:rPr>
      </w:pPr>
      <w:r w:rsidRPr="000876A4">
        <w:rPr>
          <w:rFonts w:ascii="Times New Roman" w:hAnsi="Times New Roman" w:cs="Times New Roman"/>
          <w:noProof/>
        </w:rPr>
        <w:drawing>
          <wp:inline distT="0" distB="0" distL="0" distR="0" wp14:anchorId="414B4AEF" wp14:editId="05D6E2B7">
            <wp:extent cx="5222929" cy="2611465"/>
            <wp:effectExtent l="0" t="0" r="0" b="0"/>
            <wp:docPr id="278328212" name="Imagen 2"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28212" name="Imagen 2" descr="Gráfico, Gráfico de dispersión&#10;&#10;El contenido generado por IA puede ser incorrec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8700" cy="2629350"/>
                    </a:xfrm>
                    <a:prstGeom prst="rect">
                      <a:avLst/>
                    </a:prstGeom>
                    <a:noFill/>
                    <a:ln>
                      <a:noFill/>
                    </a:ln>
                  </pic:spPr>
                </pic:pic>
              </a:graphicData>
            </a:graphic>
          </wp:inline>
        </w:drawing>
      </w:r>
    </w:p>
    <w:p w14:paraId="7CE005CE" w14:textId="3EBCDBCA" w:rsidR="008C45F9" w:rsidRPr="000876A4" w:rsidRDefault="008C45F9" w:rsidP="008C45F9">
      <w:pPr>
        <w:spacing w:line="240" w:lineRule="auto"/>
        <w:jc w:val="both"/>
        <w:rPr>
          <w:rFonts w:ascii="Times New Roman" w:hAnsi="Times New Roman" w:cs="Times New Roman"/>
          <w:lang w:val="en-US"/>
        </w:rPr>
      </w:pPr>
      <w:r w:rsidRPr="000876A4">
        <w:rPr>
          <w:rFonts w:ascii="Times New Roman" w:hAnsi="Times New Roman" w:cs="Times New Roman"/>
          <w:b/>
          <w:bCs/>
          <w:lang w:val="en-US"/>
        </w:rPr>
        <w:t>Fig</w:t>
      </w:r>
      <w:r w:rsidR="00450E26">
        <w:rPr>
          <w:rFonts w:ascii="Times New Roman" w:hAnsi="Times New Roman" w:cs="Times New Roman"/>
          <w:b/>
          <w:bCs/>
          <w:lang w:val="en-US"/>
        </w:rPr>
        <w:t>ure S3</w:t>
      </w:r>
      <w:r w:rsidRPr="00450E26">
        <w:rPr>
          <w:rFonts w:ascii="Times New Roman" w:hAnsi="Times New Roman" w:cs="Times New Roman"/>
          <w:lang w:val="en-US"/>
        </w:rPr>
        <w:t>. Porewater ammonium (NH₄⁺) and orthophosphate (PO₄³⁻) concentrations across the three experimental treatments (PSF, PS and S) over time.</w:t>
      </w:r>
      <w:r w:rsidRPr="000876A4">
        <w:rPr>
          <w:rFonts w:ascii="Times New Roman" w:hAnsi="Times New Roman" w:cs="Times New Roman"/>
          <w:lang w:val="en-US"/>
        </w:rPr>
        <w:t xml:space="preserve"> Boxplots show nutrient dynamics at days 0, 14, 28, 42 and 61. The fertilized rhizosphere (PSF) exhibited the highest nutrient availability, followed by PS and the unvegetated control (S), with pronounced nutrient pulses during the period of maximum PAH dissipation (days 14–28). Different letters indicate significant differences among treatments within each sampling time determined with Kruskall-Wallis followed by Dunn tests (p &lt; 0.05).</w:t>
      </w:r>
    </w:p>
    <w:p w14:paraId="394BAB8B" w14:textId="77777777" w:rsidR="008C45F9" w:rsidRPr="000876A4" w:rsidRDefault="008C45F9" w:rsidP="008C45F9">
      <w:pPr>
        <w:keepNext/>
        <w:spacing w:line="240" w:lineRule="auto"/>
        <w:jc w:val="center"/>
        <w:rPr>
          <w:rFonts w:ascii="Times New Roman" w:hAnsi="Times New Roman" w:cs="Times New Roman"/>
        </w:rPr>
      </w:pPr>
      <w:r w:rsidRPr="000876A4">
        <w:rPr>
          <w:rFonts w:ascii="Times New Roman" w:hAnsi="Times New Roman" w:cs="Times New Roman"/>
          <w:noProof/>
          <w:lang w:val="en-US"/>
        </w:rPr>
        <w:lastRenderedPageBreak/>
        <w:drawing>
          <wp:inline distT="0" distB="0" distL="0" distR="0" wp14:anchorId="44BB0856" wp14:editId="6A597B2A">
            <wp:extent cx="5409273" cy="2528129"/>
            <wp:effectExtent l="0" t="0" r="1270" b="5715"/>
            <wp:docPr id="1773892654" name="Imagen 1" descr="Gráfico, Gráfico de cajas y bigot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92654" name="Imagen 1" descr="Gráfico, Gráfico de cajas y bigotes&#10;&#10;El contenido generado por IA puede ser incorrecto."/>
                    <pic:cNvPicPr/>
                  </pic:nvPicPr>
                  <pic:blipFill rotWithShape="1">
                    <a:blip r:embed="rId7" cstate="print">
                      <a:extLst>
                        <a:ext uri="{28A0092B-C50C-407E-A947-70E740481C1C}">
                          <a14:useLocalDpi xmlns:a14="http://schemas.microsoft.com/office/drawing/2010/main" val="0"/>
                        </a:ext>
                      </a:extLst>
                    </a:blip>
                    <a:srcRect t="6526"/>
                    <a:stretch>
                      <a:fillRect/>
                    </a:stretch>
                  </pic:blipFill>
                  <pic:spPr bwMode="auto">
                    <a:xfrm>
                      <a:off x="0" y="0"/>
                      <a:ext cx="5421838" cy="2534001"/>
                    </a:xfrm>
                    <a:prstGeom prst="rect">
                      <a:avLst/>
                    </a:prstGeom>
                    <a:ln>
                      <a:noFill/>
                    </a:ln>
                    <a:extLst>
                      <a:ext uri="{53640926-AAD7-44D8-BBD7-CCE9431645EC}">
                        <a14:shadowObscured xmlns:a14="http://schemas.microsoft.com/office/drawing/2010/main"/>
                      </a:ext>
                    </a:extLst>
                  </pic:spPr>
                </pic:pic>
              </a:graphicData>
            </a:graphic>
          </wp:inline>
        </w:drawing>
      </w:r>
    </w:p>
    <w:p w14:paraId="2700C924" w14:textId="791755DE" w:rsidR="008C45F9" w:rsidRPr="000876A4" w:rsidRDefault="008C45F9" w:rsidP="008C45F9">
      <w:pPr>
        <w:pStyle w:val="Descripcin"/>
        <w:jc w:val="both"/>
        <w:rPr>
          <w:rFonts w:ascii="Times New Roman" w:hAnsi="Times New Roman" w:cs="Times New Roman"/>
          <w:lang w:val="en-US"/>
        </w:rPr>
      </w:pPr>
      <w:r w:rsidRPr="000876A4">
        <w:rPr>
          <w:rFonts w:ascii="Times New Roman" w:hAnsi="Times New Roman" w:cs="Times New Roman"/>
          <w:b/>
          <w:bCs/>
          <w:i w:val="0"/>
          <w:iCs w:val="0"/>
          <w:color w:val="auto"/>
          <w:sz w:val="22"/>
          <w:szCs w:val="22"/>
          <w:lang w:val="en-US"/>
        </w:rPr>
        <w:t>Fig</w:t>
      </w:r>
      <w:r w:rsidR="00450E26">
        <w:rPr>
          <w:rFonts w:ascii="Times New Roman" w:hAnsi="Times New Roman" w:cs="Times New Roman"/>
          <w:b/>
          <w:bCs/>
          <w:i w:val="0"/>
          <w:iCs w:val="0"/>
          <w:color w:val="auto"/>
          <w:sz w:val="22"/>
          <w:szCs w:val="22"/>
          <w:lang w:val="en-US"/>
        </w:rPr>
        <w:t>ure</w:t>
      </w:r>
      <w:r w:rsidRPr="000876A4">
        <w:rPr>
          <w:rFonts w:ascii="Times New Roman" w:hAnsi="Times New Roman" w:cs="Times New Roman"/>
          <w:b/>
          <w:bCs/>
          <w:i w:val="0"/>
          <w:iCs w:val="0"/>
          <w:color w:val="auto"/>
          <w:sz w:val="22"/>
          <w:szCs w:val="22"/>
          <w:lang w:val="en-US"/>
        </w:rPr>
        <w:t xml:space="preserve"> S</w:t>
      </w:r>
      <w:r w:rsidR="00450E26">
        <w:rPr>
          <w:rFonts w:ascii="Times New Roman" w:hAnsi="Times New Roman" w:cs="Times New Roman"/>
          <w:b/>
          <w:bCs/>
          <w:i w:val="0"/>
          <w:iCs w:val="0"/>
          <w:color w:val="auto"/>
          <w:sz w:val="22"/>
          <w:szCs w:val="22"/>
          <w:lang w:val="en-US"/>
        </w:rPr>
        <w:t>4</w:t>
      </w:r>
      <w:r w:rsidRPr="000876A4">
        <w:rPr>
          <w:rFonts w:ascii="Times New Roman" w:hAnsi="Times New Roman" w:cs="Times New Roman"/>
          <w:b/>
          <w:bCs/>
          <w:i w:val="0"/>
          <w:iCs w:val="0"/>
          <w:color w:val="auto"/>
          <w:sz w:val="22"/>
          <w:szCs w:val="22"/>
          <w:lang w:val="en-US"/>
        </w:rPr>
        <w:t>.</w:t>
      </w:r>
      <w:r w:rsidRPr="000876A4">
        <w:rPr>
          <w:rFonts w:ascii="Times New Roman" w:hAnsi="Times New Roman" w:cs="Times New Roman"/>
          <w:lang w:val="en-US"/>
        </w:rPr>
        <w:t xml:space="preserve"> </w:t>
      </w:r>
      <w:r w:rsidRPr="000876A4">
        <w:rPr>
          <w:rFonts w:ascii="Times New Roman" w:hAnsi="Times New Roman" w:cs="Times New Roman"/>
          <w:i w:val="0"/>
          <w:iCs w:val="0"/>
          <w:color w:val="auto"/>
          <w:sz w:val="22"/>
          <w:szCs w:val="22"/>
          <w:lang w:val="en-US"/>
        </w:rPr>
        <w:t>Boxplot showing the phylogenetic dissimilarity, measured as Weighted UniFrac distance, between the final state (Day 61) and the baseline (Day 0) for each treatment. Lower distance values suggest higher community resilience (i.e., a closer return to the pre-contamination state). The unplanted control (S) exhibited the greatest phylogenetic drift, while rhizosphere-associated treatments (PS and PSF) showed enhanced stability. Statistical significance was assessed via Kruskal-Wallis (p = 0.06).</w:t>
      </w:r>
    </w:p>
    <w:p w14:paraId="64313528" w14:textId="77777777" w:rsidR="008C45F9" w:rsidRPr="000876A4" w:rsidRDefault="008C45F9" w:rsidP="008C45F9">
      <w:pPr>
        <w:keepNext/>
        <w:jc w:val="center"/>
        <w:rPr>
          <w:rFonts w:ascii="Times New Roman" w:hAnsi="Times New Roman" w:cs="Times New Roman"/>
        </w:rPr>
      </w:pPr>
      <w:r w:rsidRPr="000876A4">
        <w:rPr>
          <w:rFonts w:ascii="Times New Roman" w:hAnsi="Times New Roman" w:cs="Times New Roman"/>
          <w:b/>
          <w:bCs/>
          <w:noProof/>
          <w:sz w:val="24"/>
          <w:szCs w:val="24"/>
          <w:lang w:val="en-US"/>
        </w:rPr>
        <w:drawing>
          <wp:inline distT="0" distB="0" distL="0" distR="0" wp14:anchorId="47BAA4F7" wp14:editId="005C273A">
            <wp:extent cx="5370162" cy="3580106"/>
            <wp:effectExtent l="0" t="0" r="2540" b="1905"/>
            <wp:docPr id="12935528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52840"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2618" cy="3581743"/>
                    </a:xfrm>
                    <a:prstGeom prst="rect">
                      <a:avLst/>
                    </a:prstGeom>
                  </pic:spPr>
                </pic:pic>
              </a:graphicData>
            </a:graphic>
          </wp:inline>
        </w:drawing>
      </w:r>
    </w:p>
    <w:p w14:paraId="4ED11985" w14:textId="48606CAF" w:rsidR="008C45F9" w:rsidRPr="000876A4" w:rsidRDefault="008C45F9" w:rsidP="008C45F9">
      <w:pPr>
        <w:pStyle w:val="Descripcin"/>
        <w:jc w:val="both"/>
        <w:rPr>
          <w:rFonts w:ascii="Times New Roman" w:hAnsi="Times New Roman" w:cs="Times New Roman"/>
          <w:i w:val="0"/>
          <w:iCs w:val="0"/>
          <w:color w:val="auto"/>
          <w:sz w:val="22"/>
          <w:szCs w:val="22"/>
          <w:lang w:val="en-US"/>
        </w:rPr>
      </w:pPr>
      <w:r w:rsidRPr="000876A4">
        <w:rPr>
          <w:rFonts w:ascii="Times New Roman" w:hAnsi="Times New Roman" w:cs="Times New Roman"/>
          <w:b/>
          <w:bCs/>
          <w:i w:val="0"/>
          <w:iCs w:val="0"/>
          <w:color w:val="auto"/>
          <w:sz w:val="22"/>
          <w:szCs w:val="22"/>
          <w:lang w:val="en-US"/>
        </w:rPr>
        <w:t>Fig</w:t>
      </w:r>
      <w:r w:rsidR="00450E26">
        <w:rPr>
          <w:rFonts w:ascii="Times New Roman" w:hAnsi="Times New Roman" w:cs="Times New Roman"/>
          <w:b/>
          <w:bCs/>
          <w:i w:val="0"/>
          <w:iCs w:val="0"/>
          <w:color w:val="auto"/>
          <w:sz w:val="22"/>
          <w:szCs w:val="22"/>
          <w:lang w:val="en-US"/>
        </w:rPr>
        <w:t xml:space="preserve">ure </w:t>
      </w:r>
      <w:r w:rsidRPr="000876A4">
        <w:rPr>
          <w:rFonts w:ascii="Times New Roman" w:hAnsi="Times New Roman" w:cs="Times New Roman"/>
          <w:b/>
          <w:bCs/>
          <w:i w:val="0"/>
          <w:iCs w:val="0"/>
          <w:color w:val="auto"/>
          <w:sz w:val="22"/>
          <w:szCs w:val="22"/>
          <w:lang w:val="en-US"/>
        </w:rPr>
        <w:t>S</w:t>
      </w:r>
      <w:r w:rsidR="00450E26">
        <w:rPr>
          <w:rFonts w:ascii="Times New Roman" w:hAnsi="Times New Roman" w:cs="Times New Roman"/>
          <w:b/>
          <w:bCs/>
          <w:i w:val="0"/>
          <w:iCs w:val="0"/>
          <w:color w:val="auto"/>
          <w:sz w:val="22"/>
          <w:szCs w:val="22"/>
          <w:lang w:val="en-US"/>
        </w:rPr>
        <w:t>5.</w:t>
      </w:r>
      <w:r w:rsidRPr="000876A4">
        <w:rPr>
          <w:rFonts w:ascii="Times New Roman" w:hAnsi="Times New Roman" w:cs="Times New Roman"/>
          <w:b/>
          <w:bCs/>
          <w:i w:val="0"/>
          <w:iCs w:val="0"/>
          <w:color w:val="auto"/>
          <w:sz w:val="22"/>
          <w:szCs w:val="22"/>
          <w:lang w:val="en-US"/>
        </w:rPr>
        <w:t xml:space="preserve"> </w:t>
      </w:r>
      <w:r w:rsidRPr="000876A4">
        <w:rPr>
          <w:rFonts w:ascii="Times New Roman" w:hAnsi="Times New Roman" w:cs="Times New Roman"/>
          <w:i w:val="0"/>
          <w:iCs w:val="0"/>
          <w:color w:val="auto"/>
          <w:sz w:val="22"/>
          <w:szCs w:val="22"/>
          <w:lang w:val="en-US"/>
        </w:rPr>
        <w:t xml:space="preserve">Dominant prokaryotic (bacterial and archaeal) orders across experimental treatments: bare sediment (S), seagrass‑vegetated sediment (PS), and seagrass‑vegetated fertilized sediment (PSF) over the 61 day PAH dissipation experiments. Stacked bar plots show the relative abundance (%) of major archaeal orders at days 0, 14, 28, 42 and 61, labeled following the convention Treatment-Day. </w:t>
      </w:r>
    </w:p>
    <w:p w14:paraId="46CCE2ED" w14:textId="77777777" w:rsidR="008C45F9" w:rsidRPr="000876A4" w:rsidRDefault="008C45F9" w:rsidP="008C45F9">
      <w:pPr>
        <w:keepNext/>
        <w:rPr>
          <w:rFonts w:ascii="Times New Roman" w:hAnsi="Times New Roman" w:cs="Times New Roman"/>
        </w:rPr>
      </w:pPr>
      <w:r w:rsidRPr="000876A4">
        <w:rPr>
          <w:rFonts w:ascii="Times New Roman" w:hAnsi="Times New Roman" w:cs="Times New Roman"/>
          <w:noProof/>
        </w:rPr>
        <w:lastRenderedPageBreak/>
        <w:drawing>
          <wp:inline distT="0" distB="0" distL="0" distR="0" wp14:anchorId="5C0E7B50" wp14:editId="502040A0">
            <wp:extent cx="5943600" cy="2641600"/>
            <wp:effectExtent l="0" t="0" r="0" b="6350"/>
            <wp:docPr id="809026045" name="Imagen 2"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26045" name="Imagen 2" descr="Gráfico, Gráfico de dispersión&#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41600"/>
                    </a:xfrm>
                    <a:prstGeom prst="rect">
                      <a:avLst/>
                    </a:prstGeom>
                    <a:noFill/>
                    <a:ln>
                      <a:noFill/>
                    </a:ln>
                  </pic:spPr>
                </pic:pic>
              </a:graphicData>
            </a:graphic>
          </wp:inline>
        </w:drawing>
      </w:r>
    </w:p>
    <w:p w14:paraId="3D2A6F3F" w14:textId="78596C06" w:rsidR="008C45F9" w:rsidRPr="000876A4" w:rsidRDefault="008C45F9" w:rsidP="008C45F9">
      <w:pPr>
        <w:pStyle w:val="Descripcin"/>
        <w:jc w:val="both"/>
        <w:rPr>
          <w:rFonts w:ascii="Times New Roman" w:hAnsi="Times New Roman" w:cs="Times New Roman"/>
          <w:b/>
          <w:bCs/>
          <w:i w:val="0"/>
          <w:iCs w:val="0"/>
          <w:color w:val="auto"/>
          <w:sz w:val="22"/>
          <w:szCs w:val="22"/>
          <w:lang w:val="en-US"/>
        </w:rPr>
      </w:pPr>
      <w:r w:rsidRPr="000876A4">
        <w:rPr>
          <w:rFonts w:ascii="Times New Roman" w:hAnsi="Times New Roman" w:cs="Times New Roman"/>
          <w:b/>
          <w:bCs/>
          <w:i w:val="0"/>
          <w:iCs w:val="0"/>
          <w:color w:val="auto"/>
          <w:sz w:val="22"/>
          <w:szCs w:val="22"/>
          <w:lang w:val="en-US"/>
        </w:rPr>
        <w:t>Fig</w:t>
      </w:r>
      <w:r w:rsidR="00450E26">
        <w:rPr>
          <w:rFonts w:ascii="Times New Roman" w:hAnsi="Times New Roman" w:cs="Times New Roman"/>
          <w:b/>
          <w:bCs/>
          <w:i w:val="0"/>
          <w:iCs w:val="0"/>
          <w:color w:val="auto"/>
          <w:sz w:val="22"/>
          <w:szCs w:val="22"/>
          <w:lang w:val="en-US"/>
        </w:rPr>
        <w:t>ure</w:t>
      </w:r>
      <w:r w:rsidRPr="000876A4">
        <w:rPr>
          <w:rFonts w:ascii="Times New Roman" w:hAnsi="Times New Roman" w:cs="Times New Roman"/>
          <w:b/>
          <w:bCs/>
          <w:i w:val="0"/>
          <w:iCs w:val="0"/>
          <w:color w:val="auto"/>
          <w:sz w:val="22"/>
          <w:szCs w:val="22"/>
          <w:lang w:val="en-US"/>
        </w:rPr>
        <w:t xml:space="preserve"> S</w:t>
      </w:r>
      <w:r w:rsidR="00450E26">
        <w:rPr>
          <w:rFonts w:ascii="Times New Roman" w:hAnsi="Times New Roman" w:cs="Times New Roman"/>
          <w:b/>
          <w:bCs/>
          <w:i w:val="0"/>
          <w:iCs w:val="0"/>
          <w:color w:val="auto"/>
          <w:sz w:val="22"/>
          <w:szCs w:val="22"/>
          <w:lang w:val="en-US"/>
        </w:rPr>
        <w:t>6</w:t>
      </w:r>
      <w:r w:rsidRPr="000876A4">
        <w:rPr>
          <w:rFonts w:ascii="Times New Roman" w:hAnsi="Times New Roman" w:cs="Times New Roman"/>
          <w:i w:val="0"/>
          <w:iCs w:val="0"/>
          <w:color w:val="auto"/>
          <w:sz w:val="22"/>
          <w:szCs w:val="22"/>
          <w:lang w:val="en-US"/>
        </w:rPr>
        <w:t>. Within- and among-module connectivity (Z–P) plot</w:t>
      </w:r>
      <w:r w:rsidR="00450E26">
        <w:rPr>
          <w:rFonts w:ascii="Times New Roman" w:hAnsi="Times New Roman" w:cs="Times New Roman"/>
          <w:i w:val="0"/>
          <w:iCs w:val="0"/>
          <w:color w:val="auto"/>
          <w:sz w:val="22"/>
          <w:szCs w:val="22"/>
          <w:lang w:val="en-US"/>
        </w:rPr>
        <w:t>s</w:t>
      </w:r>
      <w:r w:rsidRPr="000876A4">
        <w:rPr>
          <w:rFonts w:ascii="Times New Roman" w:hAnsi="Times New Roman" w:cs="Times New Roman"/>
          <w:i w:val="0"/>
          <w:iCs w:val="0"/>
          <w:color w:val="auto"/>
          <w:sz w:val="22"/>
          <w:szCs w:val="22"/>
          <w:lang w:val="en-US"/>
        </w:rPr>
        <w:t xml:space="preserve"> identifying taxonomic roles</w:t>
      </w:r>
      <w:r w:rsidRPr="000876A4">
        <w:rPr>
          <w:rFonts w:ascii="Times New Roman" w:hAnsi="Times New Roman" w:cs="Times New Roman"/>
          <w:b/>
          <w:bCs/>
          <w:i w:val="0"/>
          <w:iCs w:val="0"/>
          <w:color w:val="auto"/>
          <w:sz w:val="22"/>
          <w:szCs w:val="22"/>
          <w:lang w:val="en-US"/>
        </w:rPr>
        <w:t xml:space="preserve">. </w:t>
      </w:r>
      <w:r w:rsidRPr="000876A4">
        <w:rPr>
          <w:rFonts w:ascii="Times New Roman" w:hAnsi="Times New Roman" w:cs="Times New Roman"/>
          <w:i w:val="0"/>
          <w:iCs w:val="0"/>
          <w:color w:val="auto"/>
          <w:sz w:val="22"/>
          <w:szCs w:val="22"/>
          <w:lang w:val="en-US"/>
        </w:rPr>
        <w:t>Plots show treatment-specific microbial co-occurrence networks in PSF (A), PS (B) and S (C).</w:t>
      </w:r>
    </w:p>
    <w:p w14:paraId="1FFA92DD" w14:textId="25992F13" w:rsidR="008C45F9" w:rsidRPr="001B40F8" w:rsidRDefault="008C45F9" w:rsidP="008C45F9">
      <w:pPr>
        <w:pStyle w:val="Descripcin"/>
        <w:keepNext/>
        <w:rPr>
          <w:rFonts w:ascii="Times New Roman" w:hAnsi="Times New Roman" w:cs="Times New Roman"/>
          <w:b/>
          <w:bCs/>
          <w:i w:val="0"/>
          <w:iCs w:val="0"/>
          <w:color w:val="auto"/>
          <w:sz w:val="22"/>
          <w:szCs w:val="22"/>
          <w:lang w:val="en-US"/>
        </w:rPr>
      </w:pPr>
      <w:r w:rsidRPr="001B40F8">
        <w:rPr>
          <w:rFonts w:ascii="Times New Roman" w:hAnsi="Times New Roman" w:cs="Times New Roman"/>
          <w:b/>
          <w:bCs/>
          <w:i w:val="0"/>
          <w:iCs w:val="0"/>
          <w:color w:val="auto"/>
          <w:sz w:val="22"/>
          <w:szCs w:val="22"/>
          <w:lang w:val="en-US"/>
        </w:rPr>
        <w:lastRenderedPageBreak/>
        <w:t xml:space="preserve">Table S1. </w:t>
      </w:r>
      <w:r w:rsidRPr="001B40F8">
        <w:rPr>
          <w:rFonts w:ascii="Times New Roman" w:hAnsi="Times New Roman" w:cs="Times New Roman"/>
          <w:i w:val="0"/>
          <w:iCs w:val="0"/>
          <w:color w:val="auto"/>
          <w:sz w:val="22"/>
          <w:szCs w:val="22"/>
          <w:lang w:val="en-US"/>
        </w:rPr>
        <w:t>Two-Way Repeated Measures ANOVA Results for PAH dissipation across treatments and timepoints</w:t>
      </w:r>
    </w:p>
    <w:tbl>
      <w:tblPr>
        <w:tblStyle w:val="Tablaconcuadrcula"/>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C45F9" w:rsidRPr="000876A4" w14:paraId="70B4ACC3" w14:textId="77777777" w:rsidTr="00411108">
        <w:trPr>
          <w:jc w:val="center"/>
        </w:trPr>
        <w:tc>
          <w:tcPr>
            <w:tcW w:w="2337" w:type="dxa"/>
            <w:tcBorders>
              <w:top w:val="single" w:sz="4" w:space="0" w:color="auto"/>
              <w:bottom w:val="single" w:sz="4" w:space="0" w:color="auto"/>
            </w:tcBorders>
            <w:vAlign w:val="center"/>
          </w:tcPr>
          <w:p w14:paraId="6AE0ECFE"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b/>
                <w:bCs/>
                <w:color w:val="000000"/>
                <w:kern w:val="0"/>
                <w:sz w:val="19"/>
                <w:szCs w:val="19"/>
                <w:lang w:eastAsia="es-MX"/>
                <w14:ligatures w14:val="none"/>
              </w:rPr>
              <w:t>Factor</w:t>
            </w:r>
          </w:p>
        </w:tc>
        <w:tc>
          <w:tcPr>
            <w:tcW w:w="2337" w:type="dxa"/>
            <w:tcBorders>
              <w:top w:val="single" w:sz="4" w:space="0" w:color="auto"/>
              <w:bottom w:val="single" w:sz="4" w:space="0" w:color="auto"/>
            </w:tcBorders>
            <w:vAlign w:val="center"/>
          </w:tcPr>
          <w:p w14:paraId="51F0BBC4"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b/>
                <w:bCs/>
                <w:color w:val="000000"/>
                <w:kern w:val="0"/>
                <w:sz w:val="19"/>
                <w:szCs w:val="19"/>
                <w:lang w:eastAsia="es-MX"/>
                <w14:ligatures w14:val="none"/>
              </w:rPr>
              <w:t>Anthracene</w:t>
            </w:r>
          </w:p>
        </w:tc>
        <w:tc>
          <w:tcPr>
            <w:tcW w:w="2338" w:type="dxa"/>
            <w:tcBorders>
              <w:top w:val="single" w:sz="4" w:space="0" w:color="auto"/>
              <w:bottom w:val="single" w:sz="4" w:space="0" w:color="auto"/>
            </w:tcBorders>
            <w:vAlign w:val="center"/>
          </w:tcPr>
          <w:p w14:paraId="1B6032D6"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b/>
                <w:bCs/>
                <w:color w:val="000000"/>
                <w:kern w:val="0"/>
                <w:sz w:val="19"/>
                <w:szCs w:val="19"/>
                <w:lang w:eastAsia="es-MX"/>
                <w14:ligatures w14:val="none"/>
              </w:rPr>
              <w:t>Phenanthrene</w:t>
            </w:r>
          </w:p>
        </w:tc>
        <w:tc>
          <w:tcPr>
            <w:tcW w:w="2338" w:type="dxa"/>
            <w:tcBorders>
              <w:top w:val="single" w:sz="4" w:space="0" w:color="auto"/>
              <w:bottom w:val="single" w:sz="4" w:space="0" w:color="auto"/>
            </w:tcBorders>
            <w:vAlign w:val="center"/>
          </w:tcPr>
          <w:p w14:paraId="548AED0B"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b/>
                <w:bCs/>
                <w:color w:val="000000"/>
                <w:kern w:val="0"/>
                <w:sz w:val="19"/>
                <w:szCs w:val="19"/>
                <w:lang w:eastAsia="es-MX"/>
                <w14:ligatures w14:val="none"/>
              </w:rPr>
              <w:t>Pyrene</w:t>
            </w:r>
          </w:p>
        </w:tc>
      </w:tr>
      <w:tr w:rsidR="008C45F9" w:rsidRPr="000876A4" w14:paraId="4685DFFA" w14:textId="77777777" w:rsidTr="00411108">
        <w:trPr>
          <w:jc w:val="center"/>
        </w:trPr>
        <w:tc>
          <w:tcPr>
            <w:tcW w:w="2337" w:type="dxa"/>
            <w:tcBorders>
              <w:top w:val="single" w:sz="4" w:space="0" w:color="auto"/>
            </w:tcBorders>
            <w:vAlign w:val="center"/>
          </w:tcPr>
          <w:p w14:paraId="5E54B903"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Treatment</w:t>
            </w:r>
          </w:p>
        </w:tc>
        <w:tc>
          <w:tcPr>
            <w:tcW w:w="2337" w:type="dxa"/>
            <w:tcBorders>
              <w:top w:val="single" w:sz="4" w:space="0" w:color="auto"/>
            </w:tcBorders>
            <w:vAlign w:val="center"/>
          </w:tcPr>
          <w:p w14:paraId="734A91D0"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tcBorders>
              <w:top w:val="single" w:sz="4" w:space="0" w:color="auto"/>
            </w:tcBorders>
            <w:vAlign w:val="center"/>
          </w:tcPr>
          <w:p w14:paraId="0EC8BDB8"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tcBorders>
              <w:top w:val="single" w:sz="4" w:space="0" w:color="auto"/>
            </w:tcBorders>
            <w:vAlign w:val="center"/>
          </w:tcPr>
          <w:p w14:paraId="4622F7B6"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r>
      <w:tr w:rsidR="008C45F9" w:rsidRPr="000876A4" w14:paraId="6E5D188D" w14:textId="77777777" w:rsidTr="00411108">
        <w:trPr>
          <w:jc w:val="center"/>
        </w:trPr>
        <w:tc>
          <w:tcPr>
            <w:tcW w:w="2337" w:type="dxa"/>
            <w:vAlign w:val="center"/>
          </w:tcPr>
          <w:p w14:paraId="18EE5203"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Time</w:t>
            </w:r>
          </w:p>
        </w:tc>
        <w:tc>
          <w:tcPr>
            <w:tcW w:w="2337" w:type="dxa"/>
            <w:vAlign w:val="center"/>
          </w:tcPr>
          <w:p w14:paraId="09CD0EEA"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vAlign w:val="center"/>
          </w:tcPr>
          <w:p w14:paraId="1AC1E7F9"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vAlign w:val="center"/>
          </w:tcPr>
          <w:p w14:paraId="1BED0171"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r>
      <w:tr w:rsidR="008C45F9" w:rsidRPr="000876A4" w14:paraId="3F48F3BD" w14:textId="77777777" w:rsidTr="00411108">
        <w:trPr>
          <w:jc w:val="center"/>
        </w:trPr>
        <w:tc>
          <w:tcPr>
            <w:tcW w:w="2337" w:type="dxa"/>
            <w:vAlign w:val="center"/>
          </w:tcPr>
          <w:p w14:paraId="0483C486"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Treatment × Time</w:t>
            </w:r>
          </w:p>
        </w:tc>
        <w:tc>
          <w:tcPr>
            <w:tcW w:w="2337" w:type="dxa"/>
            <w:vAlign w:val="center"/>
          </w:tcPr>
          <w:p w14:paraId="4E17005A"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vAlign w:val="center"/>
          </w:tcPr>
          <w:p w14:paraId="637554F6"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c>
          <w:tcPr>
            <w:tcW w:w="2338" w:type="dxa"/>
            <w:vAlign w:val="center"/>
          </w:tcPr>
          <w:p w14:paraId="27493A29"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p &lt; 0.0001 (***)</w:t>
            </w:r>
          </w:p>
        </w:tc>
      </w:tr>
      <w:tr w:rsidR="008C45F9" w:rsidRPr="000876A4" w14:paraId="220B11EA" w14:textId="77777777" w:rsidTr="00411108">
        <w:trPr>
          <w:jc w:val="center"/>
        </w:trPr>
        <w:tc>
          <w:tcPr>
            <w:tcW w:w="2337" w:type="dxa"/>
            <w:vAlign w:val="center"/>
          </w:tcPr>
          <w:p w14:paraId="6CBB6004"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 Variance (Treatment)</w:t>
            </w:r>
          </w:p>
        </w:tc>
        <w:tc>
          <w:tcPr>
            <w:tcW w:w="2337" w:type="dxa"/>
            <w:vAlign w:val="center"/>
          </w:tcPr>
          <w:p w14:paraId="6B5F68CB"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19.8</w:t>
            </w:r>
          </w:p>
        </w:tc>
        <w:tc>
          <w:tcPr>
            <w:tcW w:w="2338" w:type="dxa"/>
            <w:vAlign w:val="center"/>
          </w:tcPr>
          <w:p w14:paraId="464430F4"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7.5</w:t>
            </w:r>
          </w:p>
        </w:tc>
        <w:tc>
          <w:tcPr>
            <w:tcW w:w="2338" w:type="dxa"/>
            <w:vAlign w:val="center"/>
          </w:tcPr>
          <w:p w14:paraId="4116C833"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28.3</w:t>
            </w:r>
          </w:p>
        </w:tc>
      </w:tr>
      <w:tr w:rsidR="008C45F9" w:rsidRPr="000876A4" w14:paraId="4EB22892" w14:textId="77777777" w:rsidTr="00411108">
        <w:trPr>
          <w:jc w:val="center"/>
        </w:trPr>
        <w:tc>
          <w:tcPr>
            <w:tcW w:w="2337" w:type="dxa"/>
            <w:vAlign w:val="center"/>
          </w:tcPr>
          <w:p w14:paraId="1DBAF921"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 Variance (Time)</w:t>
            </w:r>
          </w:p>
        </w:tc>
        <w:tc>
          <w:tcPr>
            <w:tcW w:w="2337" w:type="dxa"/>
            <w:vAlign w:val="center"/>
          </w:tcPr>
          <w:p w14:paraId="28F42687"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74</w:t>
            </w:r>
          </w:p>
        </w:tc>
        <w:tc>
          <w:tcPr>
            <w:tcW w:w="2338" w:type="dxa"/>
            <w:vAlign w:val="center"/>
          </w:tcPr>
          <w:p w14:paraId="3976E415"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88.4</w:t>
            </w:r>
          </w:p>
        </w:tc>
        <w:tc>
          <w:tcPr>
            <w:tcW w:w="2338" w:type="dxa"/>
            <w:vAlign w:val="center"/>
          </w:tcPr>
          <w:p w14:paraId="2118C7B5"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64.8</w:t>
            </w:r>
          </w:p>
        </w:tc>
      </w:tr>
      <w:tr w:rsidR="008C45F9" w:rsidRPr="000876A4" w14:paraId="14AF56CB" w14:textId="77777777" w:rsidTr="00411108">
        <w:trPr>
          <w:trHeight w:val="189"/>
          <w:jc w:val="center"/>
        </w:trPr>
        <w:tc>
          <w:tcPr>
            <w:tcW w:w="2337" w:type="dxa"/>
            <w:vAlign w:val="center"/>
          </w:tcPr>
          <w:p w14:paraId="23CB3D43"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%Variance (Interaction)</w:t>
            </w:r>
          </w:p>
        </w:tc>
        <w:tc>
          <w:tcPr>
            <w:tcW w:w="2337" w:type="dxa"/>
            <w:vAlign w:val="center"/>
          </w:tcPr>
          <w:p w14:paraId="46F9ED1C"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5.8</w:t>
            </w:r>
          </w:p>
        </w:tc>
        <w:tc>
          <w:tcPr>
            <w:tcW w:w="2338" w:type="dxa"/>
            <w:vAlign w:val="center"/>
          </w:tcPr>
          <w:p w14:paraId="7D0A26BB"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3.8</w:t>
            </w:r>
          </w:p>
        </w:tc>
        <w:tc>
          <w:tcPr>
            <w:tcW w:w="2338" w:type="dxa"/>
            <w:vAlign w:val="center"/>
          </w:tcPr>
          <w:p w14:paraId="097CD2CA"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eastAsia="Times New Roman" w:hAnsi="Times New Roman" w:cs="Times New Roman"/>
                <w:color w:val="000000"/>
                <w:kern w:val="0"/>
                <w:sz w:val="19"/>
                <w:szCs w:val="19"/>
                <w:lang w:eastAsia="es-MX"/>
                <w14:ligatures w14:val="none"/>
              </w:rPr>
              <w:t>6.2</w:t>
            </w:r>
          </w:p>
        </w:tc>
      </w:tr>
    </w:tbl>
    <w:p w14:paraId="25A16132" w14:textId="77777777" w:rsidR="008C45F9" w:rsidRPr="000876A4" w:rsidRDefault="008C45F9" w:rsidP="008C45F9">
      <w:pPr>
        <w:pStyle w:val="Descripcin"/>
        <w:keepNext/>
        <w:rPr>
          <w:rFonts w:ascii="Times New Roman" w:hAnsi="Times New Roman" w:cs="Times New Roman"/>
          <w:lang w:val="en-US"/>
        </w:rPr>
      </w:pPr>
    </w:p>
    <w:p w14:paraId="3B1A7E86" w14:textId="00AFC3A6" w:rsidR="008C45F9" w:rsidRPr="001B40F8" w:rsidRDefault="008C45F9" w:rsidP="008C45F9">
      <w:pPr>
        <w:pStyle w:val="Descripcin"/>
        <w:keepNext/>
        <w:rPr>
          <w:rFonts w:ascii="Times New Roman" w:hAnsi="Times New Roman" w:cs="Times New Roman"/>
          <w:b/>
          <w:bCs/>
          <w:i w:val="0"/>
          <w:iCs w:val="0"/>
          <w:color w:val="auto"/>
          <w:sz w:val="22"/>
          <w:szCs w:val="22"/>
          <w:lang w:val="en-US"/>
        </w:rPr>
      </w:pPr>
      <w:r w:rsidRPr="001B40F8">
        <w:rPr>
          <w:rFonts w:ascii="Times New Roman" w:hAnsi="Times New Roman" w:cs="Times New Roman"/>
          <w:b/>
          <w:bCs/>
          <w:i w:val="0"/>
          <w:iCs w:val="0"/>
          <w:color w:val="auto"/>
          <w:sz w:val="22"/>
          <w:szCs w:val="22"/>
          <w:lang w:val="en-US"/>
        </w:rPr>
        <w:t xml:space="preserve">Table S2. </w:t>
      </w:r>
      <w:r w:rsidRPr="001B40F8">
        <w:rPr>
          <w:rFonts w:ascii="Times New Roman" w:hAnsi="Times New Roman" w:cs="Times New Roman"/>
          <w:i w:val="0"/>
          <w:iCs w:val="0"/>
          <w:color w:val="auto"/>
          <w:sz w:val="22"/>
          <w:szCs w:val="22"/>
          <w:lang w:val="en-US"/>
        </w:rPr>
        <w:t>Post hoc Tukey Tests (Significant Differences, p &lt; 0.05) for PAH dissipation</w:t>
      </w:r>
      <w:r w:rsidRPr="001B40F8">
        <w:rPr>
          <w:rFonts w:ascii="Times New Roman" w:hAnsi="Times New Roman" w:cs="Times New Roman"/>
          <w:b/>
          <w:bCs/>
          <w:i w:val="0"/>
          <w:iCs w:val="0"/>
          <w:color w:val="auto"/>
          <w:sz w:val="22"/>
          <w:szCs w:val="22"/>
          <w:lang w:val="en-US"/>
        </w:rPr>
        <w:t xml:space="preserve"> </w:t>
      </w:r>
    </w:p>
    <w:tbl>
      <w:tblPr>
        <w:tblStyle w:val="Tablaconcuadrcula"/>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8"/>
        <w:gridCol w:w="2338"/>
        <w:gridCol w:w="2338"/>
      </w:tblGrid>
      <w:tr w:rsidR="008C45F9" w:rsidRPr="000876A4" w14:paraId="4DAEB34B" w14:textId="77777777" w:rsidTr="00411108">
        <w:trPr>
          <w:trHeight w:val="321"/>
          <w:jc w:val="center"/>
        </w:trPr>
        <w:tc>
          <w:tcPr>
            <w:tcW w:w="2337" w:type="dxa"/>
            <w:tcBorders>
              <w:top w:val="single" w:sz="4" w:space="0" w:color="auto"/>
              <w:bottom w:val="single" w:sz="4" w:space="0" w:color="auto"/>
            </w:tcBorders>
            <w:vAlign w:val="bottom"/>
          </w:tcPr>
          <w:p w14:paraId="0274BFD6"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b/>
                <w:bCs/>
                <w:color w:val="000000"/>
                <w:sz w:val="19"/>
                <w:szCs w:val="19"/>
              </w:rPr>
              <w:t>Comparison</w:t>
            </w:r>
          </w:p>
        </w:tc>
        <w:tc>
          <w:tcPr>
            <w:tcW w:w="2338" w:type="dxa"/>
            <w:tcBorders>
              <w:top w:val="single" w:sz="4" w:space="0" w:color="auto"/>
              <w:bottom w:val="single" w:sz="4" w:space="0" w:color="auto"/>
            </w:tcBorders>
            <w:vAlign w:val="bottom"/>
          </w:tcPr>
          <w:p w14:paraId="53F03076"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b/>
                <w:bCs/>
                <w:color w:val="000000"/>
                <w:sz w:val="19"/>
                <w:szCs w:val="19"/>
              </w:rPr>
              <w:t>Anthracene</w:t>
            </w:r>
          </w:p>
        </w:tc>
        <w:tc>
          <w:tcPr>
            <w:tcW w:w="2338" w:type="dxa"/>
            <w:tcBorders>
              <w:top w:val="single" w:sz="4" w:space="0" w:color="auto"/>
              <w:bottom w:val="single" w:sz="4" w:space="0" w:color="auto"/>
            </w:tcBorders>
            <w:vAlign w:val="bottom"/>
          </w:tcPr>
          <w:p w14:paraId="407FEFCB"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b/>
                <w:bCs/>
                <w:color w:val="000000"/>
                <w:sz w:val="19"/>
                <w:szCs w:val="19"/>
              </w:rPr>
              <w:t>Phenanthrene</w:t>
            </w:r>
          </w:p>
        </w:tc>
        <w:tc>
          <w:tcPr>
            <w:tcW w:w="2338" w:type="dxa"/>
            <w:tcBorders>
              <w:top w:val="single" w:sz="4" w:space="0" w:color="auto"/>
              <w:bottom w:val="single" w:sz="4" w:space="0" w:color="auto"/>
            </w:tcBorders>
            <w:vAlign w:val="bottom"/>
          </w:tcPr>
          <w:p w14:paraId="071F0FD3"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b/>
                <w:bCs/>
                <w:color w:val="000000"/>
                <w:sz w:val="19"/>
                <w:szCs w:val="19"/>
              </w:rPr>
              <w:t>Pyrene</w:t>
            </w:r>
          </w:p>
        </w:tc>
      </w:tr>
      <w:tr w:rsidR="008C45F9" w:rsidRPr="000876A4" w14:paraId="0EBF3ECF" w14:textId="77777777" w:rsidTr="00411108">
        <w:trPr>
          <w:trHeight w:val="352"/>
          <w:jc w:val="center"/>
        </w:trPr>
        <w:tc>
          <w:tcPr>
            <w:tcW w:w="9351" w:type="dxa"/>
            <w:gridSpan w:val="4"/>
            <w:tcBorders>
              <w:top w:val="single" w:sz="4" w:space="0" w:color="auto"/>
              <w:bottom w:val="single" w:sz="4" w:space="0" w:color="auto"/>
            </w:tcBorders>
            <w:vAlign w:val="center"/>
          </w:tcPr>
          <w:p w14:paraId="42213371"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T1 (Day 14)</w:t>
            </w:r>
          </w:p>
        </w:tc>
      </w:tr>
      <w:tr w:rsidR="008C45F9" w:rsidRPr="000876A4" w14:paraId="3908CFEB" w14:textId="77777777" w:rsidTr="00411108">
        <w:trPr>
          <w:trHeight w:val="430"/>
          <w:jc w:val="center"/>
        </w:trPr>
        <w:tc>
          <w:tcPr>
            <w:tcW w:w="2337" w:type="dxa"/>
            <w:tcBorders>
              <w:top w:val="single" w:sz="4" w:space="0" w:color="auto"/>
            </w:tcBorders>
            <w:vAlign w:val="bottom"/>
          </w:tcPr>
          <w:p w14:paraId="59D94CFC"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w:t>
            </w:r>
          </w:p>
        </w:tc>
        <w:tc>
          <w:tcPr>
            <w:tcW w:w="2338" w:type="dxa"/>
            <w:tcBorders>
              <w:top w:val="single" w:sz="4" w:space="0" w:color="auto"/>
            </w:tcBorders>
            <w:vAlign w:val="bottom"/>
          </w:tcPr>
          <w:p w14:paraId="006B4BD3"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2F487CD3"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0AE973B6"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2E8C7C31" w14:textId="77777777" w:rsidTr="00411108">
        <w:trPr>
          <w:trHeight w:val="365"/>
          <w:jc w:val="center"/>
        </w:trPr>
        <w:tc>
          <w:tcPr>
            <w:tcW w:w="2337" w:type="dxa"/>
            <w:tcBorders>
              <w:top w:val="single" w:sz="4" w:space="0" w:color="auto"/>
            </w:tcBorders>
            <w:vAlign w:val="bottom"/>
          </w:tcPr>
          <w:p w14:paraId="221D2E72"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PSF</w:t>
            </w:r>
          </w:p>
        </w:tc>
        <w:tc>
          <w:tcPr>
            <w:tcW w:w="2338" w:type="dxa"/>
            <w:tcBorders>
              <w:top w:val="single" w:sz="4" w:space="0" w:color="auto"/>
            </w:tcBorders>
            <w:vAlign w:val="bottom"/>
          </w:tcPr>
          <w:p w14:paraId="548B92E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098F3FF9"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5795F2B2"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6EFD9DD5" w14:textId="77777777" w:rsidTr="00411108">
        <w:trPr>
          <w:trHeight w:val="417"/>
          <w:jc w:val="center"/>
        </w:trPr>
        <w:tc>
          <w:tcPr>
            <w:tcW w:w="2337" w:type="dxa"/>
            <w:tcBorders>
              <w:top w:val="single" w:sz="4" w:space="0" w:color="auto"/>
            </w:tcBorders>
            <w:vAlign w:val="bottom"/>
          </w:tcPr>
          <w:p w14:paraId="5E85425C"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PS vs. PSF</w:t>
            </w:r>
          </w:p>
        </w:tc>
        <w:tc>
          <w:tcPr>
            <w:tcW w:w="2338" w:type="dxa"/>
            <w:tcBorders>
              <w:top w:val="single" w:sz="4" w:space="0" w:color="auto"/>
            </w:tcBorders>
            <w:vAlign w:val="bottom"/>
          </w:tcPr>
          <w:p w14:paraId="394FA61A"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ns</w:t>
            </w:r>
          </w:p>
        </w:tc>
        <w:tc>
          <w:tcPr>
            <w:tcW w:w="2338" w:type="dxa"/>
            <w:tcBorders>
              <w:top w:val="single" w:sz="4" w:space="0" w:color="auto"/>
            </w:tcBorders>
            <w:vAlign w:val="bottom"/>
          </w:tcPr>
          <w:p w14:paraId="3FA415C0"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14E34C9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293A9712" w14:textId="77777777" w:rsidTr="00411108">
        <w:trPr>
          <w:trHeight w:val="321"/>
          <w:jc w:val="center"/>
        </w:trPr>
        <w:tc>
          <w:tcPr>
            <w:tcW w:w="9351" w:type="dxa"/>
            <w:gridSpan w:val="4"/>
            <w:tcBorders>
              <w:top w:val="single" w:sz="4" w:space="0" w:color="auto"/>
              <w:bottom w:val="single" w:sz="4" w:space="0" w:color="auto"/>
            </w:tcBorders>
            <w:vAlign w:val="center"/>
          </w:tcPr>
          <w:p w14:paraId="129CECF1"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T2 (Day 28)</w:t>
            </w:r>
          </w:p>
        </w:tc>
      </w:tr>
      <w:tr w:rsidR="008C45F9" w:rsidRPr="000876A4" w14:paraId="0F6AC4F4" w14:textId="77777777" w:rsidTr="00411108">
        <w:trPr>
          <w:trHeight w:val="301"/>
          <w:jc w:val="center"/>
        </w:trPr>
        <w:tc>
          <w:tcPr>
            <w:tcW w:w="2337" w:type="dxa"/>
            <w:tcBorders>
              <w:top w:val="single" w:sz="4" w:space="0" w:color="auto"/>
            </w:tcBorders>
            <w:vAlign w:val="bottom"/>
          </w:tcPr>
          <w:p w14:paraId="47C245E3"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S vs. PS</w:t>
            </w:r>
          </w:p>
        </w:tc>
        <w:tc>
          <w:tcPr>
            <w:tcW w:w="2338" w:type="dxa"/>
            <w:tcBorders>
              <w:top w:val="single" w:sz="4" w:space="0" w:color="auto"/>
            </w:tcBorders>
            <w:vAlign w:val="bottom"/>
          </w:tcPr>
          <w:p w14:paraId="02FFDFB9"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2D366FE9"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1C6FFDDD"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r>
      <w:tr w:rsidR="008C45F9" w:rsidRPr="000876A4" w14:paraId="6E2F9ACE" w14:textId="77777777" w:rsidTr="00411108">
        <w:trPr>
          <w:jc w:val="center"/>
        </w:trPr>
        <w:tc>
          <w:tcPr>
            <w:tcW w:w="2337" w:type="dxa"/>
            <w:vAlign w:val="bottom"/>
          </w:tcPr>
          <w:p w14:paraId="0E128AED"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S vs. PSF</w:t>
            </w:r>
          </w:p>
        </w:tc>
        <w:tc>
          <w:tcPr>
            <w:tcW w:w="2338" w:type="dxa"/>
            <w:vAlign w:val="bottom"/>
          </w:tcPr>
          <w:p w14:paraId="7868681B"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vAlign w:val="bottom"/>
          </w:tcPr>
          <w:p w14:paraId="586ED4FC"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vAlign w:val="bottom"/>
          </w:tcPr>
          <w:p w14:paraId="2EEDA715"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r>
      <w:tr w:rsidR="008C45F9" w:rsidRPr="000876A4" w14:paraId="1E0C96DC" w14:textId="77777777" w:rsidTr="00411108">
        <w:trPr>
          <w:jc w:val="center"/>
        </w:trPr>
        <w:tc>
          <w:tcPr>
            <w:tcW w:w="2337" w:type="dxa"/>
            <w:tcBorders>
              <w:bottom w:val="nil"/>
            </w:tcBorders>
            <w:vAlign w:val="bottom"/>
          </w:tcPr>
          <w:p w14:paraId="3352CA4C"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PS vs. PSF</w:t>
            </w:r>
          </w:p>
        </w:tc>
        <w:tc>
          <w:tcPr>
            <w:tcW w:w="2338" w:type="dxa"/>
            <w:tcBorders>
              <w:bottom w:val="nil"/>
            </w:tcBorders>
            <w:vAlign w:val="bottom"/>
          </w:tcPr>
          <w:p w14:paraId="0A278A06"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tcBorders>
              <w:bottom w:val="nil"/>
            </w:tcBorders>
            <w:vAlign w:val="bottom"/>
          </w:tcPr>
          <w:p w14:paraId="29E6B570"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c>
          <w:tcPr>
            <w:tcW w:w="2338" w:type="dxa"/>
            <w:tcBorders>
              <w:bottom w:val="nil"/>
            </w:tcBorders>
            <w:vAlign w:val="bottom"/>
          </w:tcPr>
          <w:p w14:paraId="12CB5871" w14:textId="77777777" w:rsidR="008C45F9" w:rsidRPr="000876A4" w:rsidRDefault="008C45F9" w:rsidP="00411108">
            <w:pPr>
              <w:keepNext/>
              <w:spacing w:after="200" w:line="276" w:lineRule="auto"/>
              <w:jc w:val="center"/>
              <w:rPr>
                <w:rFonts w:ascii="Times New Roman" w:hAnsi="Times New Roman" w:cs="Times New Roman"/>
                <w:b/>
                <w:bCs/>
                <w:sz w:val="19"/>
                <w:szCs w:val="19"/>
                <w:lang w:val="en-US"/>
              </w:rPr>
            </w:pPr>
            <w:r w:rsidRPr="000876A4">
              <w:rPr>
                <w:rFonts w:ascii="Times New Roman" w:hAnsi="Times New Roman" w:cs="Times New Roman"/>
                <w:color w:val="000000"/>
                <w:sz w:val="19"/>
                <w:szCs w:val="19"/>
              </w:rPr>
              <w:t>**</w:t>
            </w:r>
          </w:p>
        </w:tc>
      </w:tr>
      <w:tr w:rsidR="008C45F9" w:rsidRPr="000876A4" w14:paraId="0E0E473B" w14:textId="77777777" w:rsidTr="00411108">
        <w:trPr>
          <w:jc w:val="center"/>
        </w:trPr>
        <w:tc>
          <w:tcPr>
            <w:tcW w:w="9351" w:type="dxa"/>
            <w:gridSpan w:val="4"/>
            <w:tcBorders>
              <w:top w:val="nil"/>
              <w:bottom w:val="single" w:sz="4" w:space="0" w:color="auto"/>
            </w:tcBorders>
            <w:vAlign w:val="bottom"/>
          </w:tcPr>
          <w:p w14:paraId="6404250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T3 (Day 42)</w:t>
            </w:r>
          </w:p>
        </w:tc>
      </w:tr>
      <w:tr w:rsidR="008C45F9" w:rsidRPr="000876A4" w14:paraId="39286A40" w14:textId="77777777" w:rsidTr="00411108">
        <w:trPr>
          <w:jc w:val="center"/>
        </w:trPr>
        <w:tc>
          <w:tcPr>
            <w:tcW w:w="2337" w:type="dxa"/>
            <w:tcBorders>
              <w:top w:val="single" w:sz="4" w:space="0" w:color="auto"/>
            </w:tcBorders>
            <w:vAlign w:val="bottom"/>
          </w:tcPr>
          <w:p w14:paraId="54CF5E4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w:t>
            </w:r>
          </w:p>
        </w:tc>
        <w:tc>
          <w:tcPr>
            <w:tcW w:w="2338" w:type="dxa"/>
            <w:tcBorders>
              <w:top w:val="single" w:sz="4" w:space="0" w:color="auto"/>
            </w:tcBorders>
            <w:vAlign w:val="bottom"/>
          </w:tcPr>
          <w:p w14:paraId="32618ED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63B15991"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ns</w:t>
            </w:r>
          </w:p>
        </w:tc>
        <w:tc>
          <w:tcPr>
            <w:tcW w:w="2338" w:type="dxa"/>
            <w:tcBorders>
              <w:top w:val="single" w:sz="4" w:space="0" w:color="auto"/>
            </w:tcBorders>
            <w:vAlign w:val="bottom"/>
          </w:tcPr>
          <w:p w14:paraId="25C607D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634A14B1" w14:textId="77777777" w:rsidTr="00411108">
        <w:trPr>
          <w:jc w:val="center"/>
        </w:trPr>
        <w:tc>
          <w:tcPr>
            <w:tcW w:w="2337" w:type="dxa"/>
            <w:vAlign w:val="bottom"/>
          </w:tcPr>
          <w:p w14:paraId="5E80DF3B"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PSF</w:t>
            </w:r>
          </w:p>
        </w:tc>
        <w:tc>
          <w:tcPr>
            <w:tcW w:w="2338" w:type="dxa"/>
            <w:vAlign w:val="bottom"/>
          </w:tcPr>
          <w:p w14:paraId="1100CD4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vAlign w:val="bottom"/>
          </w:tcPr>
          <w:p w14:paraId="66D0C7E8"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vAlign w:val="bottom"/>
          </w:tcPr>
          <w:p w14:paraId="7291ED50"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3462B3A9" w14:textId="77777777" w:rsidTr="00411108">
        <w:trPr>
          <w:trHeight w:val="369"/>
          <w:jc w:val="center"/>
        </w:trPr>
        <w:tc>
          <w:tcPr>
            <w:tcW w:w="2337" w:type="dxa"/>
            <w:tcBorders>
              <w:bottom w:val="nil"/>
            </w:tcBorders>
            <w:vAlign w:val="bottom"/>
          </w:tcPr>
          <w:p w14:paraId="2C08A33E"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PS vs. PSF</w:t>
            </w:r>
          </w:p>
        </w:tc>
        <w:tc>
          <w:tcPr>
            <w:tcW w:w="2338" w:type="dxa"/>
            <w:tcBorders>
              <w:bottom w:val="nil"/>
            </w:tcBorders>
            <w:vAlign w:val="bottom"/>
          </w:tcPr>
          <w:p w14:paraId="626B4C4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bottom w:val="nil"/>
            </w:tcBorders>
            <w:vAlign w:val="bottom"/>
          </w:tcPr>
          <w:p w14:paraId="495B0A74"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bottom w:val="nil"/>
            </w:tcBorders>
            <w:vAlign w:val="bottom"/>
          </w:tcPr>
          <w:p w14:paraId="44ACCDDF"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2FC34DE9" w14:textId="77777777" w:rsidTr="00411108">
        <w:trPr>
          <w:jc w:val="center"/>
        </w:trPr>
        <w:tc>
          <w:tcPr>
            <w:tcW w:w="9351" w:type="dxa"/>
            <w:gridSpan w:val="4"/>
            <w:tcBorders>
              <w:top w:val="nil"/>
              <w:bottom w:val="single" w:sz="4" w:space="0" w:color="auto"/>
            </w:tcBorders>
            <w:vAlign w:val="bottom"/>
          </w:tcPr>
          <w:p w14:paraId="4993377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T4 (Day 61)</w:t>
            </w:r>
          </w:p>
        </w:tc>
      </w:tr>
      <w:tr w:rsidR="008C45F9" w:rsidRPr="000876A4" w14:paraId="039292A4" w14:textId="77777777" w:rsidTr="00411108">
        <w:trPr>
          <w:jc w:val="center"/>
        </w:trPr>
        <w:tc>
          <w:tcPr>
            <w:tcW w:w="2337" w:type="dxa"/>
            <w:tcBorders>
              <w:top w:val="single" w:sz="4" w:space="0" w:color="auto"/>
            </w:tcBorders>
            <w:vAlign w:val="bottom"/>
          </w:tcPr>
          <w:p w14:paraId="7290A547"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w:t>
            </w:r>
          </w:p>
        </w:tc>
        <w:tc>
          <w:tcPr>
            <w:tcW w:w="2338" w:type="dxa"/>
            <w:tcBorders>
              <w:top w:val="single" w:sz="4" w:space="0" w:color="auto"/>
            </w:tcBorders>
            <w:vAlign w:val="bottom"/>
          </w:tcPr>
          <w:p w14:paraId="3221997E"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4E0A44A0"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tcBorders>
              <w:top w:val="single" w:sz="4" w:space="0" w:color="auto"/>
            </w:tcBorders>
            <w:vAlign w:val="bottom"/>
          </w:tcPr>
          <w:p w14:paraId="7AF77D6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0000E0D5" w14:textId="77777777" w:rsidTr="00411108">
        <w:trPr>
          <w:jc w:val="center"/>
        </w:trPr>
        <w:tc>
          <w:tcPr>
            <w:tcW w:w="2337" w:type="dxa"/>
            <w:vAlign w:val="bottom"/>
          </w:tcPr>
          <w:p w14:paraId="2910564D"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S vs. PSF</w:t>
            </w:r>
          </w:p>
        </w:tc>
        <w:tc>
          <w:tcPr>
            <w:tcW w:w="2338" w:type="dxa"/>
            <w:vAlign w:val="bottom"/>
          </w:tcPr>
          <w:p w14:paraId="72CB8EB4"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vAlign w:val="bottom"/>
          </w:tcPr>
          <w:p w14:paraId="062E7B37"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vAlign w:val="bottom"/>
          </w:tcPr>
          <w:p w14:paraId="4039AF24"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r w:rsidR="008C45F9" w:rsidRPr="000876A4" w14:paraId="5B1AFDD3" w14:textId="77777777" w:rsidTr="00411108">
        <w:trPr>
          <w:trHeight w:val="269"/>
          <w:jc w:val="center"/>
        </w:trPr>
        <w:tc>
          <w:tcPr>
            <w:tcW w:w="2337" w:type="dxa"/>
            <w:vAlign w:val="bottom"/>
          </w:tcPr>
          <w:p w14:paraId="3CBDFC4F"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PS vs. PSF</w:t>
            </w:r>
          </w:p>
        </w:tc>
        <w:tc>
          <w:tcPr>
            <w:tcW w:w="2338" w:type="dxa"/>
            <w:vAlign w:val="bottom"/>
          </w:tcPr>
          <w:p w14:paraId="5F852DA1"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c>
          <w:tcPr>
            <w:tcW w:w="2338" w:type="dxa"/>
            <w:vAlign w:val="bottom"/>
          </w:tcPr>
          <w:p w14:paraId="13345355"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ns</w:t>
            </w:r>
          </w:p>
        </w:tc>
        <w:tc>
          <w:tcPr>
            <w:tcW w:w="2338" w:type="dxa"/>
            <w:vAlign w:val="bottom"/>
          </w:tcPr>
          <w:p w14:paraId="596D8F30" w14:textId="77777777" w:rsidR="008C45F9" w:rsidRPr="000876A4" w:rsidRDefault="008C45F9" w:rsidP="00411108">
            <w:pPr>
              <w:keepNext/>
              <w:spacing w:after="200" w:line="276" w:lineRule="auto"/>
              <w:jc w:val="center"/>
              <w:rPr>
                <w:rFonts w:ascii="Times New Roman" w:hAnsi="Times New Roman" w:cs="Times New Roman"/>
                <w:color w:val="000000"/>
                <w:sz w:val="19"/>
                <w:szCs w:val="19"/>
              </w:rPr>
            </w:pPr>
            <w:r w:rsidRPr="000876A4">
              <w:rPr>
                <w:rFonts w:ascii="Times New Roman" w:hAnsi="Times New Roman" w:cs="Times New Roman"/>
                <w:color w:val="000000"/>
                <w:sz w:val="19"/>
                <w:szCs w:val="19"/>
              </w:rPr>
              <w:t>*</w:t>
            </w:r>
          </w:p>
        </w:tc>
      </w:tr>
    </w:tbl>
    <w:p w14:paraId="35887C3E" w14:textId="77777777" w:rsidR="008C45F9" w:rsidRPr="000876A4" w:rsidRDefault="008C45F9" w:rsidP="008C45F9">
      <w:pPr>
        <w:keepNext/>
        <w:spacing w:after="200" w:line="276" w:lineRule="auto"/>
        <w:jc w:val="both"/>
        <w:rPr>
          <w:rFonts w:ascii="Times New Roman" w:eastAsia="Aptos" w:hAnsi="Times New Roman" w:cs="Times New Roman"/>
          <w:b/>
          <w:bCs/>
          <w:sz w:val="28"/>
          <w:szCs w:val="28"/>
          <w:lang w:val="en-US"/>
        </w:rPr>
      </w:pPr>
    </w:p>
    <w:p w14:paraId="50132246" w14:textId="71F15F50" w:rsidR="008C45F9" w:rsidRPr="001B40F8" w:rsidRDefault="008C45F9" w:rsidP="008C45F9">
      <w:pPr>
        <w:pStyle w:val="Descripcin"/>
        <w:keepNext/>
        <w:jc w:val="both"/>
        <w:rPr>
          <w:rFonts w:ascii="Times New Roman" w:hAnsi="Times New Roman" w:cs="Times New Roman"/>
          <w:i w:val="0"/>
          <w:iCs w:val="0"/>
          <w:color w:val="auto"/>
          <w:sz w:val="22"/>
          <w:szCs w:val="22"/>
          <w:lang w:val="en-US"/>
        </w:rPr>
      </w:pPr>
      <w:r w:rsidRPr="001B40F8">
        <w:rPr>
          <w:rFonts w:ascii="Times New Roman" w:hAnsi="Times New Roman" w:cs="Times New Roman"/>
          <w:b/>
          <w:bCs/>
          <w:i w:val="0"/>
          <w:iCs w:val="0"/>
          <w:color w:val="auto"/>
          <w:sz w:val="22"/>
          <w:szCs w:val="22"/>
          <w:lang w:val="en-US"/>
        </w:rPr>
        <w:lastRenderedPageBreak/>
        <w:t xml:space="preserve">Table S3. </w:t>
      </w:r>
      <w:r w:rsidRPr="001B40F8">
        <w:rPr>
          <w:rFonts w:ascii="Times New Roman" w:hAnsi="Times New Roman" w:cs="Times New Roman"/>
          <w:i w:val="0"/>
          <w:iCs w:val="0"/>
          <w:color w:val="auto"/>
          <w:sz w:val="22"/>
          <w:szCs w:val="22"/>
          <w:lang w:val="en-US"/>
        </w:rPr>
        <w:t>Permutational multivariate analysis of variance (PERMANOVA) based on weighted UniFrac distance matrices of microbial community composition across experimental treatments. Degrees of freedom, sums of squares, proportion of explained variance (R²), F-statistics, and significance values (Pr(&gt;F)) are shown. Both Treatment (PFR, PR, and S) and Group (sampling time points) significantly explain differences in microbial community structure (p = 0.001, ***).</w:t>
      </w:r>
    </w:p>
    <w:tbl>
      <w:tblPr>
        <w:tblStyle w:val="Tablaconcuadrcula"/>
        <w:tblW w:w="9776"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325"/>
        <w:gridCol w:w="1379"/>
        <w:gridCol w:w="1832"/>
        <w:gridCol w:w="1134"/>
        <w:gridCol w:w="1416"/>
        <w:gridCol w:w="1561"/>
      </w:tblGrid>
      <w:tr w:rsidR="008C45F9" w:rsidRPr="000876A4" w14:paraId="2A06E4EC" w14:textId="77777777" w:rsidTr="00411108">
        <w:trPr>
          <w:trHeight w:val="288"/>
          <w:jc w:val="center"/>
        </w:trPr>
        <w:tc>
          <w:tcPr>
            <w:tcW w:w="1129" w:type="dxa"/>
            <w:tcBorders>
              <w:top w:val="single" w:sz="4" w:space="0" w:color="auto"/>
              <w:left w:val="nil"/>
              <w:bottom w:val="single" w:sz="4" w:space="0" w:color="auto"/>
              <w:right w:val="nil"/>
            </w:tcBorders>
            <w:noWrap/>
            <w:vAlign w:val="center"/>
          </w:tcPr>
          <w:p w14:paraId="0916C9C6" w14:textId="77777777" w:rsidR="008C45F9" w:rsidRPr="000876A4" w:rsidRDefault="008C45F9" w:rsidP="00411108">
            <w:pPr>
              <w:spacing w:line="360" w:lineRule="auto"/>
              <w:jc w:val="center"/>
              <w:rPr>
                <w:rFonts w:ascii="Times New Roman" w:hAnsi="Times New Roman" w:cs="Times New Roman"/>
                <w:b/>
                <w:kern w:val="0"/>
                <w:lang w:val="en-US"/>
                <w14:ligatures w14:val="none"/>
              </w:rPr>
            </w:pPr>
          </w:p>
        </w:tc>
        <w:tc>
          <w:tcPr>
            <w:tcW w:w="1325" w:type="dxa"/>
            <w:tcBorders>
              <w:top w:val="single" w:sz="4" w:space="0" w:color="auto"/>
              <w:left w:val="nil"/>
              <w:bottom w:val="single" w:sz="4" w:space="0" w:color="auto"/>
              <w:right w:val="nil"/>
            </w:tcBorders>
            <w:noWrap/>
            <w:vAlign w:val="center"/>
            <w:hideMark/>
          </w:tcPr>
          <w:p w14:paraId="4A476B73"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Df</w:t>
            </w:r>
          </w:p>
        </w:tc>
        <w:tc>
          <w:tcPr>
            <w:tcW w:w="1379" w:type="dxa"/>
            <w:tcBorders>
              <w:top w:val="single" w:sz="4" w:space="0" w:color="auto"/>
              <w:left w:val="nil"/>
              <w:bottom w:val="single" w:sz="4" w:space="0" w:color="auto"/>
              <w:right w:val="nil"/>
            </w:tcBorders>
            <w:noWrap/>
            <w:vAlign w:val="center"/>
            <w:hideMark/>
          </w:tcPr>
          <w:p w14:paraId="30F1EF4C"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Sum of squares</w:t>
            </w:r>
          </w:p>
        </w:tc>
        <w:tc>
          <w:tcPr>
            <w:tcW w:w="1832" w:type="dxa"/>
            <w:tcBorders>
              <w:top w:val="single" w:sz="4" w:space="0" w:color="auto"/>
              <w:left w:val="nil"/>
              <w:bottom w:val="single" w:sz="4" w:space="0" w:color="auto"/>
              <w:right w:val="nil"/>
            </w:tcBorders>
            <w:noWrap/>
            <w:vAlign w:val="center"/>
            <w:hideMark/>
          </w:tcPr>
          <w:p w14:paraId="4C760C41"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Proportion of variance (R</w:t>
            </w:r>
            <w:r w:rsidRPr="000876A4">
              <w:rPr>
                <w:rFonts w:ascii="Times New Roman" w:hAnsi="Times New Roman" w:cs="Times New Roman"/>
                <w:b/>
                <w:kern w:val="0"/>
                <w:sz w:val="20"/>
                <w:szCs w:val="20"/>
                <w:vertAlign w:val="superscript"/>
                <w14:ligatures w14:val="none"/>
              </w:rPr>
              <w:t>2</w:t>
            </w:r>
            <w:r w:rsidRPr="000876A4">
              <w:rPr>
                <w:rFonts w:ascii="Times New Roman" w:hAnsi="Times New Roman" w:cs="Times New Roman"/>
                <w:b/>
                <w:kern w:val="0"/>
                <w:sz w:val="20"/>
                <w:szCs w:val="20"/>
                <w14:ligatures w14:val="none"/>
              </w:rPr>
              <w:t>)</w:t>
            </w:r>
          </w:p>
        </w:tc>
        <w:tc>
          <w:tcPr>
            <w:tcW w:w="1134" w:type="dxa"/>
            <w:tcBorders>
              <w:top w:val="single" w:sz="4" w:space="0" w:color="auto"/>
              <w:left w:val="nil"/>
              <w:bottom w:val="single" w:sz="4" w:space="0" w:color="auto"/>
              <w:right w:val="nil"/>
            </w:tcBorders>
            <w:noWrap/>
            <w:vAlign w:val="center"/>
            <w:hideMark/>
          </w:tcPr>
          <w:p w14:paraId="67C0E4B0"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F</w:t>
            </w:r>
          </w:p>
        </w:tc>
        <w:tc>
          <w:tcPr>
            <w:tcW w:w="1416" w:type="dxa"/>
            <w:tcBorders>
              <w:top w:val="single" w:sz="4" w:space="0" w:color="auto"/>
              <w:left w:val="nil"/>
              <w:bottom w:val="single" w:sz="4" w:space="0" w:color="auto"/>
              <w:right w:val="nil"/>
            </w:tcBorders>
            <w:noWrap/>
            <w:vAlign w:val="center"/>
            <w:hideMark/>
          </w:tcPr>
          <w:p w14:paraId="6E12344A"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Pr(&gt;F)</w:t>
            </w:r>
          </w:p>
        </w:tc>
        <w:tc>
          <w:tcPr>
            <w:tcW w:w="1561" w:type="dxa"/>
            <w:tcBorders>
              <w:top w:val="single" w:sz="4" w:space="0" w:color="auto"/>
              <w:left w:val="nil"/>
              <w:bottom w:val="single" w:sz="4" w:space="0" w:color="auto"/>
              <w:right w:val="nil"/>
            </w:tcBorders>
            <w:noWrap/>
            <w:vAlign w:val="center"/>
            <w:hideMark/>
          </w:tcPr>
          <w:p w14:paraId="4B6CDA7E" w14:textId="77777777" w:rsidR="008C45F9" w:rsidRPr="000876A4" w:rsidRDefault="008C45F9" w:rsidP="00411108">
            <w:pPr>
              <w:spacing w:line="360" w:lineRule="auto"/>
              <w:jc w:val="center"/>
              <w:rPr>
                <w:rFonts w:ascii="Times New Roman" w:hAnsi="Times New Roman" w:cs="Times New Roman"/>
                <w:b/>
                <w:kern w:val="0"/>
                <w:sz w:val="20"/>
                <w:szCs w:val="20"/>
                <w14:ligatures w14:val="none"/>
              </w:rPr>
            </w:pPr>
            <w:r w:rsidRPr="000876A4">
              <w:rPr>
                <w:rFonts w:ascii="Times New Roman" w:hAnsi="Times New Roman" w:cs="Times New Roman"/>
                <w:b/>
                <w:kern w:val="0"/>
                <w:sz w:val="20"/>
                <w:szCs w:val="20"/>
                <w14:ligatures w14:val="none"/>
              </w:rPr>
              <w:t>Significance</w:t>
            </w:r>
          </w:p>
        </w:tc>
      </w:tr>
      <w:tr w:rsidR="008C45F9" w:rsidRPr="000876A4" w14:paraId="25EF3F45" w14:textId="77777777" w:rsidTr="00411108">
        <w:trPr>
          <w:trHeight w:val="288"/>
          <w:jc w:val="center"/>
        </w:trPr>
        <w:tc>
          <w:tcPr>
            <w:tcW w:w="1129" w:type="dxa"/>
            <w:tcBorders>
              <w:top w:val="single" w:sz="4" w:space="0" w:color="auto"/>
              <w:left w:val="nil"/>
              <w:bottom w:val="nil"/>
              <w:right w:val="nil"/>
            </w:tcBorders>
            <w:noWrap/>
            <w:hideMark/>
          </w:tcPr>
          <w:p w14:paraId="658900B5"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Treatment</w:t>
            </w:r>
          </w:p>
        </w:tc>
        <w:tc>
          <w:tcPr>
            <w:tcW w:w="1325" w:type="dxa"/>
            <w:tcBorders>
              <w:top w:val="single" w:sz="4" w:space="0" w:color="auto"/>
              <w:left w:val="nil"/>
              <w:bottom w:val="nil"/>
              <w:right w:val="nil"/>
            </w:tcBorders>
            <w:noWrap/>
            <w:hideMark/>
          </w:tcPr>
          <w:p w14:paraId="53ED0AD3"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2</w:t>
            </w:r>
          </w:p>
        </w:tc>
        <w:tc>
          <w:tcPr>
            <w:tcW w:w="1379" w:type="dxa"/>
            <w:tcBorders>
              <w:top w:val="single" w:sz="4" w:space="0" w:color="auto"/>
              <w:left w:val="nil"/>
              <w:bottom w:val="nil"/>
              <w:right w:val="nil"/>
            </w:tcBorders>
            <w:noWrap/>
            <w:hideMark/>
          </w:tcPr>
          <w:p w14:paraId="47C53025"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w:t>
            </w:r>
            <w:r w:rsidRPr="000876A4">
              <w:rPr>
                <w:rFonts w:ascii="Times New Roman" w:hAnsi="Times New Roman" w:cs="Times New Roman"/>
                <w:sz w:val="20"/>
                <w:szCs w:val="20"/>
              </w:rPr>
              <w:t xml:space="preserve"> </w:t>
            </w:r>
            <w:r w:rsidRPr="000876A4">
              <w:rPr>
                <w:rFonts w:ascii="Times New Roman" w:hAnsi="Times New Roman" w:cs="Times New Roman"/>
                <w:kern w:val="0"/>
                <w:sz w:val="20"/>
                <w:szCs w:val="20"/>
                <w14:ligatures w14:val="none"/>
              </w:rPr>
              <w:t>0102</w:t>
            </w:r>
          </w:p>
        </w:tc>
        <w:tc>
          <w:tcPr>
            <w:tcW w:w="1832" w:type="dxa"/>
            <w:tcBorders>
              <w:top w:val="single" w:sz="4" w:space="0" w:color="auto"/>
              <w:left w:val="nil"/>
              <w:bottom w:val="nil"/>
              <w:right w:val="nil"/>
            </w:tcBorders>
            <w:noWrap/>
            <w:hideMark/>
          </w:tcPr>
          <w:p w14:paraId="72D4E011"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0.1057</w:t>
            </w:r>
          </w:p>
        </w:tc>
        <w:tc>
          <w:tcPr>
            <w:tcW w:w="1134" w:type="dxa"/>
            <w:tcBorders>
              <w:top w:val="single" w:sz="4" w:space="0" w:color="auto"/>
              <w:left w:val="nil"/>
              <w:bottom w:val="nil"/>
              <w:right w:val="nil"/>
            </w:tcBorders>
            <w:noWrap/>
            <w:hideMark/>
          </w:tcPr>
          <w:p w14:paraId="6BA4EA34"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3.84</w:t>
            </w:r>
          </w:p>
        </w:tc>
        <w:tc>
          <w:tcPr>
            <w:tcW w:w="1416" w:type="dxa"/>
            <w:tcBorders>
              <w:top w:val="single" w:sz="4" w:space="0" w:color="auto"/>
              <w:left w:val="nil"/>
              <w:bottom w:val="nil"/>
              <w:right w:val="nil"/>
            </w:tcBorders>
            <w:noWrap/>
            <w:hideMark/>
          </w:tcPr>
          <w:p w14:paraId="30B9BAD0"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0.001</w:t>
            </w:r>
          </w:p>
        </w:tc>
        <w:tc>
          <w:tcPr>
            <w:tcW w:w="1561" w:type="dxa"/>
            <w:tcBorders>
              <w:top w:val="single" w:sz="4" w:space="0" w:color="auto"/>
              <w:left w:val="nil"/>
              <w:bottom w:val="nil"/>
              <w:right w:val="nil"/>
            </w:tcBorders>
            <w:noWrap/>
            <w:hideMark/>
          </w:tcPr>
          <w:p w14:paraId="60408305"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w:t>
            </w:r>
          </w:p>
        </w:tc>
      </w:tr>
      <w:tr w:rsidR="008C45F9" w:rsidRPr="000876A4" w14:paraId="7249C90F" w14:textId="77777777" w:rsidTr="00411108">
        <w:trPr>
          <w:trHeight w:val="288"/>
          <w:jc w:val="center"/>
        </w:trPr>
        <w:tc>
          <w:tcPr>
            <w:tcW w:w="1129" w:type="dxa"/>
            <w:tcBorders>
              <w:top w:val="nil"/>
              <w:left w:val="nil"/>
              <w:bottom w:val="nil"/>
              <w:right w:val="nil"/>
            </w:tcBorders>
            <w:noWrap/>
            <w:hideMark/>
          </w:tcPr>
          <w:p w14:paraId="665AF57C"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Group</w:t>
            </w:r>
          </w:p>
        </w:tc>
        <w:tc>
          <w:tcPr>
            <w:tcW w:w="1325" w:type="dxa"/>
            <w:tcBorders>
              <w:top w:val="nil"/>
              <w:left w:val="nil"/>
              <w:bottom w:val="nil"/>
              <w:right w:val="nil"/>
            </w:tcBorders>
            <w:noWrap/>
            <w:hideMark/>
          </w:tcPr>
          <w:p w14:paraId="4A887176"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12</w:t>
            </w:r>
          </w:p>
        </w:tc>
        <w:tc>
          <w:tcPr>
            <w:tcW w:w="1379" w:type="dxa"/>
            <w:tcBorders>
              <w:top w:val="nil"/>
              <w:left w:val="nil"/>
              <w:bottom w:val="nil"/>
              <w:right w:val="nil"/>
            </w:tcBorders>
            <w:noWrap/>
            <w:hideMark/>
          </w:tcPr>
          <w:p w14:paraId="6F75866B"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0.4659</w:t>
            </w:r>
          </w:p>
        </w:tc>
        <w:tc>
          <w:tcPr>
            <w:tcW w:w="1832" w:type="dxa"/>
            <w:tcBorders>
              <w:top w:val="nil"/>
              <w:left w:val="nil"/>
              <w:bottom w:val="nil"/>
              <w:right w:val="nil"/>
            </w:tcBorders>
            <w:noWrap/>
            <w:hideMark/>
          </w:tcPr>
          <w:p w14:paraId="0AB2ACD0"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bCs/>
                <w:kern w:val="0"/>
                <w:sz w:val="20"/>
                <w:szCs w:val="20"/>
                <w14:ligatures w14:val="none"/>
              </w:rPr>
              <w:t>0.4810</w:t>
            </w:r>
          </w:p>
        </w:tc>
        <w:tc>
          <w:tcPr>
            <w:tcW w:w="1134" w:type="dxa"/>
            <w:tcBorders>
              <w:top w:val="nil"/>
              <w:left w:val="nil"/>
              <w:bottom w:val="nil"/>
              <w:right w:val="nil"/>
            </w:tcBorders>
            <w:noWrap/>
            <w:hideMark/>
          </w:tcPr>
          <w:p w14:paraId="039C5772"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2.91</w:t>
            </w:r>
          </w:p>
        </w:tc>
        <w:tc>
          <w:tcPr>
            <w:tcW w:w="1416" w:type="dxa"/>
            <w:tcBorders>
              <w:top w:val="nil"/>
              <w:left w:val="nil"/>
              <w:bottom w:val="nil"/>
              <w:right w:val="nil"/>
            </w:tcBorders>
            <w:noWrap/>
            <w:hideMark/>
          </w:tcPr>
          <w:p w14:paraId="1FD36684"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0.001</w:t>
            </w:r>
          </w:p>
        </w:tc>
        <w:tc>
          <w:tcPr>
            <w:tcW w:w="1561" w:type="dxa"/>
            <w:tcBorders>
              <w:top w:val="nil"/>
              <w:left w:val="nil"/>
              <w:bottom w:val="nil"/>
              <w:right w:val="nil"/>
            </w:tcBorders>
            <w:noWrap/>
            <w:hideMark/>
          </w:tcPr>
          <w:p w14:paraId="0C108EFA"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w:t>
            </w:r>
          </w:p>
        </w:tc>
      </w:tr>
      <w:tr w:rsidR="008C45F9" w:rsidRPr="000876A4" w14:paraId="34A57AAB" w14:textId="77777777" w:rsidTr="00411108">
        <w:trPr>
          <w:trHeight w:val="288"/>
          <w:jc w:val="center"/>
        </w:trPr>
        <w:tc>
          <w:tcPr>
            <w:tcW w:w="1129" w:type="dxa"/>
            <w:tcBorders>
              <w:top w:val="nil"/>
              <w:left w:val="nil"/>
              <w:bottom w:val="nil"/>
              <w:right w:val="nil"/>
            </w:tcBorders>
            <w:noWrap/>
            <w:hideMark/>
          </w:tcPr>
          <w:p w14:paraId="13B34627"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Residual</w:t>
            </w:r>
          </w:p>
        </w:tc>
        <w:tc>
          <w:tcPr>
            <w:tcW w:w="1325" w:type="dxa"/>
            <w:tcBorders>
              <w:top w:val="nil"/>
              <w:left w:val="nil"/>
              <w:bottom w:val="nil"/>
              <w:right w:val="nil"/>
            </w:tcBorders>
            <w:noWrap/>
            <w:hideMark/>
          </w:tcPr>
          <w:p w14:paraId="5F9709D4"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30</w:t>
            </w:r>
          </w:p>
        </w:tc>
        <w:tc>
          <w:tcPr>
            <w:tcW w:w="1379" w:type="dxa"/>
            <w:tcBorders>
              <w:top w:val="nil"/>
              <w:left w:val="nil"/>
              <w:bottom w:val="nil"/>
              <w:right w:val="nil"/>
            </w:tcBorders>
            <w:noWrap/>
            <w:hideMark/>
          </w:tcPr>
          <w:p w14:paraId="4060E4AE"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0.0400</w:t>
            </w:r>
          </w:p>
        </w:tc>
        <w:tc>
          <w:tcPr>
            <w:tcW w:w="1832" w:type="dxa"/>
            <w:tcBorders>
              <w:top w:val="nil"/>
              <w:left w:val="nil"/>
              <w:bottom w:val="nil"/>
              <w:right w:val="nil"/>
            </w:tcBorders>
            <w:noWrap/>
            <w:hideMark/>
          </w:tcPr>
          <w:p w14:paraId="6031B8CE"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0.4133</w:t>
            </w:r>
          </w:p>
        </w:tc>
        <w:tc>
          <w:tcPr>
            <w:tcW w:w="1134" w:type="dxa"/>
            <w:tcBorders>
              <w:top w:val="nil"/>
              <w:left w:val="nil"/>
              <w:bottom w:val="nil"/>
              <w:right w:val="nil"/>
            </w:tcBorders>
            <w:noWrap/>
            <w:hideMark/>
          </w:tcPr>
          <w:p w14:paraId="6E8BAF9E"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NA</w:t>
            </w:r>
          </w:p>
        </w:tc>
        <w:tc>
          <w:tcPr>
            <w:tcW w:w="1416" w:type="dxa"/>
            <w:tcBorders>
              <w:top w:val="nil"/>
              <w:left w:val="nil"/>
              <w:bottom w:val="nil"/>
              <w:right w:val="nil"/>
            </w:tcBorders>
            <w:noWrap/>
            <w:hideMark/>
          </w:tcPr>
          <w:p w14:paraId="7FDD391B"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NA</w:t>
            </w:r>
          </w:p>
        </w:tc>
        <w:tc>
          <w:tcPr>
            <w:tcW w:w="1561" w:type="dxa"/>
            <w:tcBorders>
              <w:top w:val="nil"/>
              <w:left w:val="nil"/>
              <w:bottom w:val="nil"/>
              <w:right w:val="nil"/>
            </w:tcBorders>
            <w:noWrap/>
            <w:hideMark/>
          </w:tcPr>
          <w:p w14:paraId="64E4B29F"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&lt;NA&gt;</w:t>
            </w:r>
          </w:p>
        </w:tc>
      </w:tr>
      <w:tr w:rsidR="008C45F9" w:rsidRPr="000876A4" w14:paraId="21E19FC1" w14:textId="77777777" w:rsidTr="00411108">
        <w:trPr>
          <w:trHeight w:val="288"/>
          <w:jc w:val="center"/>
        </w:trPr>
        <w:tc>
          <w:tcPr>
            <w:tcW w:w="1129" w:type="dxa"/>
            <w:tcBorders>
              <w:top w:val="nil"/>
              <w:left w:val="nil"/>
              <w:bottom w:val="single" w:sz="4" w:space="0" w:color="auto"/>
              <w:right w:val="nil"/>
            </w:tcBorders>
            <w:noWrap/>
            <w:hideMark/>
          </w:tcPr>
          <w:p w14:paraId="4B5FC418"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Total</w:t>
            </w:r>
          </w:p>
        </w:tc>
        <w:tc>
          <w:tcPr>
            <w:tcW w:w="1325" w:type="dxa"/>
            <w:tcBorders>
              <w:top w:val="nil"/>
              <w:left w:val="nil"/>
              <w:bottom w:val="single" w:sz="4" w:space="0" w:color="auto"/>
              <w:right w:val="nil"/>
            </w:tcBorders>
            <w:noWrap/>
            <w:hideMark/>
          </w:tcPr>
          <w:p w14:paraId="33F29B9F"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44</w:t>
            </w:r>
          </w:p>
        </w:tc>
        <w:tc>
          <w:tcPr>
            <w:tcW w:w="1379" w:type="dxa"/>
            <w:tcBorders>
              <w:top w:val="nil"/>
              <w:left w:val="nil"/>
              <w:bottom w:val="single" w:sz="4" w:space="0" w:color="auto"/>
              <w:right w:val="nil"/>
            </w:tcBorders>
            <w:noWrap/>
            <w:hideMark/>
          </w:tcPr>
          <w:p w14:paraId="7D48E080" w14:textId="77777777" w:rsidR="008C45F9" w:rsidRPr="000876A4" w:rsidRDefault="008C45F9" w:rsidP="00411108">
            <w:pPr>
              <w:spacing w:line="360" w:lineRule="auto"/>
              <w:jc w:val="center"/>
              <w:rPr>
                <w:rFonts w:ascii="Times New Roman" w:hAnsi="Times New Roman" w:cs="Times New Roman"/>
                <w:kern w:val="0"/>
                <w:sz w:val="20"/>
                <w:szCs w:val="20"/>
                <w14:ligatures w14:val="none"/>
              </w:rPr>
            </w:pPr>
            <w:r w:rsidRPr="000876A4">
              <w:rPr>
                <w:rFonts w:ascii="Times New Roman" w:hAnsi="Times New Roman" w:cs="Times New Roman"/>
                <w:kern w:val="0"/>
                <w:sz w:val="20"/>
                <w:szCs w:val="20"/>
                <w14:ligatures w14:val="none"/>
              </w:rPr>
              <w:t>0.0969</w:t>
            </w:r>
          </w:p>
        </w:tc>
        <w:tc>
          <w:tcPr>
            <w:tcW w:w="1832" w:type="dxa"/>
            <w:tcBorders>
              <w:top w:val="nil"/>
              <w:left w:val="nil"/>
              <w:bottom w:val="single" w:sz="4" w:space="0" w:color="auto"/>
              <w:right w:val="nil"/>
            </w:tcBorders>
            <w:noWrap/>
            <w:hideMark/>
          </w:tcPr>
          <w:p w14:paraId="6FD9821D"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1</w:t>
            </w:r>
          </w:p>
        </w:tc>
        <w:tc>
          <w:tcPr>
            <w:tcW w:w="1134" w:type="dxa"/>
            <w:tcBorders>
              <w:top w:val="nil"/>
              <w:left w:val="nil"/>
              <w:bottom w:val="single" w:sz="4" w:space="0" w:color="auto"/>
              <w:right w:val="nil"/>
            </w:tcBorders>
            <w:noWrap/>
            <w:hideMark/>
          </w:tcPr>
          <w:p w14:paraId="066176DE"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NA</w:t>
            </w:r>
          </w:p>
        </w:tc>
        <w:tc>
          <w:tcPr>
            <w:tcW w:w="1416" w:type="dxa"/>
            <w:tcBorders>
              <w:top w:val="nil"/>
              <w:left w:val="nil"/>
              <w:bottom w:val="single" w:sz="4" w:space="0" w:color="auto"/>
              <w:right w:val="nil"/>
            </w:tcBorders>
            <w:noWrap/>
            <w:hideMark/>
          </w:tcPr>
          <w:p w14:paraId="6419DE84"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NA</w:t>
            </w:r>
          </w:p>
        </w:tc>
        <w:tc>
          <w:tcPr>
            <w:tcW w:w="1561" w:type="dxa"/>
            <w:tcBorders>
              <w:top w:val="nil"/>
              <w:left w:val="nil"/>
              <w:bottom w:val="single" w:sz="4" w:space="0" w:color="auto"/>
              <w:right w:val="nil"/>
            </w:tcBorders>
            <w:noWrap/>
            <w:hideMark/>
          </w:tcPr>
          <w:p w14:paraId="4F7A4CD0" w14:textId="77777777" w:rsidR="008C45F9" w:rsidRPr="000876A4" w:rsidRDefault="008C45F9" w:rsidP="00411108">
            <w:pPr>
              <w:spacing w:line="360" w:lineRule="auto"/>
              <w:jc w:val="center"/>
              <w:rPr>
                <w:rFonts w:ascii="Times New Roman" w:hAnsi="Times New Roman" w:cs="Times New Roman"/>
                <w:bCs/>
                <w:kern w:val="0"/>
                <w:sz w:val="20"/>
                <w:szCs w:val="20"/>
                <w14:ligatures w14:val="none"/>
              </w:rPr>
            </w:pPr>
            <w:r w:rsidRPr="000876A4">
              <w:rPr>
                <w:rFonts w:ascii="Times New Roman" w:hAnsi="Times New Roman" w:cs="Times New Roman"/>
                <w:kern w:val="0"/>
                <w:sz w:val="20"/>
                <w:szCs w:val="20"/>
                <w14:ligatures w14:val="none"/>
              </w:rPr>
              <w:t>&lt;NA&gt;</w:t>
            </w:r>
          </w:p>
        </w:tc>
      </w:tr>
    </w:tbl>
    <w:p w14:paraId="67BA80EF" w14:textId="77777777" w:rsidR="008C45F9" w:rsidRPr="000876A4" w:rsidRDefault="008C45F9" w:rsidP="008C45F9">
      <w:pPr>
        <w:rPr>
          <w:rFonts w:ascii="Times New Roman" w:hAnsi="Times New Roman" w:cs="Times New Roman"/>
          <w:lang w:val="en-US"/>
        </w:rPr>
      </w:pPr>
    </w:p>
    <w:p w14:paraId="78F13826" w14:textId="53E2801E" w:rsidR="008C45F9" w:rsidRPr="001B40F8" w:rsidRDefault="008C45F9" w:rsidP="008C45F9">
      <w:pPr>
        <w:pStyle w:val="Descripcin"/>
        <w:keepNext/>
        <w:jc w:val="both"/>
        <w:rPr>
          <w:rFonts w:ascii="Times New Roman" w:hAnsi="Times New Roman" w:cs="Times New Roman"/>
          <w:i w:val="0"/>
          <w:iCs w:val="0"/>
          <w:color w:val="auto"/>
          <w:sz w:val="22"/>
          <w:szCs w:val="22"/>
          <w:lang w:val="en-US"/>
        </w:rPr>
      </w:pPr>
      <w:r w:rsidRPr="001B40F8">
        <w:rPr>
          <w:rFonts w:ascii="Times New Roman" w:hAnsi="Times New Roman" w:cs="Times New Roman"/>
          <w:b/>
          <w:bCs/>
          <w:i w:val="0"/>
          <w:iCs w:val="0"/>
          <w:color w:val="auto"/>
          <w:sz w:val="22"/>
          <w:szCs w:val="22"/>
          <w:lang w:val="en-US"/>
        </w:rPr>
        <w:t>Table S4.</w:t>
      </w:r>
      <w:r w:rsidRPr="001B40F8">
        <w:rPr>
          <w:rFonts w:ascii="Times New Roman" w:hAnsi="Times New Roman" w:cs="Times New Roman"/>
          <w:i w:val="0"/>
          <w:iCs w:val="0"/>
          <w:color w:val="auto"/>
          <w:sz w:val="22"/>
          <w:szCs w:val="22"/>
          <w:lang w:val="en-US"/>
        </w:rPr>
        <w:t xml:space="preserve"> Topological properties of the prokaryotic co-occurrence networks based on Spearman correlations (r &gt; 0.7, p &lt; 0.01). Average degree reflects overall network connectivity, clustering coefficient indicates local node clustering, average path length represents the mean distance between nodes, heterogeneity reflects variability in node connectivity, and modularity describes the organization of the network into functional modules.</w:t>
      </w:r>
    </w:p>
    <w:tbl>
      <w:tblPr>
        <w:tblStyle w:val="Tablaconcuadrcula"/>
        <w:tblW w:w="5000" w:type="pct"/>
        <w:jc w:val="center"/>
        <w:tblInd w:w="0" w:type="dxa"/>
        <w:tblLook w:val="04A0" w:firstRow="1" w:lastRow="0" w:firstColumn="1" w:lastColumn="0" w:noHBand="0" w:noVBand="1"/>
      </w:tblPr>
      <w:tblGrid>
        <w:gridCol w:w="2589"/>
        <w:gridCol w:w="2789"/>
        <w:gridCol w:w="1990"/>
        <w:gridCol w:w="1992"/>
      </w:tblGrid>
      <w:tr w:rsidR="008C45F9" w:rsidRPr="000876A4" w14:paraId="0800F7F5" w14:textId="77777777" w:rsidTr="00411108">
        <w:trPr>
          <w:jc w:val="center"/>
        </w:trPr>
        <w:tc>
          <w:tcPr>
            <w:tcW w:w="1383" w:type="pct"/>
            <w:tcBorders>
              <w:top w:val="single" w:sz="4" w:space="0" w:color="auto"/>
              <w:left w:val="nil"/>
              <w:bottom w:val="single" w:sz="4" w:space="0" w:color="auto"/>
              <w:right w:val="nil"/>
            </w:tcBorders>
            <w:vAlign w:val="center"/>
          </w:tcPr>
          <w:p w14:paraId="5903F626"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b/>
                <w:bCs/>
                <w:sz w:val="20"/>
                <w:szCs w:val="20"/>
                <w:lang w:val="en-US"/>
              </w:rPr>
              <w:t>Network Property</w:t>
            </w:r>
          </w:p>
        </w:tc>
        <w:tc>
          <w:tcPr>
            <w:tcW w:w="1490" w:type="pct"/>
            <w:tcBorders>
              <w:top w:val="single" w:sz="4" w:space="0" w:color="auto"/>
              <w:left w:val="nil"/>
              <w:bottom w:val="single" w:sz="4" w:space="0" w:color="auto"/>
              <w:right w:val="nil"/>
            </w:tcBorders>
            <w:vAlign w:val="center"/>
          </w:tcPr>
          <w:p w14:paraId="080702D3"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b/>
                <w:bCs/>
                <w:sz w:val="20"/>
                <w:szCs w:val="20"/>
                <w:lang w:val="en-US"/>
              </w:rPr>
              <w:t xml:space="preserve">PSF </w:t>
            </w:r>
          </w:p>
        </w:tc>
        <w:tc>
          <w:tcPr>
            <w:tcW w:w="1063" w:type="pct"/>
            <w:tcBorders>
              <w:top w:val="single" w:sz="4" w:space="0" w:color="auto"/>
              <w:left w:val="nil"/>
              <w:bottom w:val="single" w:sz="4" w:space="0" w:color="auto"/>
              <w:right w:val="nil"/>
            </w:tcBorders>
            <w:vAlign w:val="center"/>
          </w:tcPr>
          <w:p w14:paraId="1004052A"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b/>
                <w:bCs/>
                <w:sz w:val="20"/>
                <w:szCs w:val="20"/>
                <w:lang w:val="en-US"/>
              </w:rPr>
              <w:t xml:space="preserve">PS </w:t>
            </w:r>
          </w:p>
        </w:tc>
        <w:tc>
          <w:tcPr>
            <w:tcW w:w="1064" w:type="pct"/>
            <w:tcBorders>
              <w:top w:val="single" w:sz="4" w:space="0" w:color="auto"/>
              <w:left w:val="nil"/>
              <w:bottom w:val="single" w:sz="4" w:space="0" w:color="auto"/>
              <w:right w:val="nil"/>
            </w:tcBorders>
            <w:vAlign w:val="center"/>
          </w:tcPr>
          <w:p w14:paraId="0546CBB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b/>
                <w:bCs/>
                <w:sz w:val="20"/>
                <w:szCs w:val="20"/>
                <w:lang w:val="en-US"/>
              </w:rPr>
              <w:t xml:space="preserve">S </w:t>
            </w:r>
          </w:p>
        </w:tc>
      </w:tr>
      <w:tr w:rsidR="008C45F9" w:rsidRPr="000876A4" w14:paraId="7ED18943" w14:textId="77777777" w:rsidTr="00411108">
        <w:trPr>
          <w:trHeight w:val="413"/>
          <w:jc w:val="center"/>
        </w:trPr>
        <w:tc>
          <w:tcPr>
            <w:tcW w:w="1383" w:type="pct"/>
            <w:tcBorders>
              <w:top w:val="single" w:sz="4" w:space="0" w:color="auto"/>
              <w:left w:val="nil"/>
              <w:bottom w:val="nil"/>
              <w:right w:val="nil"/>
            </w:tcBorders>
            <w:vAlign w:val="center"/>
          </w:tcPr>
          <w:p w14:paraId="28351D64"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Nodes</w:t>
            </w:r>
          </w:p>
        </w:tc>
        <w:tc>
          <w:tcPr>
            <w:tcW w:w="1490" w:type="pct"/>
            <w:tcBorders>
              <w:top w:val="single" w:sz="4" w:space="0" w:color="auto"/>
              <w:left w:val="nil"/>
              <w:bottom w:val="nil"/>
              <w:right w:val="nil"/>
            </w:tcBorders>
            <w:vAlign w:val="center"/>
          </w:tcPr>
          <w:p w14:paraId="18B53F53"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78</w:t>
            </w:r>
          </w:p>
        </w:tc>
        <w:tc>
          <w:tcPr>
            <w:tcW w:w="1063" w:type="pct"/>
            <w:tcBorders>
              <w:top w:val="single" w:sz="4" w:space="0" w:color="auto"/>
              <w:left w:val="nil"/>
              <w:bottom w:val="nil"/>
              <w:right w:val="nil"/>
            </w:tcBorders>
            <w:vAlign w:val="center"/>
          </w:tcPr>
          <w:p w14:paraId="7C4B1D4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70</w:t>
            </w:r>
          </w:p>
        </w:tc>
        <w:tc>
          <w:tcPr>
            <w:tcW w:w="1064" w:type="pct"/>
            <w:tcBorders>
              <w:top w:val="single" w:sz="4" w:space="0" w:color="auto"/>
              <w:left w:val="nil"/>
              <w:bottom w:val="nil"/>
              <w:right w:val="nil"/>
            </w:tcBorders>
            <w:vAlign w:val="center"/>
          </w:tcPr>
          <w:p w14:paraId="68AE391A"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98</w:t>
            </w:r>
          </w:p>
        </w:tc>
      </w:tr>
      <w:tr w:rsidR="008C45F9" w:rsidRPr="000876A4" w14:paraId="5FBA06CB" w14:textId="77777777" w:rsidTr="00411108">
        <w:trPr>
          <w:jc w:val="center"/>
        </w:trPr>
        <w:tc>
          <w:tcPr>
            <w:tcW w:w="1383" w:type="pct"/>
            <w:tcBorders>
              <w:top w:val="nil"/>
              <w:left w:val="nil"/>
              <w:bottom w:val="nil"/>
              <w:right w:val="nil"/>
            </w:tcBorders>
            <w:vAlign w:val="center"/>
          </w:tcPr>
          <w:p w14:paraId="478BC1FB"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Edges</w:t>
            </w:r>
          </w:p>
        </w:tc>
        <w:tc>
          <w:tcPr>
            <w:tcW w:w="1490" w:type="pct"/>
            <w:tcBorders>
              <w:top w:val="nil"/>
              <w:left w:val="nil"/>
              <w:bottom w:val="nil"/>
              <w:right w:val="nil"/>
            </w:tcBorders>
            <w:vAlign w:val="center"/>
          </w:tcPr>
          <w:p w14:paraId="579D90BA"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230</w:t>
            </w:r>
          </w:p>
        </w:tc>
        <w:tc>
          <w:tcPr>
            <w:tcW w:w="1063" w:type="pct"/>
            <w:tcBorders>
              <w:top w:val="nil"/>
              <w:left w:val="nil"/>
              <w:bottom w:val="nil"/>
              <w:right w:val="nil"/>
            </w:tcBorders>
            <w:vAlign w:val="center"/>
          </w:tcPr>
          <w:p w14:paraId="52C6018B"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235</w:t>
            </w:r>
          </w:p>
        </w:tc>
        <w:tc>
          <w:tcPr>
            <w:tcW w:w="1064" w:type="pct"/>
            <w:tcBorders>
              <w:top w:val="nil"/>
              <w:left w:val="nil"/>
              <w:bottom w:val="nil"/>
              <w:right w:val="nil"/>
            </w:tcBorders>
            <w:vAlign w:val="center"/>
          </w:tcPr>
          <w:p w14:paraId="11360066"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438</w:t>
            </w:r>
          </w:p>
        </w:tc>
      </w:tr>
      <w:tr w:rsidR="008C45F9" w:rsidRPr="000876A4" w14:paraId="59B540E0" w14:textId="77777777" w:rsidTr="00411108">
        <w:trPr>
          <w:jc w:val="center"/>
        </w:trPr>
        <w:tc>
          <w:tcPr>
            <w:tcW w:w="1383" w:type="pct"/>
            <w:tcBorders>
              <w:top w:val="nil"/>
              <w:left w:val="nil"/>
              <w:bottom w:val="nil"/>
              <w:right w:val="nil"/>
            </w:tcBorders>
            <w:vAlign w:val="center"/>
          </w:tcPr>
          <w:p w14:paraId="7EA38D5B"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Average Degree</w:t>
            </w:r>
          </w:p>
        </w:tc>
        <w:tc>
          <w:tcPr>
            <w:tcW w:w="1490" w:type="pct"/>
            <w:tcBorders>
              <w:top w:val="nil"/>
              <w:left w:val="nil"/>
              <w:bottom w:val="nil"/>
              <w:right w:val="nil"/>
            </w:tcBorders>
            <w:vAlign w:val="center"/>
          </w:tcPr>
          <w:p w14:paraId="6372E6AD"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5.90</w:t>
            </w:r>
          </w:p>
        </w:tc>
        <w:tc>
          <w:tcPr>
            <w:tcW w:w="1063" w:type="pct"/>
            <w:tcBorders>
              <w:top w:val="nil"/>
              <w:left w:val="nil"/>
              <w:bottom w:val="nil"/>
              <w:right w:val="nil"/>
            </w:tcBorders>
            <w:vAlign w:val="center"/>
          </w:tcPr>
          <w:p w14:paraId="4A08562F"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6.71</w:t>
            </w:r>
          </w:p>
        </w:tc>
        <w:tc>
          <w:tcPr>
            <w:tcW w:w="1064" w:type="pct"/>
            <w:tcBorders>
              <w:top w:val="nil"/>
              <w:left w:val="nil"/>
              <w:bottom w:val="nil"/>
              <w:right w:val="nil"/>
            </w:tcBorders>
            <w:vAlign w:val="center"/>
          </w:tcPr>
          <w:p w14:paraId="3CDF3306"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8.94</w:t>
            </w:r>
          </w:p>
        </w:tc>
      </w:tr>
      <w:tr w:rsidR="008C45F9" w:rsidRPr="000876A4" w14:paraId="63FAF261" w14:textId="77777777" w:rsidTr="00411108">
        <w:trPr>
          <w:trHeight w:val="403"/>
          <w:jc w:val="center"/>
        </w:trPr>
        <w:tc>
          <w:tcPr>
            <w:tcW w:w="1383" w:type="pct"/>
            <w:tcBorders>
              <w:top w:val="nil"/>
              <w:left w:val="nil"/>
              <w:bottom w:val="nil"/>
              <w:right w:val="nil"/>
            </w:tcBorders>
            <w:vAlign w:val="center"/>
          </w:tcPr>
          <w:p w14:paraId="1986A718"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Average Path Length</w:t>
            </w:r>
          </w:p>
        </w:tc>
        <w:tc>
          <w:tcPr>
            <w:tcW w:w="1490" w:type="pct"/>
            <w:tcBorders>
              <w:top w:val="nil"/>
              <w:left w:val="nil"/>
              <w:bottom w:val="nil"/>
              <w:right w:val="nil"/>
            </w:tcBorders>
            <w:vAlign w:val="center"/>
          </w:tcPr>
          <w:p w14:paraId="5DC515C4"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2.34</w:t>
            </w:r>
          </w:p>
        </w:tc>
        <w:tc>
          <w:tcPr>
            <w:tcW w:w="1063" w:type="pct"/>
            <w:tcBorders>
              <w:top w:val="nil"/>
              <w:left w:val="nil"/>
              <w:bottom w:val="nil"/>
              <w:right w:val="nil"/>
            </w:tcBorders>
            <w:vAlign w:val="center"/>
          </w:tcPr>
          <w:p w14:paraId="6CE0D612"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2.01</w:t>
            </w:r>
          </w:p>
        </w:tc>
        <w:tc>
          <w:tcPr>
            <w:tcW w:w="1064" w:type="pct"/>
            <w:tcBorders>
              <w:top w:val="nil"/>
              <w:left w:val="nil"/>
              <w:bottom w:val="nil"/>
              <w:right w:val="nil"/>
            </w:tcBorders>
            <w:vAlign w:val="center"/>
          </w:tcPr>
          <w:p w14:paraId="08815087"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2.52</w:t>
            </w:r>
          </w:p>
        </w:tc>
      </w:tr>
      <w:tr w:rsidR="008C45F9" w:rsidRPr="000876A4" w14:paraId="3252EB4B" w14:textId="77777777" w:rsidTr="00411108">
        <w:trPr>
          <w:trHeight w:val="437"/>
          <w:jc w:val="center"/>
        </w:trPr>
        <w:tc>
          <w:tcPr>
            <w:tcW w:w="1383" w:type="pct"/>
            <w:tcBorders>
              <w:top w:val="nil"/>
              <w:left w:val="nil"/>
              <w:bottom w:val="nil"/>
              <w:right w:val="nil"/>
            </w:tcBorders>
            <w:vAlign w:val="center"/>
          </w:tcPr>
          <w:p w14:paraId="2D315AF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Clustering Coefficient</w:t>
            </w:r>
          </w:p>
        </w:tc>
        <w:tc>
          <w:tcPr>
            <w:tcW w:w="1490" w:type="pct"/>
            <w:tcBorders>
              <w:top w:val="nil"/>
              <w:left w:val="nil"/>
              <w:bottom w:val="nil"/>
              <w:right w:val="nil"/>
            </w:tcBorders>
            <w:vAlign w:val="center"/>
          </w:tcPr>
          <w:p w14:paraId="597A9203"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0.44</w:t>
            </w:r>
          </w:p>
        </w:tc>
        <w:tc>
          <w:tcPr>
            <w:tcW w:w="1063" w:type="pct"/>
            <w:tcBorders>
              <w:top w:val="nil"/>
              <w:left w:val="nil"/>
              <w:bottom w:val="nil"/>
              <w:right w:val="nil"/>
            </w:tcBorders>
            <w:vAlign w:val="center"/>
          </w:tcPr>
          <w:p w14:paraId="4E405B59"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0.51</w:t>
            </w:r>
          </w:p>
        </w:tc>
        <w:tc>
          <w:tcPr>
            <w:tcW w:w="1064" w:type="pct"/>
            <w:tcBorders>
              <w:top w:val="nil"/>
              <w:left w:val="nil"/>
              <w:bottom w:val="nil"/>
              <w:right w:val="nil"/>
            </w:tcBorders>
            <w:vAlign w:val="center"/>
          </w:tcPr>
          <w:p w14:paraId="15FD528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0.53</w:t>
            </w:r>
          </w:p>
        </w:tc>
      </w:tr>
      <w:tr w:rsidR="008C45F9" w:rsidRPr="000876A4" w14:paraId="01A79B66" w14:textId="77777777" w:rsidTr="00411108">
        <w:trPr>
          <w:jc w:val="center"/>
        </w:trPr>
        <w:tc>
          <w:tcPr>
            <w:tcW w:w="1383" w:type="pct"/>
            <w:tcBorders>
              <w:top w:val="nil"/>
              <w:left w:val="nil"/>
              <w:bottom w:val="nil"/>
              <w:right w:val="nil"/>
            </w:tcBorders>
            <w:vAlign w:val="center"/>
          </w:tcPr>
          <w:p w14:paraId="32195A37"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Heterogeneity</w:t>
            </w:r>
          </w:p>
        </w:tc>
        <w:tc>
          <w:tcPr>
            <w:tcW w:w="1490" w:type="pct"/>
            <w:tcBorders>
              <w:top w:val="nil"/>
              <w:left w:val="nil"/>
              <w:bottom w:val="nil"/>
              <w:right w:val="nil"/>
            </w:tcBorders>
            <w:vAlign w:val="center"/>
          </w:tcPr>
          <w:p w14:paraId="11A6ABC7"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0.97</w:t>
            </w:r>
          </w:p>
        </w:tc>
        <w:tc>
          <w:tcPr>
            <w:tcW w:w="1063" w:type="pct"/>
            <w:tcBorders>
              <w:top w:val="nil"/>
              <w:left w:val="nil"/>
              <w:bottom w:val="nil"/>
              <w:right w:val="nil"/>
            </w:tcBorders>
            <w:vAlign w:val="center"/>
          </w:tcPr>
          <w:p w14:paraId="4218A2D2"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0.91</w:t>
            </w:r>
          </w:p>
        </w:tc>
        <w:tc>
          <w:tcPr>
            <w:tcW w:w="1064" w:type="pct"/>
            <w:tcBorders>
              <w:top w:val="nil"/>
              <w:left w:val="nil"/>
              <w:bottom w:val="nil"/>
              <w:right w:val="nil"/>
            </w:tcBorders>
            <w:vAlign w:val="center"/>
          </w:tcPr>
          <w:p w14:paraId="462B2E9A"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0.93</w:t>
            </w:r>
          </w:p>
        </w:tc>
      </w:tr>
      <w:tr w:rsidR="008C45F9" w:rsidRPr="000876A4" w14:paraId="4FEDFAD9" w14:textId="77777777" w:rsidTr="00411108">
        <w:trPr>
          <w:jc w:val="center"/>
        </w:trPr>
        <w:tc>
          <w:tcPr>
            <w:tcW w:w="1383" w:type="pct"/>
            <w:tcBorders>
              <w:top w:val="nil"/>
              <w:left w:val="nil"/>
              <w:bottom w:val="nil"/>
              <w:right w:val="nil"/>
            </w:tcBorders>
            <w:vAlign w:val="center"/>
          </w:tcPr>
          <w:p w14:paraId="1601362E"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Modularity</w:t>
            </w:r>
          </w:p>
        </w:tc>
        <w:tc>
          <w:tcPr>
            <w:tcW w:w="1490" w:type="pct"/>
            <w:tcBorders>
              <w:top w:val="nil"/>
              <w:left w:val="nil"/>
              <w:bottom w:val="nil"/>
              <w:right w:val="nil"/>
            </w:tcBorders>
            <w:vAlign w:val="center"/>
          </w:tcPr>
          <w:p w14:paraId="478836F0"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0.33</w:t>
            </w:r>
          </w:p>
        </w:tc>
        <w:tc>
          <w:tcPr>
            <w:tcW w:w="1063" w:type="pct"/>
            <w:tcBorders>
              <w:top w:val="nil"/>
              <w:left w:val="nil"/>
              <w:bottom w:val="nil"/>
              <w:right w:val="nil"/>
            </w:tcBorders>
            <w:vAlign w:val="center"/>
          </w:tcPr>
          <w:p w14:paraId="4FB06B5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0.35</w:t>
            </w:r>
          </w:p>
        </w:tc>
        <w:tc>
          <w:tcPr>
            <w:tcW w:w="1064" w:type="pct"/>
            <w:tcBorders>
              <w:top w:val="nil"/>
              <w:left w:val="nil"/>
              <w:bottom w:val="nil"/>
              <w:right w:val="nil"/>
            </w:tcBorders>
            <w:vAlign w:val="center"/>
          </w:tcPr>
          <w:p w14:paraId="3E11E794"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0.30</w:t>
            </w:r>
          </w:p>
        </w:tc>
      </w:tr>
      <w:tr w:rsidR="008C45F9" w:rsidRPr="000876A4" w14:paraId="65608C3F" w14:textId="77777777" w:rsidTr="00411108">
        <w:trPr>
          <w:jc w:val="center"/>
        </w:trPr>
        <w:tc>
          <w:tcPr>
            <w:tcW w:w="1383" w:type="pct"/>
            <w:tcBorders>
              <w:top w:val="nil"/>
              <w:left w:val="nil"/>
              <w:bottom w:val="nil"/>
              <w:right w:val="nil"/>
            </w:tcBorders>
            <w:vAlign w:val="center"/>
          </w:tcPr>
          <w:p w14:paraId="77BD27C0"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Positive links (%)</w:t>
            </w:r>
          </w:p>
        </w:tc>
        <w:tc>
          <w:tcPr>
            <w:tcW w:w="1490" w:type="pct"/>
            <w:tcBorders>
              <w:top w:val="nil"/>
              <w:left w:val="nil"/>
              <w:bottom w:val="nil"/>
              <w:right w:val="nil"/>
            </w:tcBorders>
            <w:vAlign w:val="center"/>
          </w:tcPr>
          <w:p w14:paraId="2EAAF78C"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53.04</w:t>
            </w:r>
          </w:p>
        </w:tc>
        <w:tc>
          <w:tcPr>
            <w:tcW w:w="1063" w:type="pct"/>
            <w:tcBorders>
              <w:top w:val="nil"/>
              <w:left w:val="nil"/>
              <w:bottom w:val="nil"/>
              <w:right w:val="nil"/>
            </w:tcBorders>
            <w:vAlign w:val="center"/>
          </w:tcPr>
          <w:p w14:paraId="6FE7870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51.91</w:t>
            </w:r>
          </w:p>
        </w:tc>
        <w:tc>
          <w:tcPr>
            <w:tcW w:w="1064" w:type="pct"/>
            <w:tcBorders>
              <w:top w:val="nil"/>
              <w:left w:val="nil"/>
              <w:bottom w:val="nil"/>
              <w:right w:val="nil"/>
            </w:tcBorders>
            <w:vAlign w:val="center"/>
          </w:tcPr>
          <w:p w14:paraId="203326B4"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50.68</w:t>
            </w:r>
          </w:p>
        </w:tc>
      </w:tr>
      <w:tr w:rsidR="008C45F9" w:rsidRPr="000876A4" w14:paraId="0F795ED3" w14:textId="77777777" w:rsidTr="00411108">
        <w:trPr>
          <w:jc w:val="center"/>
        </w:trPr>
        <w:tc>
          <w:tcPr>
            <w:tcW w:w="1383" w:type="pct"/>
            <w:tcBorders>
              <w:top w:val="nil"/>
              <w:left w:val="nil"/>
              <w:bottom w:val="single" w:sz="4" w:space="0" w:color="auto"/>
              <w:right w:val="nil"/>
            </w:tcBorders>
            <w:vAlign w:val="center"/>
          </w:tcPr>
          <w:p w14:paraId="43F14A5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 Modules</w:t>
            </w:r>
          </w:p>
        </w:tc>
        <w:tc>
          <w:tcPr>
            <w:tcW w:w="1490" w:type="pct"/>
            <w:tcBorders>
              <w:top w:val="nil"/>
              <w:left w:val="nil"/>
              <w:bottom w:val="single" w:sz="4" w:space="0" w:color="auto"/>
              <w:right w:val="nil"/>
            </w:tcBorders>
            <w:vAlign w:val="center"/>
          </w:tcPr>
          <w:p w14:paraId="1ABCE1D1"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10</w:t>
            </w:r>
          </w:p>
        </w:tc>
        <w:tc>
          <w:tcPr>
            <w:tcW w:w="1063" w:type="pct"/>
            <w:tcBorders>
              <w:top w:val="nil"/>
              <w:left w:val="nil"/>
              <w:bottom w:val="single" w:sz="4" w:space="0" w:color="auto"/>
              <w:right w:val="nil"/>
            </w:tcBorders>
            <w:vAlign w:val="center"/>
          </w:tcPr>
          <w:p w14:paraId="5B2FC0FA"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11</w:t>
            </w:r>
          </w:p>
        </w:tc>
        <w:tc>
          <w:tcPr>
            <w:tcW w:w="1064" w:type="pct"/>
            <w:tcBorders>
              <w:top w:val="nil"/>
              <w:left w:val="nil"/>
              <w:bottom w:val="single" w:sz="4" w:space="0" w:color="auto"/>
              <w:right w:val="nil"/>
            </w:tcBorders>
            <w:vAlign w:val="center"/>
          </w:tcPr>
          <w:p w14:paraId="520B1D8C" w14:textId="77777777" w:rsidR="008C45F9" w:rsidRPr="000876A4" w:rsidRDefault="008C45F9" w:rsidP="00411108">
            <w:pPr>
              <w:spacing w:line="360" w:lineRule="auto"/>
              <w:jc w:val="center"/>
              <w:rPr>
                <w:rFonts w:ascii="Times New Roman" w:hAnsi="Times New Roman" w:cs="Times New Roman"/>
                <w:sz w:val="20"/>
                <w:szCs w:val="20"/>
                <w:lang w:val="en-US"/>
              </w:rPr>
            </w:pPr>
            <w:r w:rsidRPr="000876A4">
              <w:rPr>
                <w:rFonts w:ascii="Times New Roman" w:hAnsi="Times New Roman" w:cs="Times New Roman"/>
                <w:sz w:val="20"/>
                <w:szCs w:val="20"/>
                <w:lang w:val="en-US"/>
              </w:rPr>
              <w:t>8</w:t>
            </w:r>
          </w:p>
        </w:tc>
      </w:tr>
    </w:tbl>
    <w:p w14:paraId="3E378BC2" w14:textId="77777777" w:rsidR="008C45F9" w:rsidRPr="000876A4" w:rsidRDefault="008C45F9" w:rsidP="008C45F9">
      <w:pPr>
        <w:rPr>
          <w:rFonts w:ascii="Times New Roman" w:hAnsi="Times New Roman" w:cs="Times New Roman"/>
          <w:lang w:val="en-US"/>
        </w:rPr>
      </w:pPr>
    </w:p>
    <w:p w14:paraId="73F979C6" w14:textId="77777777" w:rsidR="008C45F9" w:rsidRPr="000876A4" w:rsidRDefault="008C45F9" w:rsidP="008C45F9">
      <w:pPr>
        <w:rPr>
          <w:rFonts w:ascii="Times New Roman" w:hAnsi="Times New Roman" w:cs="Times New Roman"/>
          <w:lang w:val="en-US"/>
        </w:rPr>
      </w:pPr>
    </w:p>
    <w:p w14:paraId="44C19B23" w14:textId="77777777" w:rsidR="008C45F9" w:rsidRPr="000876A4" w:rsidRDefault="008C45F9" w:rsidP="008C45F9">
      <w:pPr>
        <w:rPr>
          <w:rFonts w:ascii="Times New Roman" w:hAnsi="Times New Roman" w:cs="Times New Roman"/>
          <w:lang w:val="en-US"/>
        </w:rPr>
      </w:pPr>
    </w:p>
    <w:p w14:paraId="28A97A95" w14:textId="77777777" w:rsidR="00C7046B" w:rsidRDefault="00C7046B"/>
    <w:sectPr w:rsidR="00C704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F9"/>
    <w:rsid w:val="00093C5B"/>
    <w:rsid w:val="000A5D21"/>
    <w:rsid w:val="000C66E1"/>
    <w:rsid w:val="00105E73"/>
    <w:rsid w:val="001B40F8"/>
    <w:rsid w:val="00274EA0"/>
    <w:rsid w:val="002D1D04"/>
    <w:rsid w:val="002D3995"/>
    <w:rsid w:val="0037545F"/>
    <w:rsid w:val="00450E26"/>
    <w:rsid w:val="004B669D"/>
    <w:rsid w:val="005602A8"/>
    <w:rsid w:val="008C45F9"/>
    <w:rsid w:val="00A6506B"/>
    <w:rsid w:val="00A8353B"/>
    <w:rsid w:val="00B21712"/>
    <w:rsid w:val="00BB591C"/>
    <w:rsid w:val="00C215E1"/>
    <w:rsid w:val="00C67C67"/>
    <w:rsid w:val="00C7046B"/>
    <w:rsid w:val="00CC7DE9"/>
    <w:rsid w:val="00D267E6"/>
    <w:rsid w:val="00D27CE8"/>
    <w:rsid w:val="00DE18AE"/>
    <w:rsid w:val="00E42F2F"/>
    <w:rsid w:val="00E97A22"/>
    <w:rsid w:val="00EB2EAF"/>
    <w:rsid w:val="00F47600"/>
    <w:rsid w:val="00F64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121D"/>
  <w15:chartTrackingRefBased/>
  <w15:docId w15:val="{B45B0B3C-CC65-4992-9131-BF2083A2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5F9"/>
  </w:style>
  <w:style w:type="paragraph" w:styleId="Ttulo1">
    <w:name w:val="heading 1"/>
    <w:basedOn w:val="Normal"/>
    <w:next w:val="Normal"/>
    <w:link w:val="Ttulo1Car"/>
    <w:uiPriority w:val="9"/>
    <w:qFormat/>
    <w:rsid w:val="008C4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8C4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45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45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45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45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45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45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45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45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8C45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45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45F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45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45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45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45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45F9"/>
    <w:rPr>
      <w:rFonts w:eastAsiaTheme="majorEastAsia" w:cstheme="majorBidi"/>
      <w:color w:val="272727" w:themeColor="text1" w:themeTint="D8"/>
    </w:rPr>
  </w:style>
  <w:style w:type="paragraph" w:styleId="Ttulo">
    <w:name w:val="Title"/>
    <w:basedOn w:val="Normal"/>
    <w:next w:val="Normal"/>
    <w:link w:val="TtuloCar"/>
    <w:uiPriority w:val="10"/>
    <w:qFormat/>
    <w:rsid w:val="008C4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45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45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45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45F9"/>
    <w:pPr>
      <w:spacing w:before="160"/>
      <w:jc w:val="center"/>
    </w:pPr>
    <w:rPr>
      <w:i/>
      <w:iCs/>
      <w:color w:val="404040" w:themeColor="text1" w:themeTint="BF"/>
    </w:rPr>
  </w:style>
  <w:style w:type="character" w:customStyle="1" w:styleId="CitaCar">
    <w:name w:val="Cita Car"/>
    <w:basedOn w:val="Fuentedeprrafopredeter"/>
    <w:link w:val="Cita"/>
    <w:uiPriority w:val="29"/>
    <w:rsid w:val="008C45F9"/>
    <w:rPr>
      <w:i/>
      <w:iCs/>
      <w:color w:val="404040" w:themeColor="text1" w:themeTint="BF"/>
    </w:rPr>
  </w:style>
  <w:style w:type="paragraph" w:styleId="Prrafodelista">
    <w:name w:val="List Paragraph"/>
    <w:basedOn w:val="Normal"/>
    <w:uiPriority w:val="34"/>
    <w:qFormat/>
    <w:rsid w:val="008C45F9"/>
    <w:pPr>
      <w:ind w:left="720"/>
      <w:contextualSpacing/>
    </w:pPr>
  </w:style>
  <w:style w:type="character" w:styleId="nfasisintenso">
    <w:name w:val="Intense Emphasis"/>
    <w:basedOn w:val="Fuentedeprrafopredeter"/>
    <w:uiPriority w:val="21"/>
    <w:qFormat/>
    <w:rsid w:val="008C45F9"/>
    <w:rPr>
      <w:i/>
      <w:iCs/>
      <w:color w:val="0F4761" w:themeColor="accent1" w:themeShade="BF"/>
    </w:rPr>
  </w:style>
  <w:style w:type="paragraph" w:styleId="Citadestacada">
    <w:name w:val="Intense Quote"/>
    <w:basedOn w:val="Normal"/>
    <w:next w:val="Normal"/>
    <w:link w:val="CitadestacadaCar"/>
    <w:uiPriority w:val="30"/>
    <w:qFormat/>
    <w:rsid w:val="008C4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45F9"/>
    <w:rPr>
      <w:i/>
      <w:iCs/>
      <w:color w:val="0F4761" w:themeColor="accent1" w:themeShade="BF"/>
    </w:rPr>
  </w:style>
  <w:style w:type="character" w:styleId="Referenciaintensa">
    <w:name w:val="Intense Reference"/>
    <w:basedOn w:val="Fuentedeprrafopredeter"/>
    <w:uiPriority w:val="32"/>
    <w:qFormat/>
    <w:rsid w:val="008C45F9"/>
    <w:rPr>
      <w:b/>
      <w:bCs/>
      <w:smallCaps/>
      <w:color w:val="0F4761" w:themeColor="accent1" w:themeShade="BF"/>
      <w:spacing w:val="5"/>
    </w:rPr>
  </w:style>
  <w:style w:type="paragraph" w:styleId="Descripcin">
    <w:name w:val="caption"/>
    <w:basedOn w:val="Normal"/>
    <w:next w:val="Normal"/>
    <w:uiPriority w:val="35"/>
    <w:unhideWhenUsed/>
    <w:qFormat/>
    <w:rsid w:val="008C45F9"/>
    <w:pPr>
      <w:spacing w:after="200" w:line="240" w:lineRule="auto"/>
    </w:pPr>
    <w:rPr>
      <w:i/>
      <w:iCs/>
      <w:color w:val="0E2841" w:themeColor="text2"/>
      <w:sz w:val="18"/>
      <w:szCs w:val="18"/>
    </w:rPr>
  </w:style>
  <w:style w:type="table" w:styleId="Tablaconcuadrcula">
    <w:name w:val="Table Grid"/>
    <w:basedOn w:val="Tablanormal"/>
    <w:uiPriority w:val="39"/>
    <w:rsid w:val="008C45F9"/>
    <w:pPr>
      <w:spacing w:after="0" w:line="240" w:lineRule="auto"/>
    </w:pPr>
    <w:rPr>
      <w:rFonts w:ascii="Aptos" w:eastAsia="Aptos" w:hAnsi="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C45F9"/>
    <w:rPr>
      <w:sz w:val="16"/>
      <w:szCs w:val="16"/>
    </w:rPr>
  </w:style>
  <w:style w:type="paragraph" w:styleId="Textocomentario">
    <w:name w:val="annotation text"/>
    <w:basedOn w:val="Normal"/>
    <w:link w:val="TextocomentarioCar"/>
    <w:uiPriority w:val="99"/>
    <w:unhideWhenUsed/>
    <w:rsid w:val="008C45F9"/>
    <w:pPr>
      <w:spacing w:line="240" w:lineRule="auto"/>
    </w:pPr>
    <w:rPr>
      <w:sz w:val="20"/>
      <w:szCs w:val="20"/>
    </w:rPr>
  </w:style>
  <w:style w:type="character" w:customStyle="1" w:styleId="TextocomentarioCar">
    <w:name w:val="Texto comentario Car"/>
    <w:basedOn w:val="Fuentedeprrafopredeter"/>
    <w:link w:val="Textocomentario"/>
    <w:uiPriority w:val="99"/>
    <w:rsid w:val="008C45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754</Words>
  <Characters>4151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de la Garza Varela</dc:creator>
  <cp:keywords/>
  <dc:description/>
  <cp:lastModifiedBy>Alonso  de la Garza Varela</cp:lastModifiedBy>
  <cp:revision>11</cp:revision>
  <dcterms:created xsi:type="dcterms:W3CDTF">2026-05-13T21:20:00Z</dcterms:created>
  <dcterms:modified xsi:type="dcterms:W3CDTF">2026-06-26T00:14:00Z</dcterms:modified>
</cp:coreProperties>
</file>