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2A2A5" w14:textId="77777777" w:rsidR="00B62D87" w:rsidRPr="005D2ECF" w:rsidRDefault="00B62D87" w:rsidP="00B62D87">
      <w:pPr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Supplemental Material</w:t>
      </w:r>
    </w:p>
    <w:p w14:paraId="6746818F" w14:textId="77777777" w:rsidR="00B62D87" w:rsidRPr="005D2ECF" w:rsidRDefault="00B62D87" w:rsidP="00B62D87">
      <w:pPr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10E5638B" wp14:editId="703A68F2">
            <wp:extent cx="5731510" cy="8072755"/>
            <wp:effectExtent l="19050" t="19050" r="21590" b="23495"/>
            <wp:docPr id="99853102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31020" name="그림 9985310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E54130" w14:textId="77777777" w:rsidR="00B62D87" w:rsidRPr="00C527CA" w:rsidRDefault="00B62D87" w:rsidP="00B62D87">
      <w:pPr>
        <w:pStyle w:val="BodyTex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Supplemental Figure 1 | Astrocyte transcriptomic dissociation context.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(A)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Comprehensive gene expression changes (Bins 0.2–0.4 to 0.6–0.8) across 29 selected key genes grouped by functional category.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(B)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TFRC–ANLS coupling at the bin level (r = +0.666).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(C)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Iron gene trajectories (TFRC, FTH1, FTL, CP) showing directionally consistent co-decline with ANLS.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(D)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Ragulator subunit trajectories (LAMTOR1, LAMTOR2, LAMTOR3, LAMTOR4, LAMTOR5) showing parallel decline.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(E)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NHE6 (SLC9A6) and PTGDS dynamics with PTGDS compensatory peak annotated at Bin 0.6.</w:t>
      </w:r>
    </w:p>
    <w:p w14:paraId="74029A0A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2DC560A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79DD8064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1937676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513469B4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62C7FA40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CD85D9D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038C2D40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33B0A23A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A4C6AD5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00AB261B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0E17A2E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518FC2C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A8EF189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68D4EE88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BCFC879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7D4AA777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34077472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D0B08C4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B5C0864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4BABF38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B46877C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BC8661B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6201ED47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7EF8A3F7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3B73F81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80C0C9B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14C80DC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3EF836A3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5354E654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6A4017C6" wp14:editId="37DD069C">
            <wp:extent cx="5729605" cy="4057650"/>
            <wp:effectExtent l="19050" t="19050" r="23495" b="19050"/>
            <wp:docPr id="164445620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5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14F98E" w14:textId="77777777" w:rsidR="00B62D87" w:rsidRPr="00A115F3" w:rsidRDefault="00B62D87" w:rsidP="00B62D87">
      <w:pPr>
        <w:pStyle w:val="BodyTex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Supplemental Figure 2 | Temporal ordering and donor-level CPS-independent coupling. (A)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Event timeline showing sequential ordering: MCT4 decline onset (Bin 0.3) precedes LMR decline (Bin 0.4), and iron-gene co-decline (Bin 0.5); the PTGDS/EAAT2/ATP1A2 compensatory peak (Bin 0.6) is followed by PTGDS collapse (Bin 0.7).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(B)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Lysosomal metabolic reserve (LMR) composite trajectory: decline precedes the iron-gene change-point by one pseudo-progression bin.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(C)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PTGDS, EAAT2, and ATP1A2 compensatory peak at Bin 0.6 within the metabolic transition zone (shaded), marking the metabolic overload checkpoint. </w:t>
      </w:r>
    </w:p>
    <w:p w14:paraId="6EB6C301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355355EE" wp14:editId="59145B55">
            <wp:extent cx="5705475" cy="4027804"/>
            <wp:effectExtent l="19050" t="19050" r="9525" b="11430"/>
            <wp:docPr id="161503342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71" cy="4031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63F878" w14:textId="77777777" w:rsidR="00B62D87" w:rsidRPr="00C527CA" w:rsidRDefault="00B62D87" w:rsidP="00B62D87">
      <w:pPr>
        <w:pStyle w:val="BodyTex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Supplemental Figure 3 | Parallel routes to lysosomal acidification failure.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Left: the energetic route identified in this study — astrocytic ANLS disruption reduces lactate delivery to neurons, potentially limiting V-ATPase ATP supply despite preserved pump expression ('energy-starved lysosome'). Right: the structural route described by Lee et al. — ApoE4-dependent cholesterol accumulation disrupts V-ATPase assembly. Both routes converge on impaired lysosomal acidification and PANTHOS. In ApoE4 carriers, both mechanisms may operate simultaneously; in sporadic AD, the energetic route may provide a complementary pathway. Key statistics from this study annotated.</w:t>
      </w:r>
    </w:p>
    <w:p w14:paraId="3A3FFE38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408701A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2C17369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2752E15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0475922E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D75AB2E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634CD98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02BFF772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9847EDF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0B03FC2C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32EDCF38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683369C3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176D568D" w14:textId="77777777" w:rsidR="00B62D87" w:rsidRPr="005D2ECF" w:rsidRDefault="00B62D87" w:rsidP="00B62D87">
      <w:pPr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lastRenderedPageBreak/>
        <w:t xml:space="preserve">Supporting Data Values: </w:t>
      </w:r>
      <w:r>
        <w:rPr>
          <w:rFonts w:ascii="Times New Roman" w:hAnsi="Times New Roman" w:cs="Times New Roman"/>
          <w:szCs w:val="22"/>
        </w:rPr>
        <w:t>Astrocyte gene expression values across pseudo-progression bins for all 179 genes. These data are also provided as a separate Excel file (Supporting Data Values).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5"/>
        <w:gridCol w:w="1453"/>
        <w:gridCol w:w="1741"/>
        <w:gridCol w:w="1741"/>
        <w:gridCol w:w="1500"/>
      </w:tblGrid>
      <w:tr w:rsidR="00B62D87" w:rsidRPr="005D2ECF" w14:paraId="5D88F7D1" w14:textId="77777777" w:rsidTr="00065C2F">
        <w:trPr>
          <w:tblHeader/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589E2A9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Gene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46D5257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Category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7A0A558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Bins 0.2–0.4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798061C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Bins 0.6–0.8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4D33F69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% Change</w:t>
            </w:r>
          </w:p>
        </w:tc>
      </w:tr>
      <w:tr w:rsidR="00B62D87" w:rsidRPr="005D2ECF" w14:paraId="793E21A8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806C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SLC16A3 (MCT4)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827A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6101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0.0633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3A40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0.0360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7CB4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-43.2%</w:t>
            </w:r>
          </w:p>
        </w:tc>
      </w:tr>
      <w:tr w:rsidR="00B62D87" w:rsidRPr="005D2ECF" w14:paraId="662D76BC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E132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HK2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1B96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17B8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0.0726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CDA3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0.0470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C203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-35.2%</w:t>
            </w:r>
          </w:p>
        </w:tc>
      </w:tr>
      <w:tr w:rsidR="00B62D87" w:rsidRPr="005D2ECF" w14:paraId="617A7583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0FB6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LDHA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ADC2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D276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0.1053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E573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0.0834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4B1E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-20.8%</w:t>
            </w:r>
          </w:p>
        </w:tc>
      </w:tr>
      <w:tr w:rsidR="00B62D87" w:rsidRPr="005D2ECF" w14:paraId="1D958BA2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B071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SLC16A1 (MCT1)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B074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2B1B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0.0645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8968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0.0573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41CE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-11.1%</w:t>
            </w:r>
          </w:p>
        </w:tc>
      </w:tr>
      <w:tr w:rsidR="00B62D87" w:rsidRPr="005D2ECF" w14:paraId="002DF476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A84CB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SLC2A1 (GLUT1)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5296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21D1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0.1301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3294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0.1204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2DFB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-7.4%</w:t>
            </w:r>
          </w:p>
        </w:tc>
      </w:tr>
      <w:tr w:rsidR="00B62D87" w:rsidRPr="005D2ECF" w14:paraId="0516A92C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7F91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V-ATPase (10 sub.)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B668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V-ATPase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957C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0.2978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96E7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0.2954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FD12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-0.8%</w:t>
            </w:r>
          </w:p>
        </w:tc>
      </w:tr>
      <w:tr w:rsidR="00B62D87" w:rsidRPr="005D2ECF" w14:paraId="1B6A74AB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4A9B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LAMP1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FBC2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Lysosomal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2FD5D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0.160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EABA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0.166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C21D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+3.6%</w:t>
            </w:r>
          </w:p>
        </w:tc>
      </w:tr>
      <w:tr w:rsidR="00B62D87" w:rsidRPr="005D2ECF" w14:paraId="01409FDB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A95D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CTSB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44601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Lysosomal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E84D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0.092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AAB81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0.102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262A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+10.4%</w:t>
            </w:r>
          </w:p>
        </w:tc>
      </w:tr>
      <w:tr w:rsidR="00B62D87" w:rsidRPr="005D2ECF" w14:paraId="1CB3C2B4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1449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TFRC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118E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Iron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4C57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0.2757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87E9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0.2441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D885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-11.5%</w:t>
            </w:r>
          </w:p>
        </w:tc>
      </w:tr>
      <w:tr w:rsidR="00B62D87" w:rsidRPr="005D2ECF" w14:paraId="12072C7F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1321B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FTH1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C10E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Iron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202C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1.553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16C5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1.254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68D4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-19.2%</w:t>
            </w:r>
          </w:p>
        </w:tc>
      </w:tr>
      <w:tr w:rsidR="00B62D87" w:rsidRPr="005D2ECF" w14:paraId="11CF9AEC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2CB1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CP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6321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Iron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2BB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0.167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5EE7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0.093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9FCB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-44.7%</w:t>
            </w:r>
          </w:p>
        </w:tc>
      </w:tr>
      <w:tr w:rsidR="00B62D87" w:rsidRPr="005D2ECF" w14:paraId="0BD79034" w14:textId="77777777" w:rsidTr="00065C2F">
        <w:trPr>
          <w:tblCellSpacing w:w="15" w:type="dxa"/>
        </w:trPr>
        <w:tc>
          <w:tcPr>
            <w:tcW w:w="1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6FEF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SLC9A6 (NHE6)</w:t>
            </w:r>
          </w:p>
        </w:tc>
        <w:tc>
          <w:tcPr>
            <w:tcW w:w="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F27A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pH reg.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15C8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0.158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6A01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0.177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8B3D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+12.2%</w:t>
            </w:r>
          </w:p>
        </w:tc>
      </w:tr>
    </w:tbl>
    <w:p w14:paraId="67C3D99A" w14:textId="77777777" w:rsidR="00B62D87" w:rsidRPr="005D2ECF" w:rsidRDefault="00B62D87" w:rsidP="00B62D87">
      <w:pPr>
        <w:jc w:val="both"/>
        <w:rPr>
          <w:rFonts w:ascii="Times New Roman" w:hAnsi="Times New Roman" w:cs="Times New Roman"/>
          <w:i/>
          <w:iCs/>
          <w:szCs w:val="22"/>
        </w:rPr>
      </w:pPr>
      <w:r>
        <w:rPr>
          <w:rFonts w:ascii="Times New Roman" w:hAnsi="Times New Roman" w:cs="Times New Roman"/>
          <w:b/>
          <w:bCs/>
          <w:i/>
          <w:iCs/>
          <w:szCs w:val="22"/>
        </w:rPr>
        <w:t>Note:</w:t>
      </w:r>
      <w:r>
        <w:rPr>
          <w:rFonts w:ascii="Times New Roman" w:hAnsi="Times New Roman" w:cs="Times New Roman"/>
          <w:i/>
          <w:iCs/>
          <w:szCs w:val="22"/>
        </w:rPr>
        <w:t xml:space="preserve"> Bins 0.2–0.4 = early pseudo-progression; Bins 0.6–0.8 = late pseudo-progression. Bin 0.1 excluded due to extreme subtype dominance (Astro_6-SEAAD 54.1%, Astro_3 31.1%; combined 85.2%); sensitivity analysis including Bin 0.1 confirmed all primary findings (Supplemental Table 1). Values are mean log-normalized expression across n = 67,419 astrocytes.</w:t>
      </w:r>
    </w:p>
    <w:p w14:paraId="5F7FEA6B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49510647" w14:textId="77777777" w:rsidR="00B62D87" w:rsidRDefault="00B62D87" w:rsidP="00B62D8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 xml:space="preserve">Supplemental Table 1. </w:t>
      </w:r>
      <w:r>
        <w:rPr>
          <w:rFonts w:ascii="Times New Roman" w:hAnsi="Times New Roman" w:cs="Times New Roman"/>
          <w:szCs w:val="22"/>
        </w:rPr>
        <w:t>Complete partial correlation analyses and Bin 0.1 sensitivity analyses (transcriptomic) at bin and donor levels.</w:t>
      </w:r>
    </w:p>
    <w:p w14:paraId="446AB1DA" w14:textId="77777777" w:rsidR="00B62D87" w:rsidRPr="005D2ECF" w:rsidRDefault="00B62D87" w:rsidP="00B62D87">
      <w:pPr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Part A: Donor-level partial correlations (CPS-adjusted, n = 84)</w:t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"/>
        <w:gridCol w:w="933"/>
        <w:gridCol w:w="1074"/>
        <w:gridCol w:w="878"/>
        <w:gridCol w:w="1049"/>
        <w:gridCol w:w="835"/>
        <w:gridCol w:w="1147"/>
        <w:gridCol w:w="852"/>
        <w:gridCol w:w="1362"/>
      </w:tblGrid>
      <w:tr w:rsidR="00B62D87" w:rsidRPr="005D2ECF" w14:paraId="0DAB5FEA" w14:textId="77777777" w:rsidTr="00065C2F">
        <w:trPr>
          <w:tblHeader/>
          <w:tblCellSpacing w:w="15" w:type="dxa"/>
        </w:trPr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4C35CCC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Level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46FE3DF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Astro marker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229D269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Neuron marker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01DE6F9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Zero-order r</w:t>
            </w: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4D6B833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3095B7E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Partial r (CPS-adj)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7ABC675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Partial p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28D45ED3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Change (%)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9F7" w:themeFill="text2" w:themeFillTint="1A"/>
            <w:vAlign w:val="center"/>
            <w:hideMark/>
          </w:tcPr>
          <w:p w14:paraId="76469AB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Interpretation</w:t>
            </w:r>
          </w:p>
        </w:tc>
      </w:tr>
      <w:tr w:rsidR="00B62D87" w:rsidRPr="005D2ECF" w14:paraId="49C622FD" w14:textId="77777777" w:rsidTr="00065C2F">
        <w:trPr>
          <w:tblCellSpacing w:w="15" w:type="dxa"/>
        </w:trPr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B554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Donor (n=84)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319E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MCT4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6551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V-ATPase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C3D5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+0.533</w:t>
            </w: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9D32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1.9×10⁻⁷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5460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+0.466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C0E0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8.0×10⁻⁶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2DEB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−12.5%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6C09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Survives CPS</w:t>
            </w:r>
          </w:p>
        </w:tc>
      </w:tr>
      <w:tr w:rsidR="00B62D87" w:rsidRPr="005D2ECF" w14:paraId="34006FEB" w14:textId="77777777" w:rsidTr="00065C2F">
        <w:trPr>
          <w:tblCellSpacing w:w="15" w:type="dxa"/>
        </w:trPr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9131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Donor (n=84)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EF2C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MCT4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4EC2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LAMP1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4538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+0.578</w:t>
            </w: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6620D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8.8×10⁻⁹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C630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+0.495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05A1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1.7×10⁻⁶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BF31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−14.3%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902E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Survives CPS</w:t>
            </w:r>
          </w:p>
        </w:tc>
      </w:tr>
      <w:tr w:rsidR="00B62D87" w:rsidRPr="005D2ECF" w14:paraId="68A76684" w14:textId="77777777" w:rsidTr="00065C2F">
        <w:trPr>
          <w:tblCellSpacing w:w="15" w:type="dxa"/>
        </w:trPr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25FB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Donor (n=84)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EC50D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MCT4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A47D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LDHB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2947D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+0.438</w:t>
            </w: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75EA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3.1×10⁻⁵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6B49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+0.407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BA84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1.2×10⁻⁴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28873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−7.1%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97E8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Survives CPS</w:t>
            </w:r>
          </w:p>
        </w:tc>
      </w:tr>
      <w:tr w:rsidR="00B62D87" w:rsidRPr="005D2ECF" w14:paraId="3866A55F" w14:textId="77777777" w:rsidTr="00065C2F">
        <w:trPr>
          <w:tblCellSpacing w:w="15" w:type="dxa"/>
        </w:trPr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4CA9D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Donor (n=84)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DE21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ANLS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8871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V-ATPase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46B2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+0.356</w:t>
            </w: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FAE87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8.9×10⁻⁴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76F7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+0.305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B52B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4.8×10⁻³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1ECE8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−14.3%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A6EBA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Attenuated</w:t>
            </w:r>
          </w:p>
        </w:tc>
      </w:tr>
    </w:tbl>
    <w:p w14:paraId="54E2F225" w14:textId="77777777" w:rsidR="00B62D87" w:rsidRPr="005D2ECF" w:rsidRDefault="00B62D87" w:rsidP="00B62D87">
      <w:pPr>
        <w:jc w:val="both"/>
        <w:rPr>
          <w:rFonts w:ascii="Times New Roman" w:hAnsi="Times New Roman" w:cs="Times New Roman"/>
          <w:i/>
          <w:iCs/>
          <w:szCs w:val="22"/>
        </w:rPr>
      </w:pPr>
      <w:r>
        <w:rPr>
          <w:rFonts w:ascii="Times New Roman" w:hAnsi="Times New Roman" w:cs="Times New Roman"/>
          <w:b/>
          <w:bCs/>
          <w:i/>
          <w:iCs/>
          <w:szCs w:val="22"/>
        </w:rPr>
        <w:t xml:space="preserve">Note: </w:t>
      </w:r>
      <w:r>
        <w:rPr>
          <w:rFonts w:ascii="Times New Roman" w:hAnsi="Times New Roman" w:cs="Times New Roman"/>
          <w:i/>
          <w:iCs/>
          <w:szCs w:val="22"/>
        </w:rPr>
        <w:t>Bin-level (trajectory) correlations across nine pseudo-progression bins are CPS-confounded and reported as secondary; the primary, between-donor cross-cellular statistics (true donor-level, n = 84; MCT4-V-ATPase partial r = +0.466, MCT4-LAMP1 +0.495, MCT4-LDHB +0.407) are given in Table 1. Partial correlations regress each variable on the CPS proxy and correlate residuals. ***p &lt; 0.001, **p &lt; 0.01, *p &lt; 0.05.</w:t>
      </w:r>
    </w:p>
    <w:p w14:paraId="21705DF8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6ED1B57A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Part B: Bin 0.1 sensitivity analysis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2256"/>
        <w:gridCol w:w="2433"/>
        <w:gridCol w:w="2079"/>
      </w:tblGrid>
      <w:tr w:rsidR="00B62D87" w:rsidRPr="005D2ECF" w14:paraId="6E15FE96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2C06F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b/>
                <w:bCs/>
                <w:szCs w:val="22"/>
              </w:rPr>
              <w:t>Analysis item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146FD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b/>
                <w:bCs/>
                <w:szCs w:val="22"/>
              </w:rPr>
              <w:t>Primary (Bin 0.1 excluded, n = 8)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12C4BF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b/>
                <w:bCs/>
                <w:szCs w:val="22"/>
              </w:rPr>
              <w:t>Sensitivity (Bin 0.1 included, n = 9)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12BE2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b/>
                <w:bCs/>
                <w:szCs w:val="22"/>
              </w:rPr>
              <w:t>Direction preserved?</w:t>
            </w:r>
          </w:p>
        </w:tc>
      </w:tr>
      <w:tr w:rsidR="00B62D87" w:rsidRPr="005D2ECF" w14:paraId="363EF8B9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D4BC9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MCT4 slope (β)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53257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−1.036 (p = 0.011)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D082A5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−0.727 (p = 0.016)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30D3E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 xml:space="preserve">Yes </w:t>
            </w:r>
            <w:r>
              <w:rPr>
                <w:rFonts w:ascii="Segoe UI Symbol" w:eastAsia="Arial" w:hAnsi="Segoe UI Symbol" w:cs="Segoe UI Symbol"/>
                <w:szCs w:val="22"/>
              </w:rPr>
              <w:t>✓</w:t>
            </w:r>
          </w:p>
        </w:tc>
      </w:tr>
      <w:tr w:rsidR="00B62D87" w:rsidRPr="005D2ECF" w14:paraId="0F572D72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D8B1F1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V-ATPase slope (β)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2F3123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−0.044 (p = 0.244, n.s.)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7CC33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−0.168 (p = 0.073, n.s.)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5AC57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 xml:space="preserve">Yes </w:t>
            </w:r>
            <w:r>
              <w:rPr>
                <w:rFonts w:ascii="Segoe UI Symbol" w:eastAsia="Arial" w:hAnsi="Segoe UI Symbol" w:cs="Segoe UI Symbol"/>
                <w:szCs w:val="22"/>
              </w:rPr>
              <w:t>✓</w:t>
            </w:r>
          </w:p>
        </w:tc>
      </w:tr>
      <w:tr w:rsidR="00B62D87" w:rsidRPr="005D2ECF" w14:paraId="76FA7558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772A8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Δslope MCT4 vs V-ATPase (p)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A68AA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p = 0.0005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210E5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p = 0.0217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2F0C6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 xml:space="preserve">Yes </w:t>
            </w:r>
            <w:r>
              <w:rPr>
                <w:rFonts w:ascii="Segoe UI Symbol" w:eastAsia="Arial" w:hAnsi="Segoe UI Symbol" w:cs="Segoe UI Symbol"/>
                <w:szCs w:val="22"/>
              </w:rPr>
              <w:t>✓</w:t>
            </w:r>
          </w:p>
        </w:tc>
      </w:tr>
      <w:tr w:rsidR="00B62D87" w:rsidRPr="005D2ECF" w14:paraId="5AABAB12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74B333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MCT4 % change (early→late)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0B535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−43.2%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880F36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−61.5%*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BC6641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Consistent</w:t>
            </w:r>
          </w:p>
        </w:tc>
      </w:tr>
      <w:tr w:rsidR="00B62D87" w:rsidRPr="005D2ECF" w14:paraId="7A92EB86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CEBB1E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V-ATPase % change (early→late)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ED1EC0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−0.8%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C19612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−8.8%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A72713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Preserved</w:t>
            </w:r>
          </w:p>
        </w:tc>
      </w:tr>
      <w:tr w:rsidR="00B62D87" w:rsidRPr="005D2ECF" w14:paraId="29026E4D" w14:textId="77777777" w:rsidTr="00065C2F"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627BF9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Bin 0.1 subtype composition</w:t>
            </w:r>
          </w:p>
        </w:tc>
        <w:tc>
          <w:tcPr>
            <w:tcW w:w="1250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3AE8E1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—</w:t>
            </w:r>
          </w:p>
        </w:tc>
        <w:tc>
          <w:tcPr>
            <w:tcW w:w="1348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04EF74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Astro_6-SEAAD 54.1% Astro_3 31.1% (combined 85.2%)</w:t>
            </w:r>
          </w:p>
        </w:tc>
        <w:tc>
          <w:tcPr>
            <w:tcW w:w="1152" w:type="pct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632EAC" w14:textId="77777777" w:rsidR="00B62D87" w:rsidRPr="005D2ECF" w:rsidRDefault="00B62D87" w:rsidP="00065C2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eastAsia="Arial" w:hAnsi="Times New Roman" w:cs="Times New Roman"/>
                <w:szCs w:val="22"/>
              </w:rPr>
              <w:t>Leverage point confirmed</w:t>
            </w:r>
          </w:p>
        </w:tc>
      </w:tr>
    </w:tbl>
    <w:p w14:paraId="5D4E5670" w14:textId="77777777" w:rsidR="00B62D87" w:rsidRPr="005D2ECF" w:rsidRDefault="00B62D87" w:rsidP="00B62D87">
      <w:pPr>
        <w:jc w:val="both"/>
        <w:rPr>
          <w:rFonts w:ascii="Times New Roman" w:hAnsi="Times New Roman" w:cs="Times New Roman"/>
          <w:i/>
          <w:iCs/>
          <w:szCs w:val="22"/>
        </w:rPr>
      </w:pPr>
      <w:r>
        <w:rPr>
          <w:rFonts w:ascii="Times New Roman" w:hAnsi="Times New Roman" w:cs="Times New Roman"/>
          <w:b/>
          <w:bCs/>
          <w:i/>
          <w:iCs/>
          <w:szCs w:val="22"/>
        </w:rPr>
        <w:t xml:space="preserve">Note: </w:t>
      </w:r>
      <w:r>
        <w:rPr>
          <w:rFonts w:ascii="Times New Roman" w:hAnsi="Times New Roman" w:cs="Times New Roman"/>
          <w:i/>
          <w:iCs/>
          <w:szCs w:val="22"/>
        </w:rPr>
        <w:t>Comparison of primary analysis (Bins 0.2–0.9, n = 8) versus sensitivity analysis including Bin 0.1 (n = 9). All primary findings were directionally preserved; the donor-level cross-cellular coupling was unaffected by this exclusion. The extreme subtype dominance in Bin 0.1 (Astro_6-SEAAD 54.1%, Astro_3 31.1%; combined 85.2%) confirms the rationale for conservative exclusion in the primary analysis. * The larger MCT4 % change with Bin 0.1 included reflects inflated apparent range due to Astro_6-SEAAD dominance — precisely the leverage effect motivating exclusion. n.s. = non-significant.</w:t>
      </w:r>
    </w:p>
    <w:p w14:paraId="2156F80E" w14:textId="77777777" w:rsidR="00B62D87" w:rsidRPr="005D2ECF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2077041C" w14:textId="77777777" w:rsidR="00B62D87" w:rsidRPr="007F35D4" w:rsidRDefault="00B62D87" w:rsidP="00B62D87">
      <w:pPr>
        <w:jc w:val="both"/>
        <w:rPr>
          <w:rFonts w:ascii="Times New Roman" w:hAnsi="Times New Roman" w:cs="Times New Roman"/>
          <w:szCs w:val="22"/>
        </w:rPr>
      </w:pPr>
    </w:p>
    <w:p w14:paraId="3578B500" w14:textId="77777777" w:rsidR="00E023F9" w:rsidRDefault="00E023F9"/>
    <w:sectPr w:rsidR="00E023F9" w:rsidSect="00B62D8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87"/>
    <w:rsid w:val="000C4033"/>
    <w:rsid w:val="00173ED8"/>
    <w:rsid w:val="002F50B1"/>
    <w:rsid w:val="004B42CB"/>
    <w:rsid w:val="005F2B46"/>
    <w:rsid w:val="006E1731"/>
    <w:rsid w:val="00866D74"/>
    <w:rsid w:val="00882A73"/>
    <w:rsid w:val="00906905"/>
    <w:rsid w:val="0095305D"/>
    <w:rsid w:val="00B10170"/>
    <w:rsid w:val="00B260B7"/>
    <w:rsid w:val="00B62D87"/>
    <w:rsid w:val="00B85331"/>
    <w:rsid w:val="00C94D66"/>
    <w:rsid w:val="00D8612D"/>
    <w:rsid w:val="00DE7E69"/>
    <w:rsid w:val="00E0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94755"/>
  <w15:chartTrackingRefBased/>
  <w15:docId w15:val="{9C52DC20-F413-4F39-A746-E3BB1B63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D87"/>
    <w:pPr>
      <w:widowControl w:val="0"/>
      <w:wordWrap w:val="0"/>
      <w:autoSpaceDE w:val="0"/>
      <w:autoSpaceDN w:val="0"/>
      <w:spacing w:line="240" w:lineRule="auto"/>
    </w:pPr>
    <w:rPr>
      <w:rFonts w:eastAsiaTheme="minorEastAsia"/>
      <w:sz w:val="22"/>
      <w:lang w:val="en-US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D87"/>
    <w:pPr>
      <w:keepNext/>
      <w:keepLines/>
      <w:widowControl/>
      <w:wordWrap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D87"/>
    <w:pPr>
      <w:keepNext/>
      <w:keepLines/>
      <w:widowControl/>
      <w:wordWrap/>
      <w:autoSpaceDE/>
      <w:autoSpaceDN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D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D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D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D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D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D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D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D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D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D87"/>
    <w:pPr>
      <w:widowControl/>
      <w:wordWrap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62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D87"/>
    <w:pPr>
      <w:widowControl/>
      <w:numPr>
        <w:ilvl w:val="1"/>
      </w:numPr>
      <w:wordWrap/>
      <w:autoSpaceDE/>
      <w:autoSpaceDN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62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D87"/>
    <w:pPr>
      <w:widowControl/>
      <w:wordWrap/>
      <w:autoSpaceDE/>
      <w:autoSpaceDN/>
      <w:spacing w:before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62D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D87"/>
    <w:pPr>
      <w:widowControl/>
      <w:wordWrap/>
      <w:autoSpaceDE/>
      <w:autoSpaceDN/>
      <w:spacing w:line="278" w:lineRule="auto"/>
      <w:ind w:left="720"/>
      <w:contextualSpacing/>
    </w:pPr>
    <w:rPr>
      <w:rFonts w:eastAsiaTheme="minorHAnsi"/>
      <w:sz w:val="24"/>
      <w:lang w:val="en-IN" w:eastAsia="en-US"/>
    </w:rPr>
  </w:style>
  <w:style w:type="character" w:styleId="IntenseEmphasis">
    <w:name w:val="Intense Emphasis"/>
    <w:basedOn w:val="DefaultParagraphFont"/>
    <w:uiPriority w:val="21"/>
    <w:qFormat/>
    <w:rsid w:val="00B62D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D87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wordWrap/>
      <w:autoSpaceDE/>
      <w:autoSpaceDN/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D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D8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B62D87"/>
    <w:pPr>
      <w:widowControl/>
      <w:wordWrap/>
      <w:autoSpaceDE/>
      <w:autoSpaceDN/>
      <w:spacing w:before="180" w:after="180"/>
    </w:pPr>
    <w:rPr>
      <w:kern w:val="0"/>
      <w:sz w:val="24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B62D87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763</Words>
  <Characters>4355</Characters>
  <Application>Microsoft Office Word</Application>
  <DocSecurity>0</DocSecurity>
  <Lines>36</Lines>
  <Paragraphs>10</Paragraphs>
  <ScaleCrop>false</ScaleCrop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2026-07-15T21:48:00Z</dcterms:created>
  <dcterms:modified xsi:type="dcterms:W3CDTF">2026-07-15T21:48:00Z</dcterms:modified>
</cp:coreProperties>
</file>