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A7C93" w14:textId="37ADAEA9" w:rsidR="00A00A94" w:rsidRPr="00A00A94" w:rsidRDefault="00A00A94" w:rsidP="00A00A94">
      <w:pPr>
        <w:rPr>
          <w:b/>
          <w:lang w:val="en-US"/>
        </w:rPr>
      </w:pPr>
      <w:r w:rsidRPr="00A00A94">
        <w:rPr>
          <w:b/>
          <w:lang w:val="en-US"/>
        </w:rPr>
        <w:drawing>
          <wp:inline distT="0" distB="0" distL="0" distR="0" wp14:anchorId="3BAF83A8" wp14:editId="19E3151D">
            <wp:extent cx="5267325" cy="3276600"/>
            <wp:effectExtent l="0" t="0" r="9525" b="0"/>
            <wp:docPr id="501632199" name="Picture 4" descr="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A94">
        <w:rPr>
          <w:b/>
          <w:lang w:val="en-US"/>
        </w:rPr>
        <w:t>Fig.S1 The shoots of parent and different progeny lines in tea plants</w:t>
      </w:r>
    </w:p>
    <w:p w14:paraId="3839ED51" w14:textId="77777777" w:rsidR="00A00A94" w:rsidRPr="00A00A94" w:rsidRDefault="00A00A94" w:rsidP="00A00A94">
      <w:pPr>
        <w:rPr>
          <w:lang w:val="en-US"/>
        </w:rPr>
      </w:pPr>
      <w:r w:rsidRPr="00A00A94">
        <w:rPr>
          <w:lang w:val="en-US"/>
        </w:rPr>
        <w:br w:type="page"/>
      </w:r>
    </w:p>
    <w:p w14:paraId="21521511" w14:textId="3877EF80" w:rsidR="00A00A94" w:rsidRPr="00A00A94" w:rsidRDefault="00A00A94" w:rsidP="00A00A94">
      <w:pPr>
        <w:rPr>
          <w:b/>
          <w:lang w:val="en-US"/>
        </w:rPr>
      </w:pPr>
      <w:r w:rsidRPr="00A00A94">
        <w:rPr>
          <w:b/>
          <w:lang w:val="en-US"/>
        </w:rPr>
        <w:lastRenderedPageBreak/>
        <w:drawing>
          <wp:inline distT="0" distB="0" distL="0" distR="0" wp14:anchorId="575A909B" wp14:editId="071E8243">
            <wp:extent cx="5267325" cy="2657475"/>
            <wp:effectExtent l="0" t="0" r="9525" b="9525"/>
            <wp:docPr id="1334433821" name="Picture 3" descr="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s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A94">
        <w:rPr>
          <w:b/>
          <w:lang w:val="en-US"/>
        </w:rPr>
        <w:t>Fig. S2 Clustered heatmaps of gene expression profiles for key secondary metabolite pathways in tea plant</w:t>
      </w:r>
    </w:p>
    <w:p w14:paraId="64FF0271" w14:textId="77777777" w:rsidR="00A00A94" w:rsidRPr="00A00A94" w:rsidRDefault="00A00A94" w:rsidP="00A00A94">
      <w:pPr>
        <w:rPr>
          <w:lang w:val="en-US"/>
        </w:rPr>
      </w:pPr>
      <w:r w:rsidRPr="00A00A94">
        <w:rPr>
          <w:bCs/>
          <w:lang w:val="en-US"/>
        </w:rPr>
        <w:t>(A). catechin pathway genes. (B). caffeine pathway genes. (C). theanine pathway genes. Each heatmap shows expression levels of the indicated genes (Y-axis) across 15 tea accessions (X-axis: two parents and 13 F₁ hybrids). Color gradient (red: high expression; blue: low expression) represents transcript abundance across samples.</w:t>
      </w:r>
    </w:p>
    <w:p w14:paraId="260D9E04" w14:textId="77777777" w:rsidR="00A00A94" w:rsidRPr="00A00A94" w:rsidRDefault="00A00A94" w:rsidP="00A00A94">
      <w:pPr>
        <w:rPr>
          <w:lang w:val="en-US"/>
        </w:rPr>
      </w:pPr>
    </w:p>
    <w:p w14:paraId="7373C7AE" w14:textId="77777777" w:rsidR="00A00A94" w:rsidRPr="00A00A94" w:rsidRDefault="00A00A94" w:rsidP="00A00A94">
      <w:pPr>
        <w:rPr>
          <w:lang w:val="en-US"/>
        </w:rPr>
      </w:pPr>
    </w:p>
    <w:p w14:paraId="6E5DEB5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94"/>
    <w:rsid w:val="00767E38"/>
    <w:rsid w:val="00866F7D"/>
    <w:rsid w:val="00A00A94"/>
    <w:rsid w:val="00C73124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8EF3E"/>
  <w15:chartTrackingRefBased/>
  <w15:docId w15:val="{5E652FCF-2C35-41AF-8629-9B9A2FD5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A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A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A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A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A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A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A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A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A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A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A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2026-07-02T18:26:00Z</dcterms:created>
  <dcterms:modified xsi:type="dcterms:W3CDTF">2026-07-02T18:26:00Z</dcterms:modified>
</cp:coreProperties>
</file>