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CARE (CAse REport) Checklis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Manuscript Title: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Concurrent Factor XI and Factor XII Deficiency with Suspected Diminished Factor XIII Activity in a Young Bangladeshi Male: A Rare Case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Submission ID: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7d04f904-e8f6-413e-bf7b-70f879597dc7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Corresponding Author: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Md. Nazmul Hasan, Cumilla Medical College, Cumilla, Bangladesh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Reporting Guideline Used: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CARE Guidelines (2013 Checklist), www.care-statement.org/checklist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85862656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20"/>
            <w:gridCol w:w="3660"/>
            <w:gridCol w:w="2340"/>
            <w:gridCol w:w="2340"/>
            <w:tblGridChange w:id="0">
              <w:tblGrid>
                <w:gridCol w:w="1020"/>
                <w:gridCol w:w="3660"/>
                <w:gridCol w:w="2340"/>
                <w:gridCol w:w="23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Item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CARE Checklist Item Description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Reported on Page / Section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Notes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Title – The diagnosis or intervention of primary focus followed by the words “case report”.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Title page, p.1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Title includes diagnosis (“Concurrent Factor XI and Factor XII Deficiency with Suspected Diminished Factor XIII Activity”) and ends with “A Rare Case Report”.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Key Words – 2 to 5 key words that identify diagnoses or interventions in this case report (including “case report”).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Keywords section, p.1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Six keywords listed: Combined factor deficiency; Factor XI deficiency; Factor XII deficiency; Factor XIII deficiency; Inherited coagulopathy; Prolonged aPTT. Consider adding the term “case report” to the keyword list.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Abstract (structured or unstructured):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Introduction – what is unique about this case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A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Patient's main concerns and clinical findings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B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Primary diagnoses, interventions and outcomes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spacing w:after="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Conclusion / take-away lessons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Abstract, p.1 (Background, Case Presentation, Conclusion subheadings)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Structured abstract present with Background, Case Presentation and Conclusion subheadings, covering diagnosis, treatment (FFP) and outcome.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Introduction – briefly summarises why this case is unique and may include literature references.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Introduction, paras 1–4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Explains rarity of concurrent FXI/FXII deficiency and notes no prior case reported from Bangladesh, with supporting references [1–5].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Patient Information: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5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De-identified patient-specific information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Primary concerns and symptoms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Medical, family and psychosocial history, incl. genetic information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spacing w:after="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Relevant past interventions and outcomes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Case Presentation – “Initial Presentation (2006) at Age 3 years”, and “Clinical Summary at Current Presentation (Age 23)”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23-year-old Bangladeshi male, de-identified; presenting complaint of prolonged bleeding since age 3; family history (no consanguinity, no relatives affected) and past FFP transfusions documented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Clinical Findings – describe significant physical examination (PE) and important clinical findings.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Case Presentation, “Initial Presentation (2006)” paragraph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Bleeding over upper incisor region, absence of pallor, normal temperature, and progression of findings across 2006, 2015 and 2017 visits described.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Timeline – historical and current information organised as a timeline (figure or table).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Table 4 (“Summary of Clinical Findings, Diagnostic Workup and Management Timeline”)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Table 4 presents a structured timeline of events from 2006 to 2017 with corresponding ages, findings and interventions.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Diagnostic Assessment: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5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Diagnostic methods (PE, labs, imaging, surveys)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6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Diagnostic challenges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7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Diagnosis, including other diagnoses considered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8">
                <w:pPr>
                  <w:spacing w:after="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Prognostic characteristics, when applicable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Tables 1–3; “Diagnosis” and “Differential Diagnosis” subsections; Discussion section 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Sequential coagulation factor assays (Tables 1–3); diagnostic delay discussed in Discussion “A. Diagnostic Challenge of Isolated Prolonged aPTT”; differential diagnoses (vWD, Haemophilia A/B, Vitamin K deficiency) explicitly excluded.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Therapeutic Intervention: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D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Types of intervention (pharmacologic, surgical, preventive)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E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Administration (dosage, strength, duration)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F">
                <w:pPr>
                  <w:spacing w:after="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Changes in intervention with explanations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“Treatment” subsection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Fresh Frozen Plasma (FFP) transfusions detailed by episode and unit count (e.g., 2 units for dental bleeding at age 9; 2–3 units for lip laceration at age 3); antibiotic therapy for secondary infection also noted.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Follow-up and Outcomes: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4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Clinician- and patient-assessed outcomes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5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Important follow-up diagnostic results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6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Intervention adherence and tolerability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7">
                <w:pPr>
                  <w:spacing w:after="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Adverse and unanticipated events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“Outcome and follow-up” subsection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Hemostasis achieved in all documented episodes; no intracranial or life-threatening bleeds; advice given to avoid IM injections and contact sports.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Discussion: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C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Strengths and limitations of approach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D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Discussion of relevant medical literature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E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Rationale for conclusions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F">
                <w:pPr>
                  <w:spacing w:after="40" w:lineRule="auto"/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• Take-away lessons (one paragraph, no references)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Discussion (subsections A–F) and Limitations and Conclusions sections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rPr/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Literature contextualised with references [1–17]; Limitations section explicitly addresses lack of quantitative FXIII assay, molecular testing and family screening; Conclusions section provides reference-free take-away summary.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Patient Perspective – the patient should share their perspective on the treatment(s) received.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Not reported in current manuscript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Not applicable / not currently included – the manuscript does not contain a direct patient-perspective statement. Authors should add a brief patient-perspective statement (even one sentence, e.g. quoting the patient's view on long-term management) or explicitly state why this could not be obtained.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Informed Consent – the patient should give informed consent (provided if requested).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Declaration – “B. Consent to publish”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Written informed consent for publication of the case report and images obtained from the patient; consent form available to the editor upon request.</w:t>
                </w:r>
              </w:p>
            </w:tc>
          </w:tr>
        </w:tbl>
      </w:sdtContent>
    </w:sdt>
    <w:p w:rsidR="00000000" w:rsidDel="00000000" w:rsidP="00000000" w:rsidRDefault="00000000" w:rsidRPr="00000000" w14:paraId="0000005A">
      <w:pPr>
        <w:spacing w:after="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80" w:before="24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 checklist items are addressed in the manuscript with the exception of Item 12 (Patient Perspective), which is not currently included as a discrete statement. Authors are advised to add a short patient-perspective sentence to the Case Presentation or Discussion section, or state explicitly that this could not be obtained, before final submission.</w:t>
      </w:r>
    </w:p>
    <w:p w:rsidR="00000000" w:rsidDel="00000000" w:rsidP="00000000" w:rsidRDefault="00000000" w:rsidRPr="00000000" w14:paraId="0000005E">
      <w:pPr>
        <w:spacing w:after="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jc w:val="center"/>
      <w:rPr/>
    </w:pPr>
    <w:r w:rsidDel="00000000" w:rsidR="00000000" w:rsidRPr="00000000">
      <w:rPr>
        <w:rFonts w:ascii="Times New Roman" w:cs="Times New Roman" w:eastAsia="Times New Roman" w:hAnsi="Times New Roman"/>
        <w:color w:val="888888"/>
        <w:sz w:val="16"/>
        <w:szCs w:val="16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BK22op2xLms3Lxdfrgz8UgvS0w==">CgMxLjAaHwoBMBIaChgICVIUChJ0YWJsZS4xc2JpcHN4M2E1YmU4AHIhMXRuSFVCUWNKNlUwSkdiYTFSay01aGVfMDdvU0g1Snp1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