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2F74F" w14:textId="77777777" w:rsidR="00B97E49" w:rsidRDefault="00000000">
      <w:pPr>
        <w:pStyle w:val="Title"/>
      </w:pPr>
      <w:r>
        <w:t>Expanded Statistical Appendix</w:t>
      </w:r>
    </w:p>
    <w:p w14:paraId="2C96597B" w14:textId="77777777" w:rsidR="00B97E49" w:rsidRDefault="00000000">
      <w:pPr>
        <w:pStyle w:val="Heading1"/>
      </w:pPr>
      <w:r>
        <w:t>1. Study Design</w:t>
      </w:r>
    </w:p>
    <w:p w14:paraId="1EF39DF9" w14:textId="1BA09AEA" w:rsidR="00B97E49" w:rsidRDefault="00000000">
      <w:r>
        <w:t xml:space="preserve">Retrospective </w:t>
      </w:r>
      <w:r w:rsidR="008737BD">
        <w:t xml:space="preserve">multicenter multinational </w:t>
      </w:r>
      <w:r>
        <w:t>cohort of 1,238 patients treated with Rezūm therapy. Consecutive inclusion, predefined follow-up at 3, 6, 12, and 24 months.</w:t>
      </w:r>
    </w:p>
    <w:p w14:paraId="03002E94" w14:textId="77777777" w:rsidR="00B97E49" w:rsidRDefault="00000000">
      <w:pPr>
        <w:pStyle w:val="Heading1"/>
      </w:pPr>
      <w:r>
        <w:t>2. Endpoints</w:t>
      </w:r>
    </w:p>
    <w:p w14:paraId="3907A46E" w14:textId="77777777" w:rsidR="00B97E49" w:rsidRDefault="00000000">
      <w:r>
        <w:t>Primary endpoint: longitudinal IPSS improvement. Secondary endpoints: QoL, Qmax, PVR, retreatment-free survival, urinary retention, re-catheterization, complications, satisfaction.</w:t>
      </w:r>
    </w:p>
    <w:p w14:paraId="753BE06F" w14:textId="77777777" w:rsidR="00B97E49" w:rsidRDefault="00000000">
      <w:pPr>
        <w:pStyle w:val="Heading1"/>
      </w:pPr>
      <w:r>
        <w:t>3. Data Dictionary</w:t>
      </w:r>
    </w:p>
    <w:p w14:paraId="151DF651" w14:textId="77777777" w:rsidR="00B97E49" w:rsidRDefault="00000000">
      <w:r>
        <w:t>Demographics, comorbidities, medications, prostate anatomy, procedural variables, perioperative outcomes, longitudinal functional outcomes, survival endpoints, and patient-reported outcomes.</w:t>
      </w:r>
    </w:p>
    <w:p w14:paraId="397F3BCC" w14:textId="77777777" w:rsidR="00B97E49" w:rsidRDefault="00000000">
      <w:pPr>
        <w:pStyle w:val="Heading1"/>
      </w:pPr>
      <w:r>
        <w:t>4. Missing Data</w:t>
      </w:r>
    </w:p>
    <w:p w14:paraId="6125C7B1" w14:textId="77777777" w:rsidR="00B97E49" w:rsidRDefault="00000000">
      <w:r>
        <w:t>Continuous variables assessed for completeness. Missing follow-up values assumed missing at random and handled within mixed-effects modeling framework.</w:t>
      </w:r>
    </w:p>
    <w:p w14:paraId="016AAF31" w14:textId="77777777" w:rsidR="00B97E49" w:rsidRDefault="00000000">
      <w:pPr>
        <w:pStyle w:val="Heading1"/>
      </w:pPr>
      <w:r>
        <w:t>5. Descriptive Statistics</w:t>
      </w:r>
    </w:p>
    <w:p w14:paraId="74CF8EC3" w14:textId="77777777" w:rsidR="00B97E49" w:rsidRDefault="00000000">
      <w:r>
        <w:t>Continuous variables summarized as mean±SD or median (IQR). Categorical variables summarized as frequencies and percentages.</w:t>
      </w:r>
    </w:p>
    <w:p w14:paraId="59A4D63C" w14:textId="77777777" w:rsidR="00B97E49" w:rsidRDefault="00000000">
      <w:pPr>
        <w:pStyle w:val="Heading1"/>
      </w:pPr>
      <w:r>
        <w:t>6. Longitudinal Modeling</w:t>
      </w:r>
    </w:p>
    <w:p w14:paraId="23BBA9B8" w14:textId="77777777" w:rsidR="00B97E49" w:rsidRDefault="00000000">
      <w:r>
        <w:t>Repeated-measures mixed-effects models with patient-level random intercepts. Estimated marginal means and 95% confidence intervals generated at each follow-up visit.</w:t>
      </w:r>
    </w:p>
    <w:p w14:paraId="716ABD3A" w14:textId="77777777" w:rsidR="00B97E49" w:rsidRDefault="00000000">
      <w:pPr>
        <w:pStyle w:val="Heading1"/>
      </w:pPr>
      <w:r>
        <w:t>7. Survival Analysis</w:t>
      </w:r>
    </w:p>
    <w:p w14:paraId="26EA3B8E" w14:textId="77777777" w:rsidR="00B97E49" w:rsidRDefault="00000000">
      <w:r>
        <w:t>Kaplan–Meier methodology used for retreatment-free survival, freedom from retention, freedom from re-catheterization, and event-free durability. Greenwood variance used for confidence intervals.</w:t>
      </w:r>
    </w:p>
    <w:p w14:paraId="02FB7634" w14:textId="77777777" w:rsidR="00B97E49" w:rsidRDefault="00000000">
      <w:pPr>
        <w:pStyle w:val="Heading1"/>
      </w:pPr>
      <w:r>
        <w:lastRenderedPageBreak/>
        <w:t>8. Multivariable Modeling</w:t>
      </w:r>
    </w:p>
    <w:p w14:paraId="03F2648A" w14:textId="77777777" w:rsidR="00B97E49" w:rsidRDefault="00000000">
      <w:r>
        <w:t>Logistic regression and proportional hazards models incorporating age, BMI, prostate volume, baseline PVR, median lobe, diabetes, prior retention, baseline IPSS, and baseline Qmax.</w:t>
      </w:r>
    </w:p>
    <w:p w14:paraId="0507A5BB" w14:textId="77777777" w:rsidR="00B97E49" w:rsidRDefault="00000000">
      <w:pPr>
        <w:pStyle w:val="Heading1"/>
      </w:pPr>
      <w:r>
        <w:t>9. Model Performance</w:t>
      </w:r>
    </w:p>
    <w:p w14:paraId="116DA5C3" w14:textId="77777777" w:rsidR="00B97E49" w:rsidRDefault="00000000">
      <w:r>
        <w:t>ROC analysis, AUC estimation, calibration assessment, and decision-curve analysis.</w:t>
      </w:r>
    </w:p>
    <w:p w14:paraId="367CE9D8" w14:textId="77777777" w:rsidR="00B97E49" w:rsidRDefault="00000000">
      <w:pPr>
        <w:pStyle w:val="Heading1"/>
      </w:pPr>
      <w:r>
        <w:t>10. Sensitivity Analyses</w:t>
      </w:r>
    </w:p>
    <w:p w14:paraId="7123D27A" w14:textId="77777777" w:rsidR="00B97E49" w:rsidRDefault="00000000">
      <w:r>
        <w:t>Alternative durable-response definitions, exclusion of early failures, high-volume prostates, median-lobe subgroup, prior-retention subgroup.</w:t>
      </w:r>
    </w:p>
    <w:p w14:paraId="064E941A" w14:textId="77777777" w:rsidR="00B97E49" w:rsidRDefault="00000000">
      <w:pPr>
        <w:pStyle w:val="Heading1"/>
      </w:pPr>
      <w:r>
        <w:t>11. Subgroup Analyses</w:t>
      </w:r>
    </w:p>
    <w:p w14:paraId="0F944DA4" w14:textId="77777777" w:rsidR="00B97E49" w:rsidRDefault="00000000">
      <w:r>
        <w:t>Age, prostate volume, median lobe status, baseline retention, diabetes status, baseline PVR strata.</w:t>
      </w:r>
    </w:p>
    <w:p w14:paraId="477335CA" w14:textId="77777777" w:rsidR="00B97E49" w:rsidRDefault="00000000">
      <w:pPr>
        <w:pStyle w:val="Heading1"/>
      </w:pPr>
      <w:r>
        <w:t>12. Assumption Checking</w:t>
      </w:r>
    </w:p>
    <w:p w14:paraId="29E35C7A" w14:textId="77777777" w:rsidR="00B97E49" w:rsidRDefault="00000000">
      <w:r>
        <w:t>Assessment of collinearity, residual distributions, proportional hazards assumptions, and calibration slope/intercept.</w:t>
      </w:r>
    </w:p>
    <w:p w14:paraId="125F82D9" w14:textId="77777777" w:rsidR="00B97E49" w:rsidRDefault="00000000">
      <w:pPr>
        <w:pStyle w:val="Heading1"/>
      </w:pPr>
      <w:r>
        <w:t>13. Supplemental Tables</w:t>
      </w:r>
    </w:p>
    <w:p w14:paraId="752B8017" w14:textId="77777777" w:rsidR="00B97E49" w:rsidRDefault="00000000">
      <w:r>
        <w:t>Suggested Tables S1-S10 including full regression coefficients, subgroup analyses, adverse events, and patient-reported outcomes.</w:t>
      </w:r>
    </w:p>
    <w:p w14:paraId="20DDFA94" w14:textId="77777777" w:rsidR="00B97E49" w:rsidRDefault="00000000">
      <w:pPr>
        <w:pStyle w:val="Heading1"/>
      </w:pPr>
      <w:r>
        <w:t>14. Supplemental Figures</w:t>
      </w:r>
    </w:p>
    <w:p w14:paraId="7EE2BBC8" w14:textId="77777777" w:rsidR="00B97E49" w:rsidRDefault="00000000">
      <w:r>
        <w:t>Suggested Figures S1-S8 including calibration plots, ROC curves, subgroup forest plots, and sensitivity analyses.</w:t>
      </w:r>
    </w:p>
    <w:p w14:paraId="5B4AD473" w14:textId="77777777" w:rsidR="00B97E49" w:rsidRDefault="00000000">
      <w:pPr>
        <w:pStyle w:val="Heading1"/>
      </w:pPr>
      <w:r>
        <w:t>15. Reproducibility</w:t>
      </w:r>
    </w:p>
    <w:p w14:paraId="60C53616" w14:textId="77777777" w:rsidR="00B97E49" w:rsidRDefault="00000000">
      <w:r>
        <w:t>Analyses reproducible using Stata 18, R, or Python statistical frameworks. Two-sided alpha=0.05.</w:t>
      </w:r>
    </w:p>
    <w:sectPr w:rsidR="00B97E4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1352541">
    <w:abstractNumId w:val="8"/>
  </w:num>
  <w:num w:numId="2" w16cid:durableId="1243684053">
    <w:abstractNumId w:val="6"/>
  </w:num>
  <w:num w:numId="3" w16cid:durableId="822744751">
    <w:abstractNumId w:val="5"/>
  </w:num>
  <w:num w:numId="4" w16cid:durableId="1699820192">
    <w:abstractNumId w:val="4"/>
  </w:num>
  <w:num w:numId="5" w16cid:durableId="1554927303">
    <w:abstractNumId w:val="7"/>
  </w:num>
  <w:num w:numId="6" w16cid:durableId="87312592">
    <w:abstractNumId w:val="3"/>
  </w:num>
  <w:num w:numId="7" w16cid:durableId="430007236">
    <w:abstractNumId w:val="2"/>
  </w:num>
  <w:num w:numId="8" w16cid:durableId="484662211">
    <w:abstractNumId w:val="1"/>
  </w:num>
  <w:num w:numId="9" w16cid:durableId="644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7228"/>
    <w:rsid w:val="0029639D"/>
    <w:rsid w:val="00326F90"/>
    <w:rsid w:val="008737BD"/>
    <w:rsid w:val="00AA1D8D"/>
    <w:rsid w:val="00B47730"/>
    <w:rsid w:val="00B97E4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0C7AE9"/>
  <w14:defaultImageDpi w14:val="300"/>
  <w15:docId w15:val="{4B78BDC9-3437-784D-BB8C-49F67489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Buscarini, Maurizio</cp:lastModifiedBy>
  <cp:revision>2</cp:revision>
  <dcterms:created xsi:type="dcterms:W3CDTF">2026-06-16T10:41:00Z</dcterms:created>
  <dcterms:modified xsi:type="dcterms:W3CDTF">2026-06-16T10:41:00Z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ac8b426daa2e29de95bbd3851a913c72b752eeda5c3bb9518a39b3ebb8a1cc24</vt:lpwstr>
  </property>
</Properties>
</file>