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2"/>
        </w:rPr>
        <w:t>Supplementary Material</w:t>
      </w:r>
    </w:p>
    <w:p>
      <w:pPr>
        <w:spacing w:line="276" w:lineRule="auto" w:after="120"/>
      </w:pPr>
      <w:r>
        <w:t>Simulation-Based Assessment of Cancer-Associated cfDNA Methylation and miRNA Profiles for Forensic Molecular Inference: A Proof-of-Concept Machine-Learning Study</w:t>
      </w:r>
    </w:p>
    <w:p>
      <w:r>
        <w:rPr>
          <w:b/>
        </w:rPr>
        <w:t>Supplementary Table S1 Simulation components used to approximate forensic perturbation conditions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484"/>
        <w:gridCol w:w="2484"/>
        <w:gridCol w:w="2484"/>
        <w:gridCol w:w="2484"/>
      </w:tblGrid>
      <w:tr>
        <w:tc>
          <w:tcPr>
            <w:tcW w:type="dxa" w:w="2484"/>
            <w:vAlign w:val="center"/>
            <w:shd w:fill="D9EAF7"/>
          </w:tcPr>
          <w:p>
            <w:pPr>
              <w:jc w:val="center"/>
            </w:pPr>
            <w:r/>
            <w:r>
              <w:rPr>
                <w:b/>
                <w:sz w:val="18"/>
              </w:rPr>
              <w:t>Component</w:t>
            </w:r>
          </w:p>
        </w:tc>
        <w:tc>
          <w:tcPr>
            <w:tcW w:type="dxa" w:w="2484"/>
            <w:vAlign w:val="center"/>
            <w:shd w:fill="D9EAF7"/>
          </w:tcPr>
          <w:p>
            <w:pPr>
              <w:jc w:val="center"/>
            </w:pPr>
            <w:r/>
            <w:r>
              <w:rPr>
                <w:b/>
                <w:sz w:val="18"/>
              </w:rPr>
              <w:t>Simulation role</w:t>
            </w:r>
          </w:p>
        </w:tc>
        <w:tc>
          <w:tcPr>
            <w:tcW w:type="dxa" w:w="2484"/>
            <w:vAlign w:val="center"/>
            <w:shd w:fill="D9EAF7"/>
          </w:tcPr>
          <w:p>
            <w:pPr>
              <w:jc w:val="center"/>
            </w:pPr>
            <w:r/>
            <w:r>
              <w:rPr>
                <w:b/>
                <w:sz w:val="18"/>
              </w:rPr>
              <w:t>Forensic rationale</w:t>
            </w:r>
          </w:p>
        </w:tc>
        <w:tc>
          <w:tcPr>
            <w:tcW w:type="dxa" w:w="2484"/>
            <w:vAlign w:val="center"/>
            <w:shd w:fill="D9EAF7"/>
          </w:tcPr>
          <w:p>
            <w:pPr>
              <w:jc w:val="center"/>
            </w:pPr>
            <w:r/>
            <w:r>
              <w:rPr>
                <w:b/>
                <w:sz w:val="18"/>
              </w:rPr>
              <w:t>Interpretation limit</w:t>
            </w:r>
          </w:p>
        </w:tc>
      </w:tr>
      <w:tr>
        <w:tc>
          <w:tcPr>
            <w:tcW w:type="dxa" w:w="2484"/>
            <w:vAlign w:val="center"/>
          </w:tcPr>
          <w:p>
            <w:pPr>
              <w:jc w:val="left"/>
            </w:pPr>
            <w:r/>
            <w:r>
              <w:rPr>
                <w:b w:val="0"/>
                <w:sz w:val="18"/>
              </w:rPr>
              <w:t>Degradation</w:t>
            </w:r>
          </w:p>
        </w:tc>
        <w:tc>
          <w:tcPr>
            <w:tcW w:type="dxa" w:w="2484"/>
            <w:vAlign w:val="center"/>
          </w:tcPr>
          <w:p>
            <w:pPr>
              <w:jc w:val="center"/>
            </w:pPr>
            <w:r/>
            <w:r>
              <w:rPr>
                <w:b w:val="0"/>
                <w:sz w:val="18"/>
              </w:rPr>
              <w:t>Molecular signal attenuation</w:t>
            </w:r>
          </w:p>
        </w:tc>
        <w:tc>
          <w:tcPr>
            <w:tcW w:type="dxa" w:w="2484"/>
            <w:vAlign w:val="center"/>
          </w:tcPr>
          <w:p>
            <w:pPr>
              <w:jc w:val="center"/>
            </w:pPr>
            <w:r/>
            <w:r>
              <w:rPr>
                <w:b w:val="0"/>
                <w:sz w:val="18"/>
              </w:rPr>
              <w:t>Environmental exposure, time since deposition, UV, heat, humidity, microbial activity</w:t>
            </w:r>
          </w:p>
        </w:tc>
        <w:tc>
          <w:tcPr>
            <w:tcW w:type="dxa" w:w="2484"/>
            <w:vAlign w:val="center"/>
          </w:tcPr>
          <w:p>
            <w:pPr>
              <w:jc w:val="center"/>
            </w:pPr>
            <w:r/>
            <w:r>
              <w:rPr>
                <w:b w:val="0"/>
                <w:sz w:val="18"/>
              </w:rPr>
              <w:t>Not a measured crime-scene degradation rate</w:t>
            </w:r>
          </w:p>
        </w:tc>
      </w:tr>
      <w:tr>
        <w:tc>
          <w:tcPr>
            <w:tcW w:type="dxa" w:w="2484"/>
            <w:vAlign w:val="center"/>
          </w:tcPr>
          <w:p>
            <w:pPr>
              <w:jc w:val="left"/>
            </w:pPr>
            <w:r/>
            <w:r>
              <w:rPr>
                <w:b w:val="0"/>
                <w:sz w:val="18"/>
              </w:rPr>
              <w:t>Contamination</w:t>
            </w:r>
          </w:p>
        </w:tc>
        <w:tc>
          <w:tcPr>
            <w:tcW w:type="dxa" w:w="2484"/>
            <w:vAlign w:val="center"/>
          </w:tcPr>
          <w:p>
            <w:pPr>
              <w:jc w:val="center"/>
            </w:pPr>
            <w:r/>
            <w:r>
              <w:rPr>
                <w:b w:val="0"/>
                <w:sz w:val="18"/>
              </w:rPr>
              <w:t>Partial profile mixing</w:t>
            </w:r>
          </w:p>
        </w:tc>
        <w:tc>
          <w:tcPr>
            <w:tcW w:type="dxa" w:w="2484"/>
            <w:vAlign w:val="center"/>
          </w:tcPr>
          <w:p>
            <w:pPr>
              <w:jc w:val="center"/>
            </w:pPr>
            <w:r/>
            <w:r>
              <w:rPr>
                <w:b w:val="0"/>
                <w:sz w:val="18"/>
              </w:rPr>
              <w:t>Secondary transfer, environmental background, mixed-source deposition</w:t>
            </w:r>
          </w:p>
        </w:tc>
        <w:tc>
          <w:tcPr>
            <w:tcW w:type="dxa" w:w="2484"/>
            <w:vAlign w:val="center"/>
          </w:tcPr>
          <w:p>
            <w:pPr>
              <w:jc w:val="center"/>
            </w:pPr>
            <w:r/>
            <w:r>
              <w:rPr>
                <w:b w:val="0"/>
                <w:sz w:val="18"/>
              </w:rPr>
              <w:t>Not a real casework contamination frequency</w:t>
            </w:r>
          </w:p>
        </w:tc>
      </w:tr>
      <w:tr>
        <w:tc>
          <w:tcPr>
            <w:tcW w:type="dxa" w:w="2484"/>
            <w:vAlign w:val="center"/>
          </w:tcPr>
          <w:p>
            <w:pPr>
              <w:jc w:val="left"/>
            </w:pPr>
            <w:r/>
            <w:r>
              <w:rPr>
                <w:b w:val="0"/>
                <w:sz w:val="18"/>
              </w:rPr>
              <w:t>Analytical noise</w:t>
            </w:r>
          </w:p>
        </w:tc>
        <w:tc>
          <w:tcPr>
            <w:tcW w:type="dxa" w:w="2484"/>
            <w:vAlign w:val="center"/>
          </w:tcPr>
          <w:p>
            <w:pPr>
              <w:jc w:val="center"/>
            </w:pPr>
            <w:r/>
            <w:r>
              <w:rPr>
                <w:b w:val="0"/>
                <w:sz w:val="18"/>
              </w:rPr>
              <w:t>Random molecular variation</w:t>
            </w:r>
          </w:p>
        </w:tc>
        <w:tc>
          <w:tcPr>
            <w:tcW w:type="dxa" w:w="2484"/>
            <w:vAlign w:val="center"/>
          </w:tcPr>
          <w:p>
            <w:pPr>
              <w:jc w:val="center"/>
            </w:pPr>
            <w:r/>
            <w:r>
              <w:rPr>
                <w:b w:val="0"/>
                <w:sz w:val="18"/>
              </w:rPr>
              <w:t>Low-template input, assay variability, stochastic effects</w:t>
            </w:r>
          </w:p>
        </w:tc>
        <w:tc>
          <w:tcPr>
            <w:tcW w:type="dxa" w:w="2484"/>
            <w:vAlign w:val="center"/>
          </w:tcPr>
          <w:p>
            <w:pPr>
              <w:jc w:val="center"/>
            </w:pPr>
            <w:r/>
            <w:r>
              <w:rPr>
                <w:b w:val="0"/>
                <w:sz w:val="18"/>
              </w:rPr>
              <w:t>Sensitivity-analysis input only</w:t>
            </w:r>
          </w:p>
        </w:tc>
      </w:tr>
      <w:tr>
        <w:tc>
          <w:tcPr>
            <w:tcW w:type="dxa" w:w="2484"/>
            <w:vAlign w:val="center"/>
          </w:tcPr>
          <w:p>
            <w:pPr>
              <w:jc w:val="left"/>
            </w:pPr>
            <w:r/>
            <w:r>
              <w:rPr>
                <w:b w:val="0"/>
                <w:sz w:val="18"/>
              </w:rPr>
              <w:t>Class overlap</w:t>
            </w:r>
          </w:p>
        </w:tc>
        <w:tc>
          <w:tcPr>
            <w:tcW w:type="dxa" w:w="2484"/>
            <w:vAlign w:val="center"/>
          </w:tcPr>
          <w:p>
            <w:pPr>
              <w:jc w:val="center"/>
            </w:pPr>
            <w:r/>
            <w:r>
              <w:rPr>
                <w:b w:val="0"/>
                <w:sz w:val="18"/>
              </w:rPr>
              <w:t>Reduced between-group effect size</w:t>
            </w:r>
          </w:p>
        </w:tc>
        <w:tc>
          <w:tcPr>
            <w:tcW w:type="dxa" w:w="2484"/>
            <w:vAlign w:val="center"/>
          </w:tcPr>
          <w:p>
            <w:pPr>
              <w:jc w:val="center"/>
            </w:pPr>
            <w:r/>
            <w:r>
              <w:rPr>
                <w:b w:val="0"/>
                <w:sz w:val="18"/>
              </w:rPr>
              <w:t>Biological heterogeneity and non-specific biomarkers</w:t>
            </w:r>
          </w:p>
        </w:tc>
        <w:tc>
          <w:tcPr>
            <w:tcW w:type="dxa" w:w="2484"/>
            <w:vAlign w:val="center"/>
          </w:tcPr>
          <w:p>
            <w:pPr>
              <w:jc w:val="center"/>
            </w:pPr>
            <w:r/>
            <w:r>
              <w:rPr>
                <w:b w:val="0"/>
                <w:sz w:val="18"/>
              </w:rPr>
              <w:t>Prevents deterministic classification</w:t>
            </w:r>
          </w:p>
        </w:tc>
      </w:tr>
      <w:tr>
        <w:tc>
          <w:tcPr>
            <w:tcW w:type="dxa" w:w="2484"/>
            <w:vAlign w:val="center"/>
          </w:tcPr>
          <w:p>
            <w:pPr>
              <w:jc w:val="left"/>
            </w:pPr>
            <w:r/>
            <w:r>
              <w:rPr>
                <w:b w:val="0"/>
                <w:sz w:val="18"/>
              </w:rPr>
              <w:t>Correlation structure</w:t>
            </w:r>
          </w:p>
        </w:tc>
        <w:tc>
          <w:tcPr>
            <w:tcW w:type="dxa" w:w="2484"/>
            <w:vAlign w:val="center"/>
          </w:tcPr>
          <w:p>
            <w:pPr>
              <w:jc w:val="center"/>
            </w:pPr>
            <w:r/>
            <w:r>
              <w:rPr>
                <w:b w:val="0"/>
                <w:sz w:val="18"/>
              </w:rPr>
              <w:t>Partial dependence among molecular variables</w:t>
            </w:r>
          </w:p>
        </w:tc>
        <w:tc>
          <w:tcPr>
            <w:tcW w:type="dxa" w:w="2484"/>
            <w:vAlign w:val="center"/>
          </w:tcPr>
          <w:p>
            <w:pPr>
              <w:jc w:val="center"/>
            </w:pPr>
            <w:r/>
            <w:r>
              <w:rPr>
                <w:b w:val="0"/>
                <w:sz w:val="18"/>
              </w:rPr>
              <w:t>Molecular markers are not fully independent</w:t>
            </w:r>
          </w:p>
        </w:tc>
        <w:tc>
          <w:tcPr>
            <w:tcW w:type="dxa" w:w="2484"/>
            <w:vAlign w:val="center"/>
          </w:tcPr>
          <w:p>
            <w:pPr>
              <w:jc w:val="center"/>
            </w:pPr>
            <w:r/>
            <w:r>
              <w:rPr>
                <w:b w:val="0"/>
                <w:sz w:val="18"/>
              </w:rPr>
              <w:t>Reduces unrealistic feature independence</w:t>
            </w:r>
          </w:p>
        </w:tc>
      </w:tr>
    </w:tbl>
    <w:p>
      <w:r>
        <w:rPr>
          <w:b/>
        </w:rPr>
        <w:t>Supplementary Table S2 Baseline simulation and analysis parameters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12"/>
        <w:gridCol w:w="3312"/>
        <w:gridCol w:w="3312"/>
      </w:tblGrid>
      <w:tr>
        <w:tc>
          <w:tcPr>
            <w:tcW w:type="dxa" w:w="3312"/>
            <w:vAlign w:val="center"/>
            <w:shd w:fill="D9EAF7"/>
          </w:tcPr>
          <w:p>
            <w:pPr>
              <w:jc w:val="center"/>
            </w:pPr>
            <w:r/>
            <w:r>
              <w:rPr>
                <w:b/>
                <w:sz w:val="18"/>
              </w:rPr>
              <w:t>Parameter</w:t>
            </w:r>
          </w:p>
        </w:tc>
        <w:tc>
          <w:tcPr>
            <w:tcW w:type="dxa" w:w="3312"/>
            <w:vAlign w:val="center"/>
            <w:shd w:fill="D9EAF7"/>
          </w:tcPr>
          <w:p>
            <w:pPr>
              <w:jc w:val="center"/>
            </w:pPr>
            <w:r/>
            <w:r>
              <w:rPr>
                <w:b/>
                <w:sz w:val="18"/>
              </w:rPr>
              <w:t>Baseline value</w:t>
            </w:r>
          </w:p>
        </w:tc>
        <w:tc>
          <w:tcPr>
            <w:tcW w:type="dxa" w:w="3312"/>
            <w:vAlign w:val="center"/>
            <w:shd w:fill="D9EAF7"/>
          </w:tcPr>
          <w:p>
            <w:pPr>
              <w:jc w:val="center"/>
            </w:pPr>
            <w:r/>
            <w:r>
              <w:rPr>
                <w:b/>
                <w:sz w:val="18"/>
              </w:rPr>
              <w:t>Purpose</w:t>
            </w:r>
          </w:p>
        </w:tc>
      </w:tr>
      <w:tr>
        <w:tc>
          <w:tcPr>
            <w:tcW w:type="dxa" w:w="3312"/>
            <w:vAlign w:val="center"/>
          </w:tcPr>
          <w:p>
            <w:pPr>
              <w:jc w:val="left"/>
            </w:pPr>
            <w:r/>
            <w:r>
              <w:rPr>
                <w:b w:val="0"/>
                <w:sz w:val="18"/>
              </w:rPr>
              <w:t>Number of samples</w:t>
            </w:r>
          </w:p>
        </w:tc>
        <w:tc>
          <w:tcPr>
            <w:tcW w:type="dxa" w:w="3312"/>
            <w:vAlign w:val="center"/>
          </w:tcPr>
          <w:p>
            <w:pPr>
              <w:jc w:val="center"/>
            </w:pPr>
            <w:r/>
            <w:r>
              <w:rPr>
                <w:b w:val="0"/>
                <w:sz w:val="18"/>
              </w:rPr>
              <w:t>1000</w:t>
            </w:r>
          </w:p>
        </w:tc>
        <w:tc>
          <w:tcPr>
            <w:tcW w:type="dxa" w:w="3312"/>
            <w:vAlign w:val="center"/>
          </w:tcPr>
          <w:p>
            <w:pPr>
              <w:jc w:val="center"/>
            </w:pPr>
            <w:r/>
            <w:r>
              <w:rPr>
                <w:b w:val="0"/>
                <w:sz w:val="18"/>
              </w:rPr>
              <w:t>Balanced proof-of-concept dataset</w:t>
            </w:r>
          </w:p>
        </w:tc>
      </w:tr>
      <w:tr>
        <w:tc>
          <w:tcPr>
            <w:tcW w:type="dxa" w:w="3312"/>
            <w:vAlign w:val="center"/>
          </w:tcPr>
          <w:p>
            <w:pPr>
              <w:jc w:val="left"/>
            </w:pPr>
            <w:r/>
            <w:r>
              <w:rPr>
                <w:b w:val="0"/>
                <w:sz w:val="18"/>
              </w:rPr>
              <w:t>Class composition</w:t>
            </w:r>
          </w:p>
        </w:tc>
        <w:tc>
          <w:tcPr>
            <w:tcW w:type="dxa" w:w="3312"/>
            <w:vAlign w:val="center"/>
          </w:tcPr>
          <w:p>
            <w:pPr>
              <w:jc w:val="center"/>
            </w:pPr>
            <w:r/>
            <w:r>
              <w:rPr>
                <w:b w:val="0"/>
                <w:sz w:val="18"/>
              </w:rPr>
              <w:t>500 healthy; 500 cancer-associated</w:t>
            </w:r>
          </w:p>
        </w:tc>
        <w:tc>
          <w:tcPr>
            <w:tcW w:type="dxa" w:w="3312"/>
            <w:vAlign w:val="center"/>
          </w:tcPr>
          <w:p>
            <w:pPr>
              <w:jc w:val="center"/>
            </w:pPr>
            <w:r/>
            <w:r>
              <w:rPr>
                <w:b w:val="0"/>
                <w:sz w:val="18"/>
              </w:rPr>
              <w:t>Avoid class-imbalance driven performance</w:t>
            </w:r>
          </w:p>
        </w:tc>
      </w:tr>
      <w:tr>
        <w:tc>
          <w:tcPr>
            <w:tcW w:type="dxa" w:w="3312"/>
            <w:vAlign w:val="center"/>
          </w:tcPr>
          <w:p>
            <w:pPr>
              <w:jc w:val="left"/>
            </w:pPr>
            <w:r/>
            <w:r>
              <w:rPr>
                <w:b w:val="0"/>
                <w:sz w:val="18"/>
              </w:rPr>
              <w:t>Number of predictors</w:t>
            </w:r>
          </w:p>
        </w:tc>
        <w:tc>
          <w:tcPr>
            <w:tcW w:type="dxa" w:w="3312"/>
            <w:vAlign w:val="center"/>
          </w:tcPr>
          <w:p>
            <w:pPr>
              <w:jc w:val="center"/>
            </w:pPr>
            <w:r/>
            <w:r>
              <w:rPr>
                <w:b w:val="0"/>
                <w:sz w:val="18"/>
              </w:rPr>
              <w:t>100</w:t>
            </w:r>
          </w:p>
        </w:tc>
        <w:tc>
          <w:tcPr>
            <w:tcW w:type="dxa" w:w="3312"/>
            <w:vAlign w:val="center"/>
          </w:tcPr>
          <w:p>
            <w:pPr>
              <w:jc w:val="center"/>
            </w:pPr>
            <w:r/>
            <w:r>
              <w:rPr>
                <w:b w:val="0"/>
                <w:sz w:val="18"/>
              </w:rPr>
              <w:t>50 cfDNA methylation and 50 miRNA variables</w:t>
            </w:r>
          </w:p>
        </w:tc>
      </w:tr>
      <w:tr>
        <w:tc>
          <w:tcPr>
            <w:tcW w:type="dxa" w:w="3312"/>
            <w:vAlign w:val="center"/>
          </w:tcPr>
          <w:p>
            <w:pPr>
              <w:jc w:val="left"/>
            </w:pPr>
            <w:r/>
            <w:r>
              <w:rPr>
                <w:b w:val="0"/>
                <w:sz w:val="18"/>
              </w:rPr>
              <w:t>Global effect parameter</w:t>
            </w:r>
          </w:p>
        </w:tc>
        <w:tc>
          <w:tcPr>
            <w:tcW w:type="dxa" w:w="3312"/>
            <w:vAlign w:val="center"/>
          </w:tcPr>
          <w:p>
            <w:pPr>
              <w:jc w:val="center"/>
            </w:pPr>
            <w:r/>
            <w:r>
              <w:rPr>
                <w:b w:val="0"/>
                <w:sz w:val="18"/>
              </w:rPr>
              <w:t>0.56</w:t>
            </w:r>
          </w:p>
        </w:tc>
        <w:tc>
          <w:tcPr>
            <w:tcW w:type="dxa" w:w="3312"/>
            <w:vAlign w:val="center"/>
          </w:tcPr>
          <w:p>
            <w:pPr>
              <w:jc w:val="center"/>
            </w:pPr>
            <w:r/>
            <w:r>
              <w:rPr>
                <w:b w:val="0"/>
                <w:sz w:val="18"/>
              </w:rPr>
              <w:t>Moderate controlled class separation</w:t>
            </w:r>
          </w:p>
        </w:tc>
      </w:tr>
      <w:tr>
        <w:tc>
          <w:tcPr>
            <w:tcW w:type="dxa" w:w="3312"/>
            <w:vAlign w:val="center"/>
          </w:tcPr>
          <w:p>
            <w:pPr>
              <w:jc w:val="left"/>
            </w:pPr>
            <w:r/>
            <w:r>
              <w:rPr>
                <w:b w:val="0"/>
                <w:sz w:val="18"/>
              </w:rPr>
              <w:t>Inter-feature correlation parameter</w:t>
            </w:r>
          </w:p>
        </w:tc>
        <w:tc>
          <w:tcPr>
            <w:tcW w:type="dxa" w:w="3312"/>
            <w:vAlign w:val="center"/>
          </w:tcPr>
          <w:p>
            <w:pPr>
              <w:jc w:val="center"/>
            </w:pPr>
            <w:r/>
            <w:r>
              <w:rPr>
                <w:b w:val="0"/>
                <w:sz w:val="18"/>
              </w:rPr>
              <w:t>0.25</w:t>
            </w:r>
          </w:p>
        </w:tc>
        <w:tc>
          <w:tcPr>
            <w:tcW w:type="dxa" w:w="3312"/>
            <w:vAlign w:val="center"/>
          </w:tcPr>
          <w:p>
            <w:pPr>
              <w:jc w:val="center"/>
            </w:pPr>
            <w:r/>
            <w:r>
              <w:rPr>
                <w:b w:val="0"/>
                <w:sz w:val="18"/>
              </w:rPr>
              <w:t>Shared latent-factor correlation</w:t>
            </w:r>
          </w:p>
        </w:tc>
      </w:tr>
      <w:tr>
        <w:tc>
          <w:tcPr>
            <w:tcW w:type="dxa" w:w="3312"/>
            <w:vAlign w:val="center"/>
          </w:tcPr>
          <w:p>
            <w:pPr>
              <w:jc w:val="left"/>
            </w:pPr>
            <w:r/>
            <w:r>
              <w:rPr>
                <w:b w:val="0"/>
                <w:sz w:val="18"/>
              </w:rPr>
              <w:t>Random seed</w:t>
            </w:r>
          </w:p>
        </w:tc>
        <w:tc>
          <w:tcPr>
            <w:tcW w:type="dxa" w:w="3312"/>
            <w:vAlign w:val="center"/>
          </w:tcPr>
          <w:p>
            <w:pPr>
              <w:jc w:val="center"/>
            </w:pPr>
            <w:r/>
            <w:r>
              <w:rPr>
                <w:b w:val="0"/>
                <w:sz w:val="18"/>
              </w:rPr>
              <w:t>42</w:t>
            </w:r>
          </w:p>
        </w:tc>
        <w:tc>
          <w:tcPr>
            <w:tcW w:type="dxa" w:w="3312"/>
            <w:vAlign w:val="center"/>
          </w:tcPr>
          <w:p>
            <w:pPr>
              <w:jc w:val="center"/>
            </w:pPr>
            <w:r/>
            <w:r>
              <w:rPr>
                <w:b w:val="0"/>
                <w:sz w:val="18"/>
              </w:rPr>
              <w:t>Reproducibility</w:t>
            </w:r>
          </w:p>
        </w:tc>
      </w:tr>
      <w:tr>
        <w:tc>
          <w:tcPr>
            <w:tcW w:type="dxa" w:w="3312"/>
            <w:vAlign w:val="center"/>
          </w:tcPr>
          <w:p>
            <w:pPr>
              <w:jc w:val="left"/>
            </w:pPr>
            <w:r/>
            <w:r>
              <w:rPr>
                <w:b w:val="0"/>
                <w:sz w:val="18"/>
              </w:rPr>
              <w:t>Primary classifier</w:t>
            </w:r>
          </w:p>
        </w:tc>
        <w:tc>
          <w:tcPr>
            <w:tcW w:type="dxa" w:w="3312"/>
            <w:vAlign w:val="center"/>
          </w:tcPr>
          <w:p>
            <w:pPr>
              <w:jc w:val="center"/>
            </w:pPr>
            <w:r/>
            <w:r>
              <w:rPr>
                <w:b w:val="0"/>
                <w:sz w:val="18"/>
              </w:rPr>
              <w:t>Gradient Boosting</w:t>
            </w:r>
          </w:p>
        </w:tc>
        <w:tc>
          <w:tcPr>
            <w:tcW w:type="dxa" w:w="3312"/>
            <w:vAlign w:val="center"/>
          </w:tcPr>
          <w:p>
            <w:pPr>
              <w:jc w:val="center"/>
            </w:pPr>
            <w:r/>
            <w:r>
              <w:rPr>
                <w:b w:val="0"/>
                <w:sz w:val="18"/>
              </w:rPr>
              <w:t>Conservative primary benchmark</w:t>
            </w:r>
          </w:p>
        </w:tc>
      </w:tr>
      <w:tr>
        <w:tc>
          <w:tcPr>
            <w:tcW w:type="dxa" w:w="3312"/>
            <w:vAlign w:val="center"/>
          </w:tcPr>
          <w:p>
            <w:pPr>
              <w:jc w:val="left"/>
            </w:pPr>
            <w:r/>
            <w:r>
              <w:rPr>
                <w:b w:val="0"/>
                <w:sz w:val="18"/>
              </w:rPr>
              <w:t>Validation strategy</w:t>
            </w:r>
          </w:p>
        </w:tc>
        <w:tc>
          <w:tcPr>
            <w:tcW w:type="dxa" w:w="3312"/>
            <w:vAlign w:val="center"/>
          </w:tcPr>
          <w:p>
            <w:pPr>
              <w:jc w:val="center"/>
            </w:pPr>
            <w:r/>
            <w:r>
              <w:rPr>
                <w:b w:val="0"/>
                <w:sz w:val="18"/>
              </w:rPr>
              <w:t>Stratified five-fold CV</w:t>
            </w:r>
          </w:p>
        </w:tc>
        <w:tc>
          <w:tcPr>
            <w:tcW w:type="dxa" w:w="3312"/>
            <w:vAlign w:val="center"/>
          </w:tcPr>
          <w:p>
            <w:pPr>
              <w:jc w:val="center"/>
            </w:pPr>
            <w:r/>
            <w:r>
              <w:rPr>
                <w:b w:val="0"/>
                <w:sz w:val="18"/>
              </w:rPr>
              <w:t>Pooled out-of-fold performance estimation</w:t>
            </w:r>
          </w:p>
        </w:tc>
      </w:tr>
    </w:tbl>
    <w:p>
      <w:r>
        <w:rPr>
          <w:b/>
        </w:rPr>
        <w:t>Supplementary Table S3 Candidate model configurations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vAlign w:val="center"/>
            <w:shd w:fill="D9EAF7"/>
          </w:tcPr>
          <w:p>
            <w:pPr>
              <w:jc w:val="center"/>
            </w:pPr>
            <w:r/>
            <w:r>
              <w:rPr>
                <w:b/>
                <w:sz w:val="18"/>
              </w:rPr>
              <w:t>Model</w:t>
            </w:r>
          </w:p>
        </w:tc>
        <w:tc>
          <w:tcPr>
            <w:tcW w:type="dxa" w:w="4968"/>
            <w:vAlign w:val="center"/>
            <w:shd w:fill="D9EAF7"/>
          </w:tcPr>
          <w:p>
            <w:pPr>
              <w:jc w:val="center"/>
            </w:pPr>
            <w:r/>
            <w:r>
              <w:rPr>
                <w:b/>
                <w:sz w:val="18"/>
              </w:rPr>
              <w:t>Main configuration</w:t>
            </w:r>
          </w:p>
        </w:tc>
      </w:tr>
      <w:tr>
        <w:tc>
          <w:tcPr>
            <w:tcW w:type="dxa" w:w="4968"/>
            <w:vAlign w:val="center"/>
          </w:tcPr>
          <w:p>
            <w:pPr>
              <w:jc w:val="left"/>
            </w:pPr>
            <w:r/>
            <w:r>
              <w:rPr>
                <w:b w:val="0"/>
                <w:sz w:val="18"/>
              </w:rPr>
              <w:t>Logistic Regression</w:t>
            </w:r>
          </w:p>
        </w:tc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b w:val="0"/>
                <w:sz w:val="18"/>
              </w:rPr>
              <w:t>StandardScaler + LogisticRegression(max_iter=2000, lbfgs)</w:t>
            </w:r>
          </w:p>
        </w:tc>
      </w:tr>
      <w:tr>
        <w:tc>
          <w:tcPr>
            <w:tcW w:type="dxa" w:w="4968"/>
            <w:vAlign w:val="center"/>
          </w:tcPr>
          <w:p>
            <w:pPr>
              <w:jc w:val="left"/>
            </w:pPr>
            <w:r/>
            <w:r>
              <w:rPr>
                <w:b w:val="0"/>
                <w:sz w:val="18"/>
              </w:rPr>
              <w:t>Support Vector Machine (RBF)</w:t>
            </w:r>
          </w:p>
        </w:tc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b w:val="0"/>
                <w:sz w:val="18"/>
              </w:rPr>
              <w:t>StandardScaler + SVC(kernel=RBF, probability=True)</w:t>
            </w:r>
          </w:p>
        </w:tc>
      </w:tr>
      <w:tr>
        <w:tc>
          <w:tcPr>
            <w:tcW w:type="dxa" w:w="4968"/>
            <w:vAlign w:val="center"/>
          </w:tcPr>
          <w:p>
            <w:pPr>
              <w:jc w:val="left"/>
            </w:pPr>
            <w:r/>
            <w:r>
              <w:rPr>
                <w:b w:val="0"/>
                <w:sz w:val="18"/>
              </w:rPr>
              <w:t>Random Forest</w:t>
            </w:r>
          </w:p>
        </w:tc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b w:val="0"/>
                <w:sz w:val="18"/>
              </w:rPr>
              <w:t>100 trees; maximum depth 6</w:t>
            </w:r>
          </w:p>
        </w:tc>
      </w:tr>
      <w:tr>
        <w:tc>
          <w:tcPr>
            <w:tcW w:type="dxa" w:w="4968"/>
            <w:vAlign w:val="center"/>
          </w:tcPr>
          <w:p>
            <w:pPr>
              <w:jc w:val="left"/>
            </w:pPr>
            <w:r/>
            <w:r>
              <w:rPr>
                <w:b w:val="0"/>
                <w:sz w:val="18"/>
              </w:rPr>
              <w:t>Gradient Boosting</w:t>
            </w:r>
          </w:p>
        </w:tc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b w:val="0"/>
                <w:sz w:val="18"/>
              </w:rPr>
              <w:t>30 estimators; learning rate 0.08; maximum depth 2; subsample 0.85</w:t>
            </w:r>
          </w:p>
        </w:tc>
      </w:tr>
      <w:tr>
        <w:tc>
          <w:tcPr>
            <w:tcW w:type="dxa" w:w="4968"/>
            <w:vAlign w:val="center"/>
          </w:tcPr>
          <w:p>
            <w:pPr>
              <w:jc w:val="left"/>
            </w:pPr>
            <w:r/>
            <w:r>
              <w:rPr>
                <w:b w:val="0"/>
                <w:sz w:val="18"/>
              </w:rPr>
              <w:t>Extreme Gradient Boosting</w:t>
            </w:r>
          </w:p>
        </w:tc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b w:val="0"/>
                <w:sz w:val="18"/>
              </w:rPr>
              <w:t>60 estimators; maximum depth 2; learning rate 0.08; subsample 0.85; colsample_bytree 0.85</w:t>
            </w:r>
          </w:p>
        </w:tc>
      </w:tr>
    </w:tbl>
    <w:p>
      <w:r>
        <w:rPr>
          <w:b/>
        </w:rPr>
        <w:t>Supplementary Table S4 Sensitivity-analysis grid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vAlign w:val="center"/>
            <w:shd w:fill="D9EAF7"/>
          </w:tcPr>
          <w:p>
            <w:pPr>
              <w:jc w:val="center"/>
            </w:pPr>
            <w:r/>
            <w:r>
              <w:rPr>
                <w:b/>
                <w:sz w:val="18"/>
              </w:rPr>
              <w:t>Stress domain</w:t>
            </w:r>
          </w:p>
        </w:tc>
        <w:tc>
          <w:tcPr>
            <w:tcW w:type="dxa" w:w="4968"/>
            <w:vAlign w:val="center"/>
            <w:shd w:fill="D9EAF7"/>
          </w:tcPr>
          <w:p>
            <w:pPr>
              <w:jc w:val="center"/>
            </w:pPr>
            <w:r/>
            <w:r>
              <w:rPr>
                <w:b/>
                <w:sz w:val="18"/>
              </w:rPr>
              <w:t>Levels evaluated</w:t>
            </w:r>
          </w:p>
        </w:tc>
      </w:tr>
      <w:tr>
        <w:tc>
          <w:tcPr>
            <w:tcW w:type="dxa" w:w="4968"/>
            <w:vAlign w:val="center"/>
          </w:tcPr>
          <w:p>
            <w:pPr>
              <w:jc w:val="left"/>
            </w:pPr>
            <w:r/>
            <w:r>
              <w:rPr>
                <w:b w:val="0"/>
                <w:sz w:val="18"/>
              </w:rPr>
              <w:t>Degradation</w:t>
            </w:r>
          </w:p>
        </w:tc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b w:val="0"/>
                <w:sz w:val="18"/>
              </w:rPr>
              <w:t>20%, 40%, and 60% signal attenuation</w:t>
            </w:r>
          </w:p>
        </w:tc>
      </w:tr>
      <w:tr>
        <w:tc>
          <w:tcPr>
            <w:tcW w:type="dxa" w:w="4968"/>
            <w:vAlign w:val="center"/>
          </w:tcPr>
          <w:p>
            <w:pPr>
              <w:jc w:val="left"/>
            </w:pPr>
            <w:r/>
            <w:r>
              <w:rPr>
                <w:b w:val="0"/>
                <w:sz w:val="18"/>
              </w:rPr>
              <w:t>Contamination</w:t>
            </w:r>
          </w:p>
        </w:tc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b w:val="0"/>
                <w:sz w:val="18"/>
              </w:rPr>
              <w:t>10%, 20%, and 40% profile mixing</w:t>
            </w:r>
          </w:p>
        </w:tc>
      </w:tr>
      <w:tr>
        <w:tc>
          <w:tcPr>
            <w:tcW w:type="dxa" w:w="4968"/>
            <w:vAlign w:val="center"/>
          </w:tcPr>
          <w:p>
            <w:pPr>
              <w:jc w:val="left"/>
            </w:pPr>
            <w:r/>
            <w:r>
              <w:rPr>
                <w:b w:val="0"/>
                <w:sz w:val="18"/>
              </w:rPr>
              <w:t>Analytical noise</w:t>
            </w:r>
          </w:p>
        </w:tc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b w:val="0"/>
                <w:sz w:val="18"/>
              </w:rPr>
              <w:t>25%, 50%, and 100% stochastic-variance inflation</w:t>
            </w:r>
          </w:p>
        </w:tc>
      </w:tr>
      <w:tr>
        <w:tc>
          <w:tcPr>
            <w:tcW w:type="dxa" w:w="4968"/>
            <w:vAlign w:val="center"/>
          </w:tcPr>
          <w:p>
            <w:pPr>
              <w:jc w:val="left"/>
            </w:pPr>
            <w:r/>
            <w:r>
              <w:rPr>
                <w:b w:val="0"/>
                <w:sz w:val="18"/>
              </w:rPr>
              <w:t>Class overlap</w:t>
            </w:r>
          </w:p>
        </w:tc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b w:val="0"/>
                <w:sz w:val="18"/>
              </w:rPr>
              <w:t>30% and 50% between-group effect shrinkage</w:t>
            </w:r>
          </w:p>
        </w:tc>
      </w:tr>
    </w:tbl>
    <w:p>
      <w:pPr>
        <w:pStyle w:val="Heading1"/>
      </w:pPr>
      <w:r>
        <w:t>Supplementary data files</w:t>
      </w:r>
    </w:p>
    <w:p>
      <w:pPr>
        <w:spacing w:line="276" w:lineRule="auto" w:after="120"/>
      </w:pPr>
      <w:r>
        <w:t>EJFS_Revised_Simulated_Dataset.csv: simulated baseline dataset used for the revised analysis.</w:t>
      </w:r>
    </w:p>
    <w:p>
      <w:pPr>
        <w:spacing w:line="276" w:lineRule="auto" w:after="120"/>
      </w:pPr>
      <w:r>
        <w:t>EJFS_Revised_Model_Comparison.csv: candidate-model cross-validation results.</w:t>
      </w:r>
    </w:p>
    <w:p>
      <w:pPr>
        <w:spacing w:line="276" w:lineRule="auto" w:after="120"/>
      </w:pPr>
      <w:r>
        <w:t>EJFS_Revised_Sensitivity_Analysis.csv: perturbation/stress-test results.</w:t>
      </w:r>
    </w:p>
    <w:p>
      <w:pPr>
        <w:spacing w:line="276" w:lineRule="auto" w:after="120"/>
      </w:pPr>
      <w:r>
        <w:t>EJFS_Revised_Feature_Importance.csv: top ranked coded predictors from the primary model.</w:t>
      </w:r>
    </w:p>
    <w:p>
      <w:pPr>
        <w:spacing w:line="276" w:lineRule="auto" w:after="120"/>
      </w:pPr>
      <w:r>
        <w:t>EJFS_Revised_Simulation_Analysis_Code.py: reproducible simulation and analysis script.</w:t>
      </w:r>
    </w:p>
    <w:sectPr w:rsidR="00FC693F" w:rsidRPr="0006063C" w:rsidSect="00034616"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65F91" w:themeColor="accent1" w:themeShade="B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4F81BD" w:themeColor="accent1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 w:eastAsia="Times New Roman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