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A4B21" w14:textId="77777777" w:rsidR="00E80042" w:rsidRPr="00F0314C" w:rsidRDefault="00E80042" w:rsidP="00E80042">
      <w:pPr>
        <w:spacing w:line="276" w:lineRule="auto"/>
        <w:jc w:val="both"/>
        <w:rPr>
          <w:b/>
          <w:bCs/>
        </w:rPr>
      </w:pPr>
    </w:p>
    <w:p w14:paraId="7920F731" w14:textId="77777777" w:rsidR="00E80042" w:rsidRPr="00E92B14" w:rsidRDefault="00E80042" w:rsidP="00E80042">
      <w:pPr>
        <w:spacing w:line="276" w:lineRule="auto"/>
      </w:pPr>
    </w:p>
    <w:tbl>
      <w:tblPr>
        <w:tblStyle w:val="TableGridLight"/>
        <w:tblW w:w="9294" w:type="dxa"/>
        <w:tblLook w:val="0600" w:firstRow="0" w:lastRow="0" w:firstColumn="0" w:lastColumn="0" w:noHBand="1" w:noVBand="1"/>
      </w:tblPr>
      <w:tblGrid>
        <w:gridCol w:w="1816"/>
        <w:gridCol w:w="2631"/>
        <w:gridCol w:w="2652"/>
        <w:gridCol w:w="2195"/>
      </w:tblGrid>
      <w:tr w:rsidR="00E80042" w:rsidRPr="00E92B14" w14:paraId="43EDD637" w14:textId="77777777" w:rsidTr="00A8442D">
        <w:trPr>
          <w:trHeight w:val="446"/>
        </w:trPr>
        <w:tc>
          <w:tcPr>
            <w:tcW w:w="1816" w:type="dxa"/>
            <w:hideMark/>
          </w:tcPr>
          <w:p w14:paraId="00B81A93" w14:textId="77777777" w:rsidR="00E80042" w:rsidRPr="00E92B14" w:rsidRDefault="00E80042" w:rsidP="00A8442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Gene</w:t>
            </w:r>
          </w:p>
        </w:tc>
        <w:tc>
          <w:tcPr>
            <w:tcW w:w="2631" w:type="dxa"/>
            <w:hideMark/>
          </w:tcPr>
          <w:p w14:paraId="31E031F9" w14:textId="77777777" w:rsidR="00E80042" w:rsidRDefault="00E80042" w:rsidP="00A8442D">
            <w:pPr>
              <w:spacing w:line="276" w:lineRule="auto"/>
              <w:rPr>
                <w:b/>
                <w:bCs/>
                <w:lang w:val="en-GB"/>
              </w:rPr>
            </w:pPr>
            <w:r w:rsidRPr="00E92B14">
              <w:rPr>
                <w:b/>
                <w:bCs/>
                <w:lang w:val="en-GB"/>
              </w:rPr>
              <w:t>Clinical significance</w:t>
            </w:r>
          </w:p>
          <w:p w14:paraId="00E9FC9F" w14:textId="77777777" w:rsidR="00E80042" w:rsidRPr="00E92B14" w:rsidRDefault="00E80042" w:rsidP="00A8442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52" w:type="dxa"/>
            <w:hideMark/>
          </w:tcPr>
          <w:p w14:paraId="2B8D129A" w14:textId="77777777" w:rsidR="00E80042" w:rsidRDefault="00E80042" w:rsidP="00A8442D">
            <w:pPr>
              <w:spacing w:line="276" w:lineRule="auto"/>
              <w:rPr>
                <w:b/>
                <w:bCs/>
                <w:lang w:val="en-GB"/>
              </w:rPr>
            </w:pPr>
            <w:r w:rsidRPr="00E92B14">
              <w:rPr>
                <w:b/>
                <w:bCs/>
                <w:lang w:val="en-GB"/>
              </w:rPr>
              <w:t>Gene essentiality</w:t>
            </w:r>
          </w:p>
          <w:p w14:paraId="5E0F6DEE" w14:textId="77777777" w:rsidR="00E80042" w:rsidRPr="00E92B14" w:rsidRDefault="00E80042" w:rsidP="00A8442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195" w:type="dxa"/>
          </w:tcPr>
          <w:p w14:paraId="10F93834" w14:textId="77777777" w:rsidR="00E80042" w:rsidRPr="00E92B14" w:rsidRDefault="00E80042" w:rsidP="00A8442D">
            <w:pPr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Combined score</w:t>
            </w:r>
          </w:p>
        </w:tc>
      </w:tr>
      <w:tr w:rsidR="00E80042" w:rsidRPr="00E92B14" w14:paraId="6B0FEC36" w14:textId="77777777" w:rsidTr="00A8442D">
        <w:trPr>
          <w:trHeight w:val="446"/>
        </w:trPr>
        <w:tc>
          <w:tcPr>
            <w:tcW w:w="1816" w:type="dxa"/>
          </w:tcPr>
          <w:p w14:paraId="163FE615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TUBA1B</w:t>
            </w:r>
          </w:p>
        </w:tc>
        <w:tc>
          <w:tcPr>
            <w:tcW w:w="2631" w:type="dxa"/>
          </w:tcPr>
          <w:p w14:paraId="2C6A6EE6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0.9887</w:t>
            </w:r>
          </w:p>
        </w:tc>
        <w:tc>
          <w:tcPr>
            <w:tcW w:w="2652" w:type="dxa"/>
          </w:tcPr>
          <w:p w14:paraId="0A2D3B09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0.9977</w:t>
            </w:r>
          </w:p>
        </w:tc>
        <w:tc>
          <w:tcPr>
            <w:tcW w:w="2195" w:type="dxa"/>
          </w:tcPr>
          <w:p w14:paraId="043E74B5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0.9932</w:t>
            </w:r>
          </w:p>
        </w:tc>
      </w:tr>
      <w:tr w:rsidR="00E80042" w:rsidRPr="00E92B14" w14:paraId="2A66CF53" w14:textId="77777777" w:rsidTr="00A8442D">
        <w:trPr>
          <w:trHeight w:val="446"/>
        </w:trPr>
        <w:tc>
          <w:tcPr>
            <w:tcW w:w="1816" w:type="dxa"/>
            <w:hideMark/>
          </w:tcPr>
          <w:p w14:paraId="5CE5D71D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 xml:space="preserve">    TUBA1C</w:t>
            </w:r>
          </w:p>
        </w:tc>
        <w:tc>
          <w:tcPr>
            <w:tcW w:w="2631" w:type="dxa"/>
            <w:hideMark/>
          </w:tcPr>
          <w:p w14:paraId="787A6B58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0.9982</w:t>
            </w:r>
          </w:p>
        </w:tc>
        <w:tc>
          <w:tcPr>
            <w:tcW w:w="2652" w:type="dxa"/>
            <w:hideMark/>
          </w:tcPr>
          <w:p w14:paraId="0B74F9D2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0.9831</w:t>
            </w:r>
          </w:p>
        </w:tc>
        <w:tc>
          <w:tcPr>
            <w:tcW w:w="2195" w:type="dxa"/>
          </w:tcPr>
          <w:p w14:paraId="21A0A1AB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0.99065</w:t>
            </w:r>
          </w:p>
        </w:tc>
      </w:tr>
      <w:tr w:rsidR="00E80042" w:rsidRPr="00E92B14" w14:paraId="71EEFD3D" w14:textId="77777777" w:rsidTr="00A8442D">
        <w:trPr>
          <w:trHeight w:val="446"/>
        </w:trPr>
        <w:tc>
          <w:tcPr>
            <w:tcW w:w="1816" w:type="dxa"/>
          </w:tcPr>
          <w:p w14:paraId="452C7174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NUP93</w:t>
            </w:r>
          </w:p>
        </w:tc>
        <w:tc>
          <w:tcPr>
            <w:tcW w:w="2631" w:type="dxa"/>
          </w:tcPr>
          <w:p w14:paraId="550941DC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0.9943</w:t>
            </w:r>
          </w:p>
        </w:tc>
        <w:tc>
          <w:tcPr>
            <w:tcW w:w="2652" w:type="dxa"/>
          </w:tcPr>
          <w:p w14:paraId="5F308324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0.9802</w:t>
            </w:r>
          </w:p>
        </w:tc>
        <w:tc>
          <w:tcPr>
            <w:tcW w:w="2195" w:type="dxa"/>
          </w:tcPr>
          <w:p w14:paraId="6323DD55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0.98725</w:t>
            </w:r>
          </w:p>
        </w:tc>
      </w:tr>
      <w:tr w:rsidR="00E80042" w:rsidRPr="00E92B14" w14:paraId="66859560" w14:textId="77777777" w:rsidTr="00A8442D">
        <w:trPr>
          <w:trHeight w:val="446"/>
        </w:trPr>
        <w:tc>
          <w:tcPr>
            <w:tcW w:w="1816" w:type="dxa"/>
          </w:tcPr>
          <w:p w14:paraId="7875F48F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SF3B5</w:t>
            </w:r>
          </w:p>
        </w:tc>
        <w:tc>
          <w:tcPr>
            <w:tcW w:w="2631" w:type="dxa"/>
          </w:tcPr>
          <w:p w14:paraId="60340543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0.9774</w:t>
            </w:r>
          </w:p>
        </w:tc>
        <w:tc>
          <w:tcPr>
            <w:tcW w:w="2652" w:type="dxa"/>
          </w:tcPr>
          <w:p w14:paraId="46BACA29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0.9884</w:t>
            </w:r>
          </w:p>
        </w:tc>
        <w:tc>
          <w:tcPr>
            <w:tcW w:w="2195" w:type="dxa"/>
          </w:tcPr>
          <w:p w14:paraId="06EA532D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0.9829</w:t>
            </w:r>
          </w:p>
        </w:tc>
      </w:tr>
      <w:tr w:rsidR="00E80042" w:rsidRPr="00E92B14" w14:paraId="534F5EB9" w14:textId="77777777" w:rsidTr="00A8442D">
        <w:trPr>
          <w:trHeight w:val="446"/>
        </w:trPr>
        <w:tc>
          <w:tcPr>
            <w:tcW w:w="1816" w:type="dxa"/>
          </w:tcPr>
          <w:p w14:paraId="2DC06E46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NUDT21</w:t>
            </w:r>
          </w:p>
        </w:tc>
        <w:tc>
          <w:tcPr>
            <w:tcW w:w="2631" w:type="dxa"/>
          </w:tcPr>
          <w:p w14:paraId="4A534A92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0.9892</w:t>
            </w:r>
          </w:p>
        </w:tc>
        <w:tc>
          <w:tcPr>
            <w:tcW w:w="2652" w:type="dxa"/>
          </w:tcPr>
          <w:p w14:paraId="7860A664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0.9543</w:t>
            </w:r>
          </w:p>
        </w:tc>
        <w:tc>
          <w:tcPr>
            <w:tcW w:w="2195" w:type="dxa"/>
          </w:tcPr>
          <w:p w14:paraId="2EDC44FD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0.97175</w:t>
            </w:r>
          </w:p>
        </w:tc>
      </w:tr>
      <w:tr w:rsidR="00E80042" w:rsidRPr="00E92B14" w14:paraId="08F38715" w14:textId="77777777" w:rsidTr="00A8442D">
        <w:trPr>
          <w:trHeight w:val="446"/>
        </w:trPr>
        <w:tc>
          <w:tcPr>
            <w:tcW w:w="1816" w:type="dxa"/>
            <w:hideMark/>
          </w:tcPr>
          <w:p w14:paraId="26F1BD9E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 xml:space="preserve">    NACAP1</w:t>
            </w:r>
          </w:p>
        </w:tc>
        <w:tc>
          <w:tcPr>
            <w:tcW w:w="2631" w:type="dxa"/>
            <w:hideMark/>
          </w:tcPr>
          <w:p w14:paraId="23042B25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0.9979</w:t>
            </w:r>
          </w:p>
        </w:tc>
        <w:tc>
          <w:tcPr>
            <w:tcW w:w="2652" w:type="dxa"/>
            <w:hideMark/>
          </w:tcPr>
          <w:p w14:paraId="71F7EEA0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0.9396</w:t>
            </w:r>
          </w:p>
        </w:tc>
        <w:tc>
          <w:tcPr>
            <w:tcW w:w="2195" w:type="dxa"/>
          </w:tcPr>
          <w:p w14:paraId="4F8A5534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0.96875</w:t>
            </w:r>
          </w:p>
        </w:tc>
      </w:tr>
      <w:tr w:rsidR="00E80042" w:rsidRPr="00E92B14" w14:paraId="760697CD" w14:textId="77777777" w:rsidTr="00A8442D">
        <w:trPr>
          <w:trHeight w:val="446"/>
        </w:trPr>
        <w:tc>
          <w:tcPr>
            <w:tcW w:w="1816" w:type="dxa"/>
          </w:tcPr>
          <w:p w14:paraId="0191E648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DDX41</w:t>
            </w:r>
          </w:p>
        </w:tc>
        <w:tc>
          <w:tcPr>
            <w:tcW w:w="2631" w:type="dxa"/>
          </w:tcPr>
          <w:p w14:paraId="553C0DBB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0.9739</w:t>
            </w:r>
          </w:p>
        </w:tc>
        <w:tc>
          <w:tcPr>
            <w:tcW w:w="2652" w:type="dxa"/>
          </w:tcPr>
          <w:p w14:paraId="7BE793E6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0.9268</w:t>
            </w:r>
          </w:p>
        </w:tc>
        <w:tc>
          <w:tcPr>
            <w:tcW w:w="2195" w:type="dxa"/>
          </w:tcPr>
          <w:p w14:paraId="7E21E978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0.96835</w:t>
            </w:r>
          </w:p>
        </w:tc>
      </w:tr>
      <w:tr w:rsidR="00E80042" w:rsidRPr="00E92B14" w14:paraId="1E80D68E" w14:textId="77777777" w:rsidTr="00A8442D">
        <w:trPr>
          <w:trHeight w:val="446"/>
        </w:trPr>
        <w:tc>
          <w:tcPr>
            <w:tcW w:w="1816" w:type="dxa"/>
          </w:tcPr>
          <w:p w14:paraId="75FA935F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RPL35A</w:t>
            </w:r>
          </w:p>
        </w:tc>
        <w:tc>
          <w:tcPr>
            <w:tcW w:w="2631" w:type="dxa"/>
          </w:tcPr>
          <w:p w14:paraId="28F4A61D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0.9730</w:t>
            </w:r>
          </w:p>
        </w:tc>
        <w:tc>
          <w:tcPr>
            <w:tcW w:w="2652" w:type="dxa"/>
          </w:tcPr>
          <w:p w14:paraId="4C957117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0.9561</w:t>
            </w:r>
          </w:p>
        </w:tc>
        <w:tc>
          <w:tcPr>
            <w:tcW w:w="2195" w:type="dxa"/>
          </w:tcPr>
          <w:p w14:paraId="1C204EEF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0.96455</w:t>
            </w:r>
          </w:p>
        </w:tc>
      </w:tr>
      <w:tr w:rsidR="00E80042" w:rsidRPr="00E92B14" w14:paraId="0453890C" w14:textId="77777777" w:rsidTr="00A8442D">
        <w:trPr>
          <w:trHeight w:val="446"/>
        </w:trPr>
        <w:tc>
          <w:tcPr>
            <w:tcW w:w="1816" w:type="dxa"/>
          </w:tcPr>
          <w:p w14:paraId="4FB3D41C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PSMD7</w:t>
            </w:r>
          </w:p>
        </w:tc>
        <w:tc>
          <w:tcPr>
            <w:tcW w:w="2631" w:type="dxa"/>
          </w:tcPr>
          <w:p w14:paraId="40DD1DCC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0.9817</w:t>
            </w:r>
          </w:p>
        </w:tc>
        <w:tc>
          <w:tcPr>
            <w:tcW w:w="2652" w:type="dxa"/>
          </w:tcPr>
          <w:p w14:paraId="7DCCFCF6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0.9473</w:t>
            </w:r>
          </w:p>
        </w:tc>
        <w:tc>
          <w:tcPr>
            <w:tcW w:w="2195" w:type="dxa"/>
          </w:tcPr>
          <w:p w14:paraId="3C11721D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0.9645</w:t>
            </w:r>
          </w:p>
        </w:tc>
      </w:tr>
      <w:tr w:rsidR="00E80042" w:rsidRPr="00E92B14" w14:paraId="77CACC04" w14:textId="77777777" w:rsidTr="00A8442D">
        <w:trPr>
          <w:trHeight w:val="446"/>
        </w:trPr>
        <w:tc>
          <w:tcPr>
            <w:tcW w:w="1816" w:type="dxa"/>
          </w:tcPr>
          <w:p w14:paraId="13BD41EA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RPS12</w:t>
            </w:r>
          </w:p>
        </w:tc>
        <w:tc>
          <w:tcPr>
            <w:tcW w:w="2631" w:type="dxa"/>
          </w:tcPr>
          <w:p w14:paraId="5E967C75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0.9763</w:t>
            </w:r>
          </w:p>
        </w:tc>
        <w:tc>
          <w:tcPr>
            <w:tcW w:w="2652" w:type="dxa"/>
          </w:tcPr>
          <w:p w14:paraId="4E317529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0.9444</w:t>
            </w:r>
          </w:p>
        </w:tc>
        <w:tc>
          <w:tcPr>
            <w:tcW w:w="2195" w:type="dxa"/>
          </w:tcPr>
          <w:p w14:paraId="5A688BDF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0.96035</w:t>
            </w:r>
          </w:p>
        </w:tc>
      </w:tr>
      <w:tr w:rsidR="00E80042" w:rsidRPr="00E92B14" w14:paraId="7AEFEA91" w14:textId="77777777" w:rsidTr="00A8442D">
        <w:trPr>
          <w:trHeight w:val="446"/>
        </w:trPr>
        <w:tc>
          <w:tcPr>
            <w:tcW w:w="1816" w:type="dxa"/>
          </w:tcPr>
          <w:p w14:paraId="3A01A5C5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RPL30</w:t>
            </w:r>
          </w:p>
        </w:tc>
        <w:tc>
          <w:tcPr>
            <w:tcW w:w="2631" w:type="dxa"/>
          </w:tcPr>
          <w:p w14:paraId="6C415B31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0.9974</w:t>
            </w:r>
          </w:p>
        </w:tc>
        <w:tc>
          <w:tcPr>
            <w:tcW w:w="2652" w:type="dxa"/>
          </w:tcPr>
          <w:p w14:paraId="225464D5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0.8982</w:t>
            </w:r>
          </w:p>
        </w:tc>
        <w:tc>
          <w:tcPr>
            <w:tcW w:w="2195" w:type="dxa"/>
          </w:tcPr>
          <w:p w14:paraId="1AAD06F0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0.9478</w:t>
            </w:r>
          </w:p>
        </w:tc>
      </w:tr>
      <w:tr w:rsidR="00E80042" w:rsidRPr="00E92B14" w14:paraId="58D5293A" w14:textId="77777777" w:rsidTr="00A8442D">
        <w:trPr>
          <w:trHeight w:val="446"/>
        </w:trPr>
        <w:tc>
          <w:tcPr>
            <w:tcW w:w="1816" w:type="dxa"/>
          </w:tcPr>
          <w:p w14:paraId="6106C485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SLC22A3</w:t>
            </w:r>
          </w:p>
        </w:tc>
        <w:tc>
          <w:tcPr>
            <w:tcW w:w="2631" w:type="dxa"/>
          </w:tcPr>
          <w:p w14:paraId="5BAE084B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0.9778</w:t>
            </w:r>
          </w:p>
        </w:tc>
        <w:tc>
          <w:tcPr>
            <w:tcW w:w="2652" w:type="dxa"/>
          </w:tcPr>
          <w:p w14:paraId="3E810741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0.9069</w:t>
            </w:r>
          </w:p>
        </w:tc>
        <w:tc>
          <w:tcPr>
            <w:tcW w:w="2195" w:type="dxa"/>
          </w:tcPr>
          <w:p w14:paraId="77001291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0.94235</w:t>
            </w:r>
          </w:p>
        </w:tc>
      </w:tr>
      <w:tr w:rsidR="00E80042" w:rsidRPr="00E92B14" w14:paraId="5D2B3391" w14:textId="77777777" w:rsidTr="00A8442D">
        <w:trPr>
          <w:trHeight w:val="446"/>
        </w:trPr>
        <w:tc>
          <w:tcPr>
            <w:tcW w:w="1816" w:type="dxa"/>
          </w:tcPr>
          <w:p w14:paraId="049B8D49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ACAT2</w:t>
            </w:r>
          </w:p>
        </w:tc>
        <w:tc>
          <w:tcPr>
            <w:tcW w:w="2631" w:type="dxa"/>
          </w:tcPr>
          <w:p w14:paraId="5E87DC9E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0.9965</w:t>
            </w:r>
          </w:p>
        </w:tc>
        <w:tc>
          <w:tcPr>
            <w:tcW w:w="2652" w:type="dxa"/>
          </w:tcPr>
          <w:p w14:paraId="1D2794F5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0.8789</w:t>
            </w:r>
          </w:p>
        </w:tc>
        <w:tc>
          <w:tcPr>
            <w:tcW w:w="2195" w:type="dxa"/>
          </w:tcPr>
          <w:p w14:paraId="128A42A3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0.9377</w:t>
            </w:r>
          </w:p>
        </w:tc>
      </w:tr>
      <w:tr w:rsidR="00E80042" w:rsidRPr="00E92B14" w14:paraId="3FCA6BCE" w14:textId="77777777" w:rsidTr="00A8442D">
        <w:trPr>
          <w:trHeight w:val="446"/>
        </w:trPr>
        <w:tc>
          <w:tcPr>
            <w:tcW w:w="1816" w:type="dxa"/>
          </w:tcPr>
          <w:p w14:paraId="5D661F09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AZIN1</w:t>
            </w:r>
          </w:p>
        </w:tc>
        <w:tc>
          <w:tcPr>
            <w:tcW w:w="2631" w:type="dxa"/>
          </w:tcPr>
          <w:p w14:paraId="31C1828C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0.9927</w:t>
            </w:r>
          </w:p>
        </w:tc>
        <w:tc>
          <w:tcPr>
            <w:tcW w:w="2652" w:type="dxa"/>
          </w:tcPr>
          <w:p w14:paraId="67BA0C60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0.8823</w:t>
            </w:r>
          </w:p>
        </w:tc>
        <w:tc>
          <w:tcPr>
            <w:tcW w:w="2195" w:type="dxa"/>
          </w:tcPr>
          <w:p w14:paraId="67799EB5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0.9375</w:t>
            </w:r>
          </w:p>
        </w:tc>
      </w:tr>
      <w:tr w:rsidR="00E80042" w:rsidRPr="00E92B14" w14:paraId="3456AE79" w14:textId="77777777" w:rsidTr="00A8442D">
        <w:trPr>
          <w:trHeight w:val="446"/>
        </w:trPr>
        <w:tc>
          <w:tcPr>
            <w:tcW w:w="1816" w:type="dxa"/>
          </w:tcPr>
          <w:p w14:paraId="5396A6CF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TRIP13</w:t>
            </w:r>
          </w:p>
        </w:tc>
        <w:tc>
          <w:tcPr>
            <w:tcW w:w="2631" w:type="dxa"/>
          </w:tcPr>
          <w:p w14:paraId="558A3F65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0.9939</w:t>
            </w:r>
          </w:p>
        </w:tc>
        <w:tc>
          <w:tcPr>
            <w:tcW w:w="2652" w:type="dxa"/>
          </w:tcPr>
          <w:p w14:paraId="33AEEA9F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0.8793</w:t>
            </w:r>
          </w:p>
        </w:tc>
        <w:tc>
          <w:tcPr>
            <w:tcW w:w="2195" w:type="dxa"/>
          </w:tcPr>
          <w:p w14:paraId="586BA2F0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0.9366</w:t>
            </w:r>
          </w:p>
        </w:tc>
      </w:tr>
      <w:tr w:rsidR="00E80042" w:rsidRPr="00E92B14" w14:paraId="6D9CBE04" w14:textId="77777777" w:rsidTr="00A8442D">
        <w:trPr>
          <w:trHeight w:val="446"/>
        </w:trPr>
        <w:tc>
          <w:tcPr>
            <w:tcW w:w="1816" w:type="dxa"/>
          </w:tcPr>
          <w:p w14:paraId="7C703743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LY96</w:t>
            </w:r>
          </w:p>
        </w:tc>
        <w:tc>
          <w:tcPr>
            <w:tcW w:w="2631" w:type="dxa"/>
          </w:tcPr>
          <w:p w14:paraId="78050756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0.9743</w:t>
            </w:r>
          </w:p>
        </w:tc>
        <w:tc>
          <w:tcPr>
            <w:tcW w:w="2652" w:type="dxa"/>
          </w:tcPr>
          <w:p w14:paraId="73F77423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0.8960</w:t>
            </w:r>
          </w:p>
        </w:tc>
        <w:tc>
          <w:tcPr>
            <w:tcW w:w="2195" w:type="dxa"/>
          </w:tcPr>
          <w:p w14:paraId="772F5354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0.93515</w:t>
            </w:r>
          </w:p>
        </w:tc>
      </w:tr>
      <w:tr w:rsidR="00E80042" w:rsidRPr="00E92B14" w14:paraId="4966AB49" w14:textId="77777777" w:rsidTr="00A8442D">
        <w:trPr>
          <w:trHeight w:val="446"/>
        </w:trPr>
        <w:tc>
          <w:tcPr>
            <w:tcW w:w="1816" w:type="dxa"/>
            <w:hideMark/>
          </w:tcPr>
          <w:p w14:paraId="31328D13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 xml:space="preserve">    TAF2</w:t>
            </w:r>
          </w:p>
        </w:tc>
        <w:tc>
          <w:tcPr>
            <w:tcW w:w="2631" w:type="dxa"/>
            <w:hideMark/>
          </w:tcPr>
          <w:p w14:paraId="7B5AE1D9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0.9977</w:t>
            </w:r>
          </w:p>
        </w:tc>
        <w:tc>
          <w:tcPr>
            <w:tcW w:w="2652" w:type="dxa"/>
            <w:hideMark/>
          </w:tcPr>
          <w:p w14:paraId="68973AC4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0.8680</w:t>
            </w:r>
          </w:p>
        </w:tc>
        <w:tc>
          <w:tcPr>
            <w:tcW w:w="2195" w:type="dxa"/>
          </w:tcPr>
          <w:p w14:paraId="0CB651A4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0.93285</w:t>
            </w:r>
          </w:p>
        </w:tc>
      </w:tr>
      <w:tr w:rsidR="00E80042" w:rsidRPr="00E92B14" w14:paraId="19E498B9" w14:textId="77777777" w:rsidTr="00A8442D">
        <w:trPr>
          <w:trHeight w:val="446"/>
        </w:trPr>
        <w:tc>
          <w:tcPr>
            <w:tcW w:w="1816" w:type="dxa"/>
          </w:tcPr>
          <w:p w14:paraId="02C5FDE5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 xml:space="preserve">    CCT5</w:t>
            </w:r>
          </w:p>
        </w:tc>
        <w:tc>
          <w:tcPr>
            <w:tcW w:w="2631" w:type="dxa"/>
          </w:tcPr>
          <w:p w14:paraId="00A9DCAA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0.9774</w:t>
            </w:r>
          </w:p>
        </w:tc>
        <w:tc>
          <w:tcPr>
            <w:tcW w:w="2652" w:type="dxa"/>
          </w:tcPr>
          <w:p w14:paraId="0F830828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 w:rsidRPr="00E92B14">
              <w:rPr>
                <w:lang w:val="en-GB"/>
              </w:rPr>
              <w:t>0.8883</w:t>
            </w:r>
          </w:p>
        </w:tc>
        <w:tc>
          <w:tcPr>
            <w:tcW w:w="2195" w:type="dxa"/>
          </w:tcPr>
          <w:p w14:paraId="30DC98F4" w14:textId="77777777" w:rsidR="00E80042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0.93285</w:t>
            </w:r>
          </w:p>
        </w:tc>
      </w:tr>
      <w:tr w:rsidR="00E80042" w:rsidRPr="00E92B14" w14:paraId="1396401A" w14:textId="77777777" w:rsidTr="00A8442D">
        <w:trPr>
          <w:trHeight w:val="446"/>
        </w:trPr>
        <w:tc>
          <w:tcPr>
            <w:tcW w:w="1816" w:type="dxa"/>
            <w:hideMark/>
          </w:tcPr>
          <w:p w14:paraId="71C3B337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 xml:space="preserve">    NDUFA4L2</w:t>
            </w:r>
          </w:p>
        </w:tc>
        <w:tc>
          <w:tcPr>
            <w:tcW w:w="2631" w:type="dxa"/>
            <w:hideMark/>
          </w:tcPr>
          <w:p w14:paraId="7BBF4627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0.9928</w:t>
            </w:r>
          </w:p>
        </w:tc>
        <w:tc>
          <w:tcPr>
            <w:tcW w:w="2652" w:type="dxa"/>
            <w:hideMark/>
          </w:tcPr>
          <w:p w14:paraId="73F34C10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0.8727</w:t>
            </w:r>
          </w:p>
        </w:tc>
        <w:tc>
          <w:tcPr>
            <w:tcW w:w="2195" w:type="dxa"/>
          </w:tcPr>
          <w:p w14:paraId="57B9F26E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0.93275</w:t>
            </w:r>
          </w:p>
        </w:tc>
      </w:tr>
      <w:tr w:rsidR="00E80042" w:rsidRPr="00E92B14" w14:paraId="623E9D6A" w14:textId="77777777" w:rsidTr="00A8442D">
        <w:trPr>
          <w:trHeight w:val="446"/>
        </w:trPr>
        <w:tc>
          <w:tcPr>
            <w:tcW w:w="1816" w:type="dxa"/>
            <w:hideMark/>
          </w:tcPr>
          <w:p w14:paraId="0625ECA2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 xml:space="preserve">    DDX23</w:t>
            </w:r>
          </w:p>
        </w:tc>
        <w:tc>
          <w:tcPr>
            <w:tcW w:w="2631" w:type="dxa"/>
            <w:hideMark/>
          </w:tcPr>
          <w:p w14:paraId="77F3A564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0.9796</w:t>
            </w:r>
          </w:p>
        </w:tc>
        <w:tc>
          <w:tcPr>
            <w:tcW w:w="2652" w:type="dxa"/>
            <w:hideMark/>
          </w:tcPr>
          <w:p w14:paraId="591CE36A" w14:textId="77777777" w:rsidR="00E80042" w:rsidRPr="00E92B14" w:rsidRDefault="00E80042" w:rsidP="00A8442D">
            <w:pPr>
              <w:spacing w:line="276" w:lineRule="auto"/>
            </w:pPr>
            <w:r w:rsidRPr="00E92B14">
              <w:rPr>
                <w:lang w:val="en-GB"/>
              </w:rPr>
              <w:t>0.8707</w:t>
            </w:r>
          </w:p>
        </w:tc>
        <w:tc>
          <w:tcPr>
            <w:tcW w:w="2195" w:type="dxa"/>
          </w:tcPr>
          <w:p w14:paraId="444D3D8A" w14:textId="77777777" w:rsidR="00E80042" w:rsidRPr="00E92B14" w:rsidRDefault="00E80042" w:rsidP="00A8442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0.92515</w:t>
            </w:r>
          </w:p>
        </w:tc>
      </w:tr>
    </w:tbl>
    <w:p w14:paraId="1729D3E3" w14:textId="77777777" w:rsidR="00E80042" w:rsidRPr="00E92B14" w:rsidRDefault="00E80042" w:rsidP="00E80042">
      <w:pPr>
        <w:spacing w:line="276" w:lineRule="auto"/>
      </w:pPr>
    </w:p>
    <w:p w14:paraId="145CD5A4" w14:textId="3AB25FEA" w:rsidR="00B8580C" w:rsidRDefault="00E80042" w:rsidP="00E80042">
      <w:r>
        <w:rPr>
          <w:b/>
          <w:bCs/>
        </w:rPr>
        <w:t xml:space="preserve">Supplementary </w:t>
      </w:r>
      <w:r w:rsidRPr="00E92B14">
        <w:rPr>
          <w:b/>
          <w:bCs/>
        </w:rPr>
        <w:t xml:space="preserve">Table 1: </w:t>
      </w:r>
      <w:r w:rsidRPr="00E92B14">
        <w:rPr>
          <w:rFonts w:eastAsiaTheme="minorEastAsia"/>
          <w:b/>
          <w:bCs/>
        </w:rPr>
        <w:t>Top</w:t>
      </w:r>
      <w:r w:rsidRPr="00E92B14">
        <w:rPr>
          <w:b/>
          <w:bCs/>
        </w:rPr>
        <w:t xml:space="preserve"> </w:t>
      </w:r>
      <w:r w:rsidRPr="00E92B14">
        <w:rPr>
          <w:rFonts w:eastAsiaTheme="minorEastAsia"/>
          <w:b/>
          <w:bCs/>
        </w:rPr>
        <w:t xml:space="preserve">20 genes that are clinically relevant and essential </w:t>
      </w:r>
      <w:r w:rsidRPr="00E92B14">
        <w:rPr>
          <w:b/>
          <w:bCs/>
        </w:rPr>
        <w:t>for survival of</w:t>
      </w:r>
      <w:r w:rsidRPr="00E92B14">
        <w:rPr>
          <w:rFonts w:eastAsiaTheme="minorEastAsia"/>
          <w:b/>
          <w:bCs/>
        </w:rPr>
        <w:t xml:space="preserve"> </w:t>
      </w:r>
      <w:r w:rsidRPr="00E92B14">
        <w:rPr>
          <w:b/>
          <w:bCs/>
        </w:rPr>
        <w:t xml:space="preserve">breast cancer </w:t>
      </w:r>
      <w:r w:rsidRPr="00E92B14">
        <w:rPr>
          <w:rFonts w:eastAsiaTheme="minorEastAsia"/>
          <w:b/>
          <w:bCs/>
        </w:rPr>
        <w:t>cell lines</w:t>
      </w:r>
      <w:r w:rsidRPr="00E92B14">
        <w:rPr>
          <w:b/>
          <w:bCs/>
        </w:rPr>
        <w:t>.</w:t>
      </w:r>
      <w:r w:rsidRPr="00E92B14">
        <w:t xml:space="preserve"> Genes were prioritized on the basis of three assays: (</w:t>
      </w:r>
      <w:proofErr w:type="spellStart"/>
      <w:r w:rsidRPr="00E92B14">
        <w:t>i</w:t>
      </w:r>
      <w:proofErr w:type="spellEnd"/>
      <w:r w:rsidRPr="00E92B14">
        <w:t>) Screening of two clinical</w:t>
      </w:r>
      <w:r>
        <w:t xml:space="preserve"> </w:t>
      </w:r>
      <w:proofErr w:type="spellStart"/>
      <w:r>
        <w:t>fatasets</w:t>
      </w:r>
      <w:proofErr w:type="spellEnd"/>
      <w:r>
        <w:t>,</w:t>
      </w:r>
      <w:r w:rsidRPr="00E92B14">
        <w:t xml:space="preserve"> TCGA (1098 patients) and </w:t>
      </w:r>
      <w:proofErr w:type="spellStart"/>
      <w:r w:rsidRPr="00E92B14">
        <w:t>Metabric</w:t>
      </w:r>
      <w:proofErr w:type="spellEnd"/>
      <w:r w:rsidRPr="00E92B14">
        <w:t xml:space="preserve"> (1981 patients)</w:t>
      </w:r>
      <w:r>
        <w:t>.</w:t>
      </w:r>
      <w:r w:rsidRPr="00E92B14">
        <w:t xml:space="preserve"> for genes</w:t>
      </w:r>
      <w:r>
        <w:t xml:space="preserve"> </w:t>
      </w:r>
      <w:r w:rsidRPr="00E92B14">
        <w:t>correlat</w:t>
      </w:r>
      <w:r>
        <w:t>ing</w:t>
      </w:r>
      <w:r w:rsidRPr="00E92B14">
        <w:t xml:space="preserve"> with worse prognosis of patients with breast cancer, (ii) genes whose somatic copy number alterations (SCNA) associate with poor prognosis, and (iii) an essentiality score based on genome-wide RNAi screens aimed a</w:t>
      </w:r>
      <w:r>
        <w:t>t</w:t>
      </w:r>
      <w:r w:rsidRPr="00E92B14">
        <w:t xml:space="preserve"> systematically identifying essential genes across human breast cancer cell lines (see </w:t>
      </w:r>
      <w:proofErr w:type="spellStart"/>
      <w:r w:rsidRPr="00E92B14">
        <w:t>depmap</w:t>
      </w:r>
      <w:proofErr w:type="spellEnd"/>
      <w:r w:rsidRPr="00E92B14">
        <w:t xml:space="preserve"> portal; https://depmap.org/portal/depmap/).</w:t>
      </w:r>
      <w:bookmarkStart w:id="0" w:name="_GoBack"/>
      <w:bookmarkEnd w:id="0"/>
    </w:p>
    <w:sectPr w:rsidR="00B8580C" w:rsidSect="00C565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42"/>
    <w:rsid w:val="00137EEF"/>
    <w:rsid w:val="003535D5"/>
    <w:rsid w:val="005650C7"/>
    <w:rsid w:val="0070342C"/>
    <w:rsid w:val="0099611C"/>
    <w:rsid w:val="00B14CB7"/>
    <w:rsid w:val="00B8580C"/>
    <w:rsid w:val="00C5651A"/>
    <w:rsid w:val="00D20A7A"/>
    <w:rsid w:val="00DA44E9"/>
    <w:rsid w:val="00E8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A49A8"/>
  <w15:chartTrackingRefBased/>
  <w15:docId w15:val="{11D9DFB1-B52A-2C44-B383-326F5AA4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0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E800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BNN</dc:creator>
  <cp:keywords/>
  <dc:description/>
  <cp:lastModifiedBy>BNN</cp:lastModifiedBy>
  <cp:revision>1</cp:revision>
  <dcterms:created xsi:type="dcterms:W3CDTF">2020-08-07T07:43:00Z</dcterms:created>
  <dcterms:modified xsi:type="dcterms:W3CDTF">2020-08-07T07:44:00Z</dcterms:modified>
</cp:coreProperties>
</file>