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753E2" w14:textId="77777777" w:rsidR="00B637E3" w:rsidRPr="00FF7062" w:rsidRDefault="00B637E3" w:rsidP="00B637E3">
      <w:pPr>
        <w:rPr>
          <w:rFonts w:ascii="Times New Roman" w:eastAsia="DengXian" w:hAnsi="Times New Roman" w:cs="Times New Roman"/>
          <w:b/>
          <w:bCs/>
          <w:sz w:val="24"/>
          <w:szCs w:val="28"/>
        </w:rPr>
      </w:pPr>
      <w:r w:rsidRPr="00FF7062">
        <w:rPr>
          <w:rFonts w:ascii="Times New Roman" w:eastAsia="DengXian" w:hAnsi="Times New Roman" w:cs="Times New Roman" w:hint="eastAsia"/>
          <w:b/>
          <w:bCs/>
          <w:sz w:val="24"/>
          <w:szCs w:val="28"/>
        </w:rPr>
        <w:t>Supplementary Figures:</w:t>
      </w:r>
    </w:p>
    <w:p w14:paraId="4F09C444" w14:textId="77777777" w:rsidR="00B637E3" w:rsidRPr="00FF7062" w:rsidRDefault="00B637E3" w:rsidP="00B637E3">
      <w:pPr>
        <w:rPr>
          <w:rFonts w:ascii="Times New Roman" w:hAnsi="Times New Roman" w:cs="Times New Roman"/>
          <w:b/>
          <w:bCs/>
          <w:szCs w:val="21"/>
        </w:rPr>
      </w:pPr>
      <w:r w:rsidRPr="00FF7062">
        <w:rPr>
          <w:rFonts w:ascii="Times New Roman" w:eastAsia="SimSun" w:hAnsi="Times New Roman" w:cs="Times New Roman"/>
          <w:noProof/>
          <w:sz w:val="28"/>
          <w:szCs w:val="28"/>
          <w14:ligatures w14:val="none"/>
        </w:rPr>
        <w:drawing>
          <wp:anchor distT="0" distB="0" distL="114300" distR="114300" simplePos="0" relativeHeight="251659264" behindDoc="1" locked="0" layoutInCell="1" allowOverlap="1" wp14:anchorId="256B6C23" wp14:editId="252034F0">
            <wp:simplePos x="0" y="0"/>
            <wp:positionH relativeFrom="column">
              <wp:posOffset>3810</wp:posOffset>
            </wp:positionH>
            <wp:positionV relativeFrom="paragraph">
              <wp:posOffset>120650</wp:posOffset>
            </wp:positionV>
            <wp:extent cx="5274310" cy="2243455"/>
            <wp:effectExtent l="0" t="0" r="2540" b="4445"/>
            <wp:wrapTopAndBottom/>
            <wp:docPr id="7429750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975013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7062">
        <w:rPr>
          <w:rFonts w:ascii="Times New Roman" w:hAnsi="Times New Roman" w:cs="Times New Roman" w:hint="eastAsia"/>
          <w:b/>
          <w:bCs/>
          <w:szCs w:val="21"/>
        </w:rPr>
        <w:t>Figure S1. Vector map of transformants.</w:t>
      </w:r>
    </w:p>
    <w:p w14:paraId="44BB4343" w14:textId="77777777" w:rsidR="00B637E3" w:rsidRPr="00FF7062" w:rsidRDefault="00B637E3" w:rsidP="00B637E3">
      <w:pPr>
        <w:rPr>
          <w:rFonts w:ascii="Times New Roman" w:hAnsi="Times New Roman" w:cs="Times New Roman"/>
          <w:szCs w:val="21"/>
        </w:rPr>
      </w:pPr>
      <w:r w:rsidRPr="00FF7062">
        <w:rPr>
          <w:rFonts w:ascii="Times New Roman" w:hAnsi="Times New Roman" w:cs="Times New Roman" w:hint="eastAsia"/>
          <w:szCs w:val="21"/>
        </w:rPr>
        <w:t xml:space="preserve">CK-pCAMBIA1300-g (A),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LePC4</w:t>
      </w:r>
      <w:r w:rsidRPr="00FF7062">
        <w:rPr>
          <w:rFonts w:ascii="Times New Roman" w:hAnsi="Times New Roman" w:cs="Times New Roman" w:hint="eastAsia"/>
          <w:szCs w:val="21"/>
        </w:rPr>
        <w:t xml:space="preserve">-OE (B) and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LePC4</w:t>
      </w:r>
      <w:r w:rsidRPr="00FF7062">
        <w:rPr>
          <w:rFonts w:ascii="Times New Roman" w:hAnsi="Times New Roman" w:cs="Times New Roman" w:hint="eastAsia"/>
          <w:szCs w:val="21"/>
        </w:rPr>
        <w:t xml:space="preserve">-RNAi (C). 35S: cauliflower mosaic virus 35S terminator;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hph</w:t>
      </w:r>
      <w:r w:rsidRPr="00FF7062">
        <w:rPr>
          <w:rFonts w:ascii="Times New Roman" w:hAnsi="Times New Roman" w:cs="Times New Roman" w:hint="eastAsia"/>
          <w:szCs w:val="21"/>
        </w:rPr>
        <w:t xml:space="preserve">: hygromycin B phosphotransferase gene;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Legpd</w:t>
      </w:r>
      <w:r w:rsidRPr="00FF7062">
        <w:rPr>
          <w:rFonts w:ascii="Times New Roman" w:hAnsi="Times New Roman" w:cs="Times New Roman" w:hint="eastAsia"/>
          <w:szCs w:val="21"/>
        </w:rPr>
        <w:t xml:space="preserve">: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L. edodes</w:t>
      </w:r>
      <w:r w:rsidRPr="00FF7062">
        <w:rPr>
          <w:rFonts w:ascii="Times New Roman" w:hAnsi="Times New Roman" w:cs="Times New Roman" w:hint="eastAsia"/>
          <w:szCs w:val="21"/>
        </w:rPr>
        <w:t xml:space="preserve"> glyceraldehyde-3-phosphate dehydrogenase promoter;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Leactin</w:t>
      </w:r>
      <w:r w:rsidRPr="00FF7062">
        <w:rPr>
          <w:rFonts w:ascii="Times New Roman" w:hAnsi="Times New Roman" w:cs="Times New Roman" w:hint="eastAsia"/>
          <w:szCs w:val="21"/>
        </w:rPr>
        <w:t xml:space="preserve">: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L. edodes</w:t>
      </w:r>
      <w:r w:rsidRPr="00FF7062">
        <w:rPr>
          <w:rFonts w:ascii="Times New Roman" w:hAnsi="Times New Roman" w:cs="Times New Roman" w:hint="eastAsia"/>
          <w:szCs w:val="21"/>
        </w:rPr>
        <w:t xml:space="preserve"> actin promoter;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LePC4</w:t>
      </w:r>
      <w:r w:rsidRPr="00FF7062">
        <w:rPr>
          <w:rFonts w:ascii="Times New Roman" w:hAnsi="Times New Roman" w:cs="Times New Roman" w:hint="eastAsia"/>
          <w:szCs w:val="21"/>
        </w:rPr>
        <w:t xml:space="preserve">: exon and intron of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LePC4</w:t>
      </w:r>
      <w:r w:rsidRPr="00FF7062">
        <w:rPr>
          <w:rFonts w:ascii="Times New Roman" w:hAnsi="Times New Roman" w:cs="Times New Roman" w:hint="eastAsia"/>
          <w:szCs w:val="21"/>
        </w:rPr>
        <w:t xml:space="preserve">; antisense: antisense fragment of the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LePC4</w:t>
      </w:r>
      <w:r w:rsidRPr="00FF7062">
        <w:rPr>
          <w:rFonts w:ascii="Times New Roman" w:hAnsi="Times New Roman" w:cs="Times New Roman" w:hint="eastAsia"/>
          <w:szCs w:val="21"/>
        </w:rPr>
        <w:t>.</w:t>
      </w:r>
    </w:p>
    <w:p w14:paraId="5F104405" w14:textId="77777777" w:rsidR="00B637E3" w:rsidRPr="00FF7062" w:rsidRDefault="00B637E3" w:rsidP="00B637E3">
      <w:pPr>
        <w:rPr>
          <w:rFonts w:ascii="Times New Roman" w:hAnsi="Times New Roman" w:cs="Times New Roman"/>
          <w:szCs w:val="21"/>
        </w:rPr>
      </w:pPr>
    </w:p>
    <w:p w14:paraId="0E0E5620" w14:textId="77777777" w:rsidR="00B637E3" w:rsidRDefault="00B637E3" w:rsidP="00B637E3">
      <w:pPr>
        <w:rPr>
          <w:rFonts w:ascii="Times New Roman" w:hAnsi="Times New Roman" w:cs="Times New Roman"/>
          <w:sz w:val="24"/>
          <w:szCs w:val="24"/>
        </w:rPr>
      </w:pPr>
    </w:p>
    <w:p w14:paraId="570AC917" w14:textId="77777777" w:rsidR="00B637E3" w:rsidRDefault="00B637E3" w:rsidP="00B637E3">
      <w:pPr>
        <w:rPr>
          <w:rFonts w:ascii="Times New Roman" w:hAnsi="Times New Roman" w:cs="Times New Roman"/>
          <w:sz w:val="24"/>
          <w:szCs w:val="24"/>
        </w:rPr>
      </w:pPr>
    </w:p>
    <w:p w14:paraId="53D14B6D" w14:textId="77777777" w:rsidR="00B637E3" w:rsidRDefault="00B637E3" w:rsidP="00B637E3">
      <w:pPr>
        <w:rPr>
          <w:rFonts w:ascii="Times New Roman" w:hAnsi="Times New Roman" w:cs="Times New Roman"/>
          <w:sz w:val="24"/>
          <w:szCs w:val="24"/>
        </w:rPr>
      </w:pPr>
    </w:p>
    <w:p w14:paraId="1F4766CC" w14:textId="77777777" w:rsidR="00B637E3" w:rsidRPr="00FF7062" w:rsidRDefault="00B637E3" w:rsidP="00B637E3">
      <w:pPr>
        <w:rPr>
          <w:rFonts w:ascii="Times New Roman" w:hAnsi="Times New Roman" w:cs="Times New Roman"/>
          <w:sz w:val="24"/>
          <w:szCs w:val="24"/>
        </w:rPr>
      </w:pPr>
    </w:p>
    <w:p w14:paraId="113F5D8E" w14:textId="77777777" w:rsidR="00B637E3" w:rsidRPr="00FF7062" w:rsidRDefault="00B637E3" w:rsidP="00B637E3">
      <w:pPr>
        <w:rPr>
          <w:rFonts w:ascii="Times New Roman" w:hAnsi="Times New Roman" w:cs="Times New Roman"/>
          <w:b/>
          <w:bCs/>
          <w:szCs w:val="21"/>
        </w:rPr>
      </w:pPr>
      <w:r w:rsidRPr="00FF7062">
        <w:rPr>
          <w:rFonts w:ascii="Times New Roman" w:eastAsia="SimSun" w:hAnsi="Times New Roman" w:cs="Times New Roman"/>
          <w:noProof/>
          <w:sz w:val="28"/>
          <w:szCs w:val="28"/>
          <w14:ligatures w14:val="none"/>
        </w:rPr>
        <w:drawing>
          <wp:anchor distT="0" distB="0" distL="114300" distR="114300" simplePos="0" relativeHeight="251660288" behindDoc="1" locked="0" layoutInCell="1" allowOverlap="1" wp14:anchorId="5F9B93D5" wp14:editId="6E833881">
            <wp:simplePos x="0" y="0"/>
            <wp:positionH relativeFrom="column">
              <wp:posOffset>43815</wp:posOffset>
            </wp:positionH>
            <wp:positionV relativeFrom="paragraph">
              <wp:posOffset>40640</wp:posOffset>
            </wp:positionV>
            <wp:extent cx="5273675" cy="2319020"/>
            <wp:effectExtent l="0" t="0" r="3175" b="5080"/>
            <wp:wrapTopAndBottom/>
            <wp:docPr id="17508671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67145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7062">
        <w:rPr>
          <w:rFonts w:ascii="Times New Roman" w:hAnsi="Times New Roman" w:cs="Times New Roman" w:hint="eastAsia"/>
          <w:b/>
          <w:bCs/>
          <w:szCs w:val="21"/>
        </w:rPr>
        <w:t>Figure S2. Transcriptome heatmap analysis and qRT-PCR validation</w:t>
      </w:r>
    </w:p>
    <w:p w14:paraId="46F4C1F7" w14:textId="77777777" w:rsidR="00B637E3" w:rsidRPr="00FF7062" w:rsidRDefault="00B637E3" w:rsidP="00B637E3">
      <w:pPr>
        <w:jc w:val="left"/>
        <w:rPr>
          <w:rFonts w:ascii="Times New Roman" w:hAnsi="Times New Roman" w:cs="Times New Roman"/>
          <w:szCs w:val="21"/>
        </w:rPr>
      </w:pPr>
      <w:r w:rsidRPr="00FF7062">
        <w:rPr>
          <w:rFonts w:ascii="Times New Roman" w:hAnsi="Times New Roman" w:cs="Times New Roman"/>
          <w:szCs w:val="21"/>
        </w:rPr>
        <w:t>Heatmap show</w:t>
      </w:r>
      <w:r w:rsidRPr="00FF7062">
        <w:rPr>
          <w:rFonts w:ascii="Times New Roman" w:hAnsi="Times New Roman" w:cs="Times New Roman" w:hint="eastAsia"/>
          <w:szCs w:val="21"/>
        </w:rPr>
        <w:t>ing</w:t>
      </w:r>
      <w:r w:rsidRPr="00FF7062">
        <w:rPr>
          <w:rFonts w:ascii="Times New Roman" w:hAnsi="Times New Roman" w:cs="Times New Roman"/>
          <w:szCs w:val="21"/>
        </w:rPr>
        <w:t xml:space="preserve"> hierarchical clustering of </w:t>
      </w:r>
      <w:r w:rsidRPr="00FF7062">
        <w:rPr>
          <w:rFonts w:ascii="Times New Roman" w:hAnsi="Times New Roman" w:cs="Times New Roman" w:hint="eastAsia"/>
          <w:szCs w:val="21"/>
        </w:rPr>
        <w:t>DEGs</w:t>
      </w:r>
      <w:r w:rsidRPr="00FF7062">
        <w:rPr>
          <w:rFonts w:ascii="Times New Roman" w:hAnsi="Times New Roman" w:cs="Times New Roman"/>
          <w:szCs w:val="21"/>
        </w:rPr>
        <w:t xml:space="preserve"> based on log₂-normalized expression values</w:t>
      </w:r>
      <w:r w:rsidRPr="00FF7062">
        <w:rPr>
          <w:rFonts w:ascii="Times New Roman" w:hAnsi="Times New Roman" w:cs="Times New Roman" w:hint="eastAsia"/>
          <w:szCs w:val="21"/>
        </w:rPr>
        <w:t xml:space="preserve"> (A)</w:t>
      </w:r>
      <w:r w:rsidRPr="00FF7062">
        <w:rPr>
          <w:rFonts w:ascii="Times New Roman" w:hAnsi="Times New Roman" w:cs="Times New Roman"/>
          <w:szCs w:val="21"/>
        </w:rPr>
        <w:t>. qRT-PCR validation of 12 randomly selected genes confirm</w:t>
      </w:r>
      <w:r w:rsidRPr="00FF7062">
        <w:rPr>
          <w:rFonts w:ascii="Times New Roman" w:hAnsi="Times New Roman" w:cs="Times New Roman" w:hint="eastAsia"/>
          <w:szCs w:val="21"/>
        </w:rPr>
        <w:t>ing</w:t>
      </w:r>
      <w:r w:rsidRPr="00FF7062">
        <w:rPr>
          <w:rFonts w:ascii="Times New Roman" w:hAnsi="Times New Roman" w:cs="Times New Roman"/>
          <w:szCs w:val="21"/>
        </w:rPr>
        <w:t xml:space="preserve"> the trend</w:t>
      </w:r>
      <w:r w:rsidRPr="00FF7062">
        <w:rPr>
          <w:rFonts w:ascii="Times New Roman" w:hAnsi="Times New Roman" w:cs="Times New Roman" w:hint="eastAsia"/>
          <w:szCs w:val="21"/>
        </w:rPr>
        <w:t>s observed in transcriptome data (B).</w:t>
      </w:r>
    </w:p>
    <w:p w14:paraId="36C1EF1B" w14:textId="77777777" w:rsidR="00B637E3" w:rsidRPr="00FF7062" w:rsidRDefault="00B637E3" w:rsidP="00B637E3">
      <w:pPr>
        <w:rPr>
          <w:rFonts w:ascii="Times New Roman" w:eastAsia="DengXian" w:hAnsi="Times New Roman" w:cs="Times New Roman"/>
          <w:b/>
          <w:bCs/>
        </w:rPr>
      </w:pPr>
    </w:p>
    <w:p w14:paraId="48FEB87F" w14:textId="77777777" w:rsidR="00B637E3" w:rsidRDefault="00B637E3" w:rsidP="00B637E3">
      <w:pPr>
        <w:rPr>
          <w:rFonts w:ascii="Times New Roman" w:hAnsi="Times New Roman" w:cs="Times New Roman"/>
          <w:sz w:val="24"/>
          <w:szCs w:val="24"/>
        </w:rPr>
      </w:pPr>
    </w:p>
    <w:p w14:paraId="6EF8CA3C" w14:textId="77777777" w:rsidR="00B637E3" w:rsidRDefault="00B637E3" w:rsidP="00B637E3">
      <w:pPr>
        <w:rPr>
          <w:rFonts w:ascii="Times New Roman" w:hAnsi="Times New Roman" w:cs="Times New Roman"/>
          <w:sz w:val="24"/>
          <w:szCs w:val="24"/>
        </w:rPr>
      </w:pPr>
    </w:p>
    <w:p w14:paraId="5973416D" w14:textId="77777777" w:rsidR="00B637E3" w:rsidRPr="00FF7062" w:rsidRDefault="00B637E3" w:rsidP="00B637E3">
      <w:pPr>
        <w:jc w:val="left"/>
        <w:rPr>
          <w:rFonts w:ascii="Times New Roman" w:hAnsi="Times New Roman" w:cs="Times New Roman"/>
          <w:b/>
          <w:bCs/>
          <w:szCs w:val="21"/>
        </w:rPr>
      </w:pPr>
      <w:r w:rsidRPr="00FF7062">
        <w:rPr>
          <w:rFonts w:ascii="Times New Roman" w:eastAsia="SimSun" w:hAnsi="Times New Roman" w:cs="Times New Roman"/>
          <w:noProof/>
          <w:sz w:val="28"/>
          <w:szCs w:val="28"/>
          <w14:ligatures w14:val="none"/>
        </w:rPr>
        <w:lastRenderedPageBreak/>
        <w:drawing>
          <wp:anchor distT="0" distB="0" distL="114300" distR="114300" simplePos="0" relativeHeight="251661312" behindDoc="1" locked="0" layoutInCell="1" allowOverlap="1" wp14:anchorId="3B1B9CCF" wp14:editId="1930A85F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4810125" cy="3413760"/>
            <wp:effectExtent l="0" t="0" r="9525" b="0"/>
            <wp:wrapTopAndBottom/>
            <wp:docPr id="16336606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60659" name="图片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7062">
        <w:rPr>
          <w:rFonts w:ascii="Times New Roman" w:hAnsi="Times New Roman" w:cs="Times New Roman" w:hint="eastAsia"/>
          <w:b/>
          <w:bCs/>
          <w:szCs w:val="21"/>
        </w:rPr>
        <w:t>Figure S3. GO and KEGG enrichment analysis of DEGs</w:t>
      </w:r>
    </w:p>
    <w:p w14:paraId="35A1E683" w14:textId="77777777" w:rsidR="00B637E3" w:rsidRPr="00FF7062" w:rsidRDefault="00B637E3" w:rsidP="00B637E3">
      <w:pPr>
        <w:jc w:val="left"/>
        <w:rPr>
          <w:rFonts w:ascii="Times New Roman" w:hAnsi="Times New Roman" w:cs="Times New Roman"/>
          <w:szCs w:val="21"/>
        </w:rPr>
      </w:pPr>
      <w:r w:rsidRPr="00FF7062">
        <w:rPr>
          <w:rFonts w:ascii="Times New Roman" w:hAnsi="Times New Roman" w:cs="Times New Roman" w:hint="eastAsia"/>
          <w:szCs w:val="21"/>
        </w:rPr>
        <w:t>GO enrichment of DEGs in mycelial stage (A) and fruiting body stage (B); KEGG enrichment of DEGs in mycelial stage (C) and fruiting body stage (D).</w:t>
      </w:r>
    </w:p>
    <w:p w14:paraId="1F15095B" w14:textId="77777777" w:rsidR="00B637E3" w:rsidRDefault="00B637E3" w:rsidP="00B637E3">
      <w:pPr>
        <w:rPr>
          <w:rFonts w:ascii="Times New Roman" w:hAnsi="Times New Roman" w:cs="Times New Roman"/>
          <w:sz w:val="24"/>
          <w:szCs w:val="24"/>
        </w:rPr>
      </w:pPr>
      <w:r w:rsidRPr="00FF7062">
        <w:rPr>
          <w:rFonts w:ascii="Times New Roman" w:eastAsia="SimSun" w:hAnsi="Times New Roman" w:cs="Times New Roman"/>
          <w:noProof/>
          <w:szCs w:val="21"/>
          <w14:ligatures w14:val="none"/>
        </w:rPr>
        <w:drawing>
          <wp:anchor distT="0" distB="0" distL="114300" distR="114300" simplePos="0" relativeHeight="251662336" behindDoc="1" locked="0" layoutInCell="1" allowOverlap="1" wp14:anchorId="2859F9B1" wp14:editId="1ECCBCB7">
            <wp:simplePos x="0" y="0"/>
            <wp:positionH relativeFrom="margin">
              <wp:align>left</wp:align>
            </wp:positionH>
            <wp:positionV relativeFrom="paragraph">
              <wp:posOffset>230505</wp:posOffset>
            </wp:positionV>
            <wp:extent cx="4933950" cy="3577590"/>
            <wp:effectExtent l="0" t="0" r="0" b="3810"/>
            <wp:wrapTopAndBottom/>
            <wp:docPr id="212088015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80156" name="图片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57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4B2C4" w14:textId="77777777" w:rsidR="00B637E3" w:rsidRPr="00FF7062" w:rsidRDefault="00B637E3" w:rsidP="00B637E3">
      <w:pPr>
        <w:rPr>
          <w:sz w:val="22"/>
          <w:szCs w:val="24"/>
        </w:rPr>
      </w:pPr>
      <w:r w:rsidRPr="00FF7062">
        <w:rPr>
          <w:rFonts w:ascii="Times New Roman" w:hAnsi="Times New Roman" w:cs="Times New Roman" w:hint="eastAsia"/>
          <w:b/>
          <w:bCs/>
          <w:szCs w:val="21"/>
        </w:rPr>
        <w:t>Figure S4. plasmid vector map and PCR verification</w:t>
      </w:r>
    </w:p>
    <w:p w14:paraId="061AC05B" w14:textId="77777777" w:rsidR="00B637E3" w:rsidRDefault="00B637E3" w:rsidP="00B637E3">
      <w:pPr>
        <w:jc w:val="left"/>
        <w:rPr>
          <w:rFonts w:ascii="Times New Roman" w:hAnsi="Times New Roman" w:cs="Times New Roman"/>
          <w:sz w:val="24"/>
          <w:szCs w:val="24"/>
        </w:rPr>
      </w:pPr>
      <w:r w:rsidRPr="00FF7062">
        <w:rPr>
          <w:rFonts w:ascii="Times New Roman" w:hAnsi="Times New Roman" w:cs="Times New Roman" w:hint="eastAsia"/>
          <w:szCs w:val="21"/>
        </w:rPr>
        <w:t xml:space="preserve">Vector maps of the recombinant plasmid WX-1-RNAi (A) and YS19-OE (D); PCR identification of single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>E. coli</w:t>
      </w:r>
      <w:r w:rsidRPr="00FF7062">
        <w:rPr>
          <w:rFonts w:ascii="Times New Roman" w:hAnsi="Times New Roman" w:cs="Times New Roman" w:hint="eastAsia"/>
          <w:szCs w:val="21"/>
        </w:rPr>
        <w:t xml:space="preserve"> colony of WX-1-RNAi (B) and YS19-OE (E); PCR identification of single </w:t>
      </w:r>
      <w:r w:rsidRPr="00FF7062">
        <w:rPr>
          <w:rFonts w:ascii="Times New Roman" w:hAnsi="Times New Roman" w:cs="Times New Roman" w:hint="eastAsia"/>
          <w:i/>
          <w:iCs/>
          <w:szCs w:val="21"/>
        </w:rPr>
        <w:t xml:space="preserve">Agrobacterium </w:t>
      </w:r>
      <w:r w:rsidRPr="00FF7062">
        <w:rPr>
          <w:rFonts w:ascii="Times New Roman" w:hAnsi="Times New Roman" w:cs="Times New Roman" w:hint="eastAsia"/>
          <w:szCs w:val="21"/>
        </w:rPr>
        <w:t>colony of WX-1-RNAi (C) and YS19-OE (F)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B520A8C" w14:textId="77777777" w:rsidR="00B637E3" w:rsidRPr="00FF7062" w:rsidRDefault="00B637E3" w:rsidP="00B637E3">
      <w:pPr>
        <w:rPr>
          <w:rFonts w:ascii="Times New Roman" w:hAnsi="Times New Roman" w:cs="Times New Roman"/>
          <w:sz w:val="24"/>
          <w:szCs w:val="24"/>
        </w:rPr>
      </w:pPr>
    </w:p>
    <w:p w14:paraId="2BE67893" w14:textId="77777777" w:rsidR="00DC2479" w:rsidRDefault="00DC2479"/>
    <w:sectPr w:rsidR="00DC2479" w:rsidSect="00B637E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E3"/>
    <w:rsid w:val="005B6877"/>
    <w:rsid w:val="005C1B94"/>
    <w:rsid w:val="00AA0C39"/>
    <w:rsid w:val="00B637E3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C12A4"/>
  <w15:chartTrackingRefBased/>
  <w15:docId w15:val="{0C0F75FA-FC6D-438E-BB7C-D8F5CA89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7E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37E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7E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7E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7E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7E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7E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7E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7E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7E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7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7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7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7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7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7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7E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B63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7E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63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7E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B637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7E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B637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7E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7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7E3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63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2026-06-24T17:55:00Z</dcterms:created>
  <dcterms:modified xsi:type="dcterms:W3CDTF">2026-06-24T17:56:00Z</dcterms:modified>
</cp:coreProperties>
</file>