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252B" w14:textId="77777777" w:rsidR="006A270A" w:rsidRPr="006A270A" w:rsidRDefault="006A270A" w:rsidP="006A270A">
      <w:pPr>
        <w:rPr>
          <w:rFonts w:ascii="Arial" w:hAnsi="Arial" w:cs="Arial"/>
          <w:b/>
          <w:bCs/>
          <w:sz w:val="20"/>
          <w:szCs w:val="20"/>
        </w:rPr>
      </w:pPr>
      <w:r w:rsidRPr="006A270A">
        <w:rPr>
          <w:rFonts w:ascii="Arial" w:hAnsi="Arial" w:cs="Arial"/>
          <w:b/>
          <w:bCs/>
          <w:sz w:val="20"/>
          <w:szCs w:val="20"/>
        </w:rPr>
        <w:t xml:space="preserve">1. </w:t>
      </w:r>
      <w:proofErr w:type="spellStart"/>
      <w:r w:rsidRPr="006A270A">
        <w:rPr>
          <w:rFonts w:ascii="Arial" w:hAnsi="Arial" w:cs="Arial"/>
          <w:b/>
          <w:bCs/>
          <w:sz w:val="20"/>
          <w:szCs w:val="20"/>
        </w:rPr>
        <w:t>Hoenigl</w:t>
      </w:r>
      <w:proofErr w:type="spellEnd"/>
      <w:r w:rsidRPr="006A270A">
        <w:rPr>
          <w:rFonts w:ascii="Arial" w:hAnsi="Arial" w:cs="Arial"/>
          <w:b/>
          <w:bCs/>
          <w:sz w:val="20"/>
          <w:szCs w:val="20"/>
        </w:rPr>
        <w:t xml:space="preserve"> et al. / 2010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4"/>
        <w:gridCol w:w="7852"/>
      </w:tblGrid>
      <w:tr w:rsidR="006A270A" w:rsidRPr="006A270A" w14:paraId="0E5C9330" w14:textId="77777777" w:rsidTr="006A270A">
        <w:trPr>
          <w:trHeight w:val="54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AECA65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Column</w:t>
            </w:r>
          </w:p>
        </w:tc>
        <w:tc>
          <w:tcPr>
            <w:tcW w:w="0" w:type="auto"/>
            <w:vAlign w:val="center"/>
            <w:hideMark/>
          </w:tcPr>
          <w:p w14:paraId="3597747C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Entry</w:t>
            </w:r>
          </w:p>
        </w:tc>
      </w:tr>
      <w:tr w:rsidR="006A270A" w:rsidRPr="006A270A" w14:paraId="3307B2D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875F9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Reference / publication year</w:t>
            </w:r>
          </w:p>
        </w:tc>
        <w:tc>
          <w:tcPr>
            <w:tcW w:w="0" w:type="auto"/>
            <w:vAlign w:val="center"/>
            <w:hideMark/>
          </w:tcPr>
          <w:p w14:paraId="346C1FAB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270A">
              <w:rPr>
                <w:rFonts w:ascii="Arial" w:hAnsi="Arial" w:cs="Arial"/>
                <w:sz w:val="20"/>
                <w:szCs w:val="20"/>
              </w:rPr>
              <w:t>Hoenigl</w:t>
            </w:r>
            <w:proofErr w:type="spellEnd"/>
            <w:r w:rsidRPr="006A270A">
              <w:rPr>
                <w:rFonts w:ascii="Arial" w:hAnsi="Arial" w:cs="Arial"/>
                <w:sz w:val="20"/>
                <w:szCs w:val="20"/>
              </w:rPr>
              <w:t xml:space="preserve"> et al. / 2010</w:t>
            </w:r>
          </w:p>
        </w:tc>
      </w:tr>
      <w:tr w:rsidR="006A270A" w:rsidRPr="006A270A" w14:paraId="6A77D107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4EC7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Age, sex</w:t>
            </w:r>
          </w:p>
        </w:tc>
        <w:tc>
          <w:tcPr>
            <w:tcW w:w="0" w:type="auto"/>
            <w:vAlign w:val="center"/>
            <w:hideMark/>
          </w:tcPr>
          <w:p w14:paraId="3FD1B0C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52, male</w:t>
            </w:r>
          </w:p>
        </w:tc>
      </w:tr>
      <w:tr w:rsidR="006A270A" w:rsidRPr="006A270A" w14:paraId="3CF9076B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AFAB9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Comorbidities</w:t>
            </w:r>
          </w:p>
        </w:tc>
        <w:tc>
          <w:tcPr>
            <w:tcW w:w="0" w:type="auto"/>
            <w:vAlign w:val="center"/>
            <w:hideMark/>
          </w:tcPr>
          <w:p w14:paraId="01914462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Prior middle cerebral artery stroke, mechanical aortic valve replacement 2 years earlier, gastric-duodenal angiodysplasia</w:t>
            </w:r>
          </w:p>
        </w:tc>
      </w:tr>
      <w:tr w:rsidR="006A270A" w:rsidRPr="006A270A" w14:paraId="66F8A0D3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9E66F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Urinary tract intervention</w:t>
            </w:r>
          </w:p>
        </w:tc>
        <w:tc>
          <w:tcPr>
            <w:tcW w:w="0" w:type="auto"/>
            <w:vAlign w:val="center"/>
            <w:hideMark/>
          </w:tcPr>
          <w:p w14:paraId="2FE107E5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6A270A" w:rsidRPr="006A270A" w14:paraId="6A7A6085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EA72D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Presumed portal of entry</w:t>
            </w:r>
          </w:p>
        </w:tc>
        <w:tc>
          <w:tcPr>
            <w:tcW w:w="0" w:type="auto"/>
            <w:vAlign w:val="center"/>
            <w:hideMark/>
          </w:tcPr>
          <w:p w14:paraId="5DA05219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Not identified</w:t>
            </w:r>
          </w:p>
        </w:tc>
      </w:tr>
      <w:tr w:rsidR="006A270A" w:rsidRPr="006A270A" w14:paraId="36D383CC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5CD8B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Valve type</w:t>
            </w:r>
          </w:p>
        </w:tc>
        <w:tc>
          <w:tcPr>
            <w:tcW w:w="0" w:type="auto"/>
            <w:vAlign w:val="center"/>
            <w:hideMark/>
          </w:tcPr>
          <w:p w14:paraId="6C3B37AB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Prosthetic, mechanical</w:t>
            </w:r>
          </w:p>
        </w:tc>
      </w:tr>
      <w:tr w:rsidR="006A270A" w:rsidRPr="006A270A" w14:paraId="05BD2672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73F98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Location of infected valve</w:t>
            </w:r>
          </w:p>
        </w:tc>
        <w:tc>
          <w:tcPr>
            <w:tcW w:w="0" w:type="auto"/>
            <w:vAlign w:val="center"/>
            <w:hideMark/>
          </w:tcPr>
          <w:p w14:paraId="5B37C63E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Aortic</w:t>
            </w:r>
          </w:p>
        </w:tc>
      </w:tr>
      <w:tr w:rsidR="006A270A" w:rsidRPr="006A270A" w14:paraId="1BC235C3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8A8CC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Local complication</w:t>
            </w:r>
          </w:p>
        </w:tc>
        <w:tc>
          <w:tcPr>
            <w:tcW w:w="0" w:type="auto"/>
            <w:vAlign w:val="center"/>
            <w:hideMark/>
          </w:tcPr>
          <w:p w14:paraId="63F07B9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Filiform vegetation on the prosthetic aortic valve; no abscess or prosthetic dehiscence reported</w:t>
            </w:r>
          </w:p>
        </w:tc>
      </w:tr>
      <w:tr w:rsidR="006A270A" w:rsidRPr="006A270A" w14:paraId="5A3F8CB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952E85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Systemic complication</w:t>
            </w:r>
          </w:p>
        </w:tc>
        <w:tc>
          <w:tcPr>
            <w:tcW w:w="0" w:type="auto"/>
            <w:vAlign w:val="center"/>
            <w:hideMark/>
          </w:tcPr>
          <w:p w14:paraId="6A264C0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Fever, Janeway lesions, middle cerebral artery stroke</w:t>
            </w:r>
          </w:p>
        </w:tc>
      </w:tr>
      <w:tr w:rsidR="006A270A" w:rsidRPr="006A270A" w14:paraId="0D309380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6696D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Microbiological confirmation</w:t>
            </w:r>
          </w:p>
        </w:tc>
        <w:tc>
          <w:tcPr>
            <w:tcW w:w="0" w:type="auto"/>
            <w:vAlign w:val="center"/>
            <w:hideMark/>
          </w:tcPr>
          <w:p w14:paraId="38075ABB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 xml:space="preserve">Blood cultures positive; Gram-positive coryneform rods; 16S rRNA gene sequencing showed 99.7% homology with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Actinobaculum</w:t>
            </w:r>
            <w:proofErr w:type="spellEnd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schaalii</w:t>
            </w:r>
            <w:proofErr w:type="spellEnd"/>
          </w:p>
        </w:tc>
      </w:tr>
      <w:tr w:rsidR="006A270A" w:rsidRPr="006A270A" w14:paraId="440FF922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747A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Diagnostic issue</w:t>
            </w:r>
          </w:p>
        </w:tc>
        <w:tc>
          <w:tcPr>
            <w:tcW w:w="0" w:type="auto"/>
            <w:vAlign w:val="center"/>
            <w:hideMark/>
          </w:tcPr>
          <w:p w14:paraId="15A3B2D3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Earlier blood cultures showed coryneform rods that did not grow in culture; initial phenotypic identification was unsatisfactory; urine culture remained negative despite prolonged incubation</w:t>
            </w:r>
          </w:p>
        </w:tc>
      </w:tr>
      <w:tr w:rsidR="006A270A" w:rsidRPr="006A270A" w14:paraId="7EBD6821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554D6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Surgery</w:t>
            </w:r>
          </w:p>
        </w:tc>
        <w:tc>
          <w:tcPr>
            <w:tcW w:w="0" w:type="auto"/>
            <w:vAlign w:val="center"/>
            <w:hideMark/>
          </w:tcPr>
          <w:p w14:paraId="1A245429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6A270A" w:rsidRPr="006A270A" w14:paraId="5C27512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0C5E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Antibiotics</w:t>
            </w:r>
          </w:p>
        </w:tc>
        <w:tc>
          <w:tcPr>
            <w:tcW w:w="0" w:type="auto"/>
            <w:vAlign w:val="center"/>
            <w:hideMark/>
          </w:tcPr>
          <w:p w14:paraId="0CC42760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Piperacillin–tazobactam followed by amoxicillin–clavulanate</w:t>
            </w:r>
          </w:p>
        </w:tc>
      </w:tr>
      <w:tr w:rsidR="006A270A" w:rsidRPr="006A270A" w14:paraId="1B13ED25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1701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14159579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56 days</w:t>
            </w:r>
          </w:p>
        </w:tc>
      </w:tr>
      <w:tr w:rsidR="006A270A" w:rsidRPr="006A270A" w14:paraId="2E9DEAA0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D620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lastRenderedPageBreak/>
              <w:t>Outcome</w:t>
            </w:r>
          </w:p>
        </w:tc>
        <w:tc>
          <w:tcPr>
            <w:tcW w:w="0" w:type="auto"/>
            <w:vAlign w:val="center"/>
            <w:hideMark/>
          </w:tcPr>
          <w:p w14:paraId="7326B295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Improved</w:t>
            </w:r>
          </w:p>
        </w:tc>
      </w:tr>
    </w:tbl>
    <w:p w14:paraId="038E28B5" w14:textId="77777777" w:rsidR="006A270A" w:rsidRDefault="006A270A" w:rsidP="006A270A">
      <w:pPr>
        <w:rPr>
          <w:rFonts w:ascii="Arial" w:hAnsi="Arial" w:cs="Arial"/>
          <w:b/>
          <w:bCs/>
          <w:sz w:val="20"/>
          <w:szCs w:val="20"/>
        </w:rPr>
      </w:pPr>
    </w:p>
    <w:p w14:paraId="669E3615" w14:textId="35792506" w:rsidR="006A270A" w:rsidRPr="006A270A" w:rsidRDefault="006A270A" w:rsidP="006A270A">
      <w:pPr>
        <w:rPr>
          <w:rFonts w:ascii="Arial" w:hAnsi="Arial" w:cs="Arial"/>
          <w:b/>
          <w:bCs/>
          <w:sz w:val="20"/>
          <w:szCs w:val="20"/>
        </w:rPr>
      </w:pPr>
      <w:r w:rsidRPr="006A270A">
        <w:rPr>
          <w:rFonts w:ascii="Arial" w:hAnsi="Arial" w:cs="Arial"/>
          <w:b/>
          <w:bCs/>
          <w:sz w:val="20"/>
          <w:szCs w:val="20"/>
        </w:rPr>
        <w:t>2. Diallo et al. / 2018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3"/>
        <w:gridCol w:w="7943"/>
      </w:tblGrid>
      <w:tr w:rsidR="006A270A" w:rsidRPr="006A270A" w14:paraId="0A562655" w14:textId="77777777" w:rsidTr="006A270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8DA2C9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Column</w:t>
            </w:r>
          </w:p>
        </w:tc>
        <w:tc>
          <w:tcPr>
            <w:tcW w:w="0" w:type="auto"/>
            <w:vAlign w:val="center"/>
            <w:hideMark/>
          </w:tcPr>
          <w:p w14:paraId="7AAAED15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Entry</w:t>
            </w:r>
          </w:p>
        </w:tc>
      </w:tr>
      <w:tr w:rsidR="006A270A" w:rsidRPr="006A270A" w14:paraId="7A076B74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94D5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Reference / publication year</w:t>
            </w:r>
          </w:p>
        </w:tc>
        <w:tc>
          <w:tcPr>
            <w:tcW w:w="0" w:type="auto"/>
            <w:vAlign w:val="center"/>
            <w:hideMark/>
          </w:tcPr>
          <w:p w14:paraId="4DE8E0DD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Diallo et al. / 2018</w:t>
            </w:r>
          </w:p>
        </w:tc>
      </w:tr>
      <w:tr w:rsidR="006A270A" w:rsidRPr="006A270A" w14:paraId="6A73C88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233E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Age, sex</w:t>
            </w:r>
          </w:p>
        </w:tc>
        <w:tc>
          <w:tcPr>
            <w:tcW w:w="0" w:type="auto"/>
            <w:vAlign w:val="center"/>
            <w:hideMark/>
          </w:tcPr>
          <w:p w14:paraId="147F15CB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63, male</w:t>
            </w:r>
          </w:p>
        </w:tc>
      </w:tr>
      <w:tr w:rsidR="006A270A" w:rsidRPr="006A270A" w14:paraId="61AE4B38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12E05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Comorbidities</w:t>
            </w:r>
          </w:p>
        </w:tc>
        <w:tc>
          <w:tcPr>
            <w:tcW w:w="0" w:type="auto"/>
            <w:vAlign w:val="center"/>
            <w:hideMark/>
          </w:tcPr>
          <w:p w14:paraId="37AF787E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Benign prostatic hyperplasia; recent transurethral resection of the prostate</w:t>
            </w:r>
          </w:p>
        </w:tc>
      </w:tr>
      <w:tr w:rsidR="006A270A" w:rsidRPr="006A270A" w14:paraId="44EB6F08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88E30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Urinary tract intervention</w:t>
            </w:r>
          </w:p>
        </w:tc>
        <w:tc>
          <w:tcPr>
            <w:tcW w:w="0" w:type="auto"/>
            <w:vAlign w:val="center"/>
            <w:hideMark/>
          </w:tcPr>
          <w:p w14:paraId="6FC3C863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Yes; transurethral resection of the prostate</w:t>
            </w:r>
          </w:p>
        </w:tc>
      </w:tr>
      <w:tr w:rsidR="006A270A" w:rsidRPr="006A270A" w14:paraId="7ED86B5E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F637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Presumed portal of entry</w:t>
            </w:r>
          </w:p>
        </w:tc>
        <w:tc>
          <w:tcPr>
            <w:tcW w:w="0" w:type="auto"/>
            <w:vAlign w:val="center"/>
            <w:hideMark/>
          </w:tcPr>
          <w:p w14:paraId="4468AD9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Urogenital tract</w:t>
            </w:r>
          </w:p>
        </w:tc>
      </w:tr>
      <w:tr w:rsidR="006A270A" w:rsidRPr="006A270A" w14:paraId="37B8ADE5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BFC7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Valve type</w:t>
            </w:r>
          </w:p>
        </w:tc>
        <w:tc>
          <w:tcPr>
            <w:tcW w:w="0" w:type="auto"/>
            <w:vAlign w:val="center"/>
            <w:hideMark/>
          </w:tcPr>
          <w:p w14:paraId="2E31633C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Native</w:t>
            </w:r>
          </w:p>
        </w:tc>
      </w:tr>
      <w:tr w:rsidR="006A270A" w:rsidRPr="006A270A" w14:paraId="214CB42D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3ED6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Location of infected valve</w:t>
            </w:r>
          </w:p>
        </w:tc>
        <w:tc>
          <w:tcPr>
            <w:tcW w:w="0" w:type="auto"/>
            <w:vAlign w:val="center"/>
            <w:hideMark/>
          </w:tcPr>
          <w:p w14:paraId="22E75FA3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Aortic and tricuspid</w:t>
            </w:r>
          </w:p>
        </w:tc>
      </w:tr>
      <w:tr w:rsidR="006A270A" w:rsidRPr="006A270A" w14:paraId="6906A2AA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8F286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Local complication</w:t>
            </w:r>
          </w:p>
        </w:tc>
        <w:tc>
          <w:tcPr>
            <w:tcW w:w="0" w:type="auto"/>
            <w:vAlign w:val="center"/>
            <w:hideMark/>
          </w:tcPr>
          <w:p w14:paraId="6A6CBFCA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Tricuspid vegetation measuring 2 × 2 cm; grade 3 aortic regurgitation; no abscess reported</w:t>
            </w:r>
          </w:p>
        </w:tc>
      </w:tr>
      <w:tr w:rsidR="006A270A" w:rsidRPr="006A270A" w14:paraId="0E18F684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B3E62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Systemic complication</w:t>
            </w:r>
          </w:p>
        </w:tc>
        <w:tc>
          <w:tcPr>
            <w:tcW w:w="0" w:type="auto"/>
            <w:vAlign w:val="center"/>
            <w:hideMark/>
          </w:tcPr>
          <w:p w14:paraId="64B4FB4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Acute heart failure</w:t>
            </w:r>
          </w:p>
        </w:tc>
      </w:tr>
      <w:tr w:rsidR="006A270A" w:rsidRPr="006A270A" w14:paraId="78FA12C3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5D50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Microbiological confirmation</w:t>
            </w:r>
          </w:p>
        </w:tc>
        <w:tc>
          <w:tcPr>
            <w:tcW w:w="0" w:type="auto"/>
            <w:vAlign w:val="center"/>
            <w:hideMark/>
          </w:tcPr>
          <w:p w14:paraId="50B98A43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 xml:space="preserve">Blood culture isolate identified as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Actinotignum</w:t>
            </w:r>
            <w:proofErr w:type="spellEnd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schaalii</w:t>
            </w:r>
            <w:proofErr w:type="spellEnd"/>
            <w:r w:rsidRPr="006A270A">
              <w:rPr>
                <w:rFonts w:ascii="Arial" w:hAnsi="Arial" w:cs="Arial"/>
                <w:sz w:val="20"/>
                <w:szCs w:val="20"/>
              </w:rPr>
              <w:t xml:space="preserve"> by </w:t>
            </w:r>
            <w:proofErr w:type="spellStart"/>
            <w:r w:rsidRPr="006A270A">
              <w:rPr>
                <w:rFonts w:ascii="Arial" w:hAnsi="Arial" w:cs="Arial"/>
                <w:sz w:val="20"/>
                <w:szCs w:val="20"/>
              </w:rPr>
              <w:t>Vitek</w:t>
            </w:r>
            <w:proofErr w:type="spellEnd"/>
            <w:r w:rsidRPr="006A270A">
              <w:rPr>
                <w:rFonts w:ascii="Arial" w:hAnsi="Arial" w:cs="Arial"/>
                <w:sz w:val="20"/>
                <w:szCs w:val="20"/>
              </w:rPr>
              <w:t xml:space="preserve"> MS; stored urine specimen became positive for </w:t>
            </w:r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A.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schaalii</w:t>
            </w:r>
            <w:proofErr w:type="spellEnd"/>
            <w:r w:rsidRPr="006A270A">
              <w:rPr>
                <w:rFonts w:ascii="Arial" w:hAnsi="Arial" w:cs="Arial"/>
                <w:sz w:val="20"/>
                <w:szCs w:val="20"/>
              </w:rPr>
              <w:t xml:space="preserve"> after anaerobic reinoculation; broad-range 16S rRNA PCR of both aortic and tricuspid valves was positive</w:t>
            </w:r>
          </w:p>
        </w:tc>
      </w:tr>
      <w:tr w:rsidR="006A270A" w:rsidRPr="006A270A" w14:paraId="71E7AC4D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ECEA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Diagnostic issue</w:t>
            </w:r>
          </w:p>
        </w:tc>
        <w:tc>
          <w:tcPr>
            <w:tcW w:w="0" w:type="auto"/>
            <w:vAlign w:val="center"/>
            <w:hideMark/>
          </w:tcPr>
          <w:p w14:paraId="493ADAC6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 xml:space="preserve">Routine aerobic urine culture initially yielded only </w:t>
            </w:r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E. coli</w:t>
            </w:r>
            <w:r w:rsidRPr="006A270A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A.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schaalii</w:t>
            </w:r>
            <w:proofErr w:type="spellEnd"/>
            <w:r w:rsidRPr="006A270A">
              <w:rPr>
                <w:rFonts w:ascii="Arial" w:hAnsi="Arial" w:cs="Arial"/>
                <w:sz w:val="20"/>
                <w:szCs w:val="20"/>
              </w:rPr>
              <w:t xml:space="preserve"> was detected only after anaerobic reinoculation of the stored urine specimen; valve cultures were negative despite positive 16S rRNA PCR</w:t>
            </w:r>
          </w:p>
        </w:tc>
      </w:tr>
      <w:tr w:rsidR="006A270A" w:rsidRPr="006A270A" w14:paraId="520BAB4B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A0606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lastRenderedPageBreak/>
              <w:t>Surgery</w:t>
            </w:r>
          </w:p>
        </w:tc>
        <w:tc>
          <w:tcPr>
            <w:tcW w:w="0" w:type="auto"/>
            <w:vAlign w:val="center"/>
            <w:hideMark/>
          </w:tcPr>
          <w:p w14:paraId="6455FE5A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Yes; aortic and tricuspid valve replacement with bioprosthetic valves</w:t>
            </w:r>
          </w:p>
        </w:tc>
      </w:tr>
      <w:tr w:rsidR="006A270A" w:rsidRPr="006A270A" w14:paraId="7D570A38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74BF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Antibiotics</w:t>
            </w:r>
          </w:p>
        </w:tc>
        <w:tc>
          <w:tcPr>
            <w:tcW w:w="0" w:type="auto"/>
            <w:vAlign w:val="center"/>
            <w:hideMark/>
          </w:tcPr>
          <w:p w14:paraId="26EA15E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Amoxicillin plus gentamicin; cefazolin was used empirically and stopped after 5 days</w:t>
            </w:r>
          </w:p>
        </w:tc>
      </w:tr>
      <w:tr w:rsidR="006A270A" w:rsidRPr="006A270A" w14:paraId="5449800D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FF53E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3DDFF86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Amoxicillin 28 days; gentamicin 14 days</w:t>
            </w:r>
          </w:p>
        </w:tc>
      </w:tr>
      <w:tr w:rsidR="006A270A" w:rsidRPr="006A270A" w14:paraId="5C82753A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25D7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1589A4C2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Improved; complete clinical and microbiological recovery</w:t>
            </w:r>
          </w:p>
        </w:tc>
      </w:tr>
    </w:tbl>
    <w:p w14:paraId="75DCD0EF" w14:textId="77777777" w:rsidR="006A270A" w:rsidRDefault="006A270A" w:rsidP="006A270A">
      <w:pPr>
        <w:rPr>
          <w:rFonts w:ascii="Arial" w:hAnsi="Arial" w:cs="Arial"/>
          <w:b/>
          <w:bCs/>
          <w:sz w:val="20"/>
          <w:szCs w:val="20"/>
        </w:rPr>
      </w:pPr>
    </w:p>
    <w:p w14:paraId="3F9DA72C" w14:textId="7FBC4CD7" w:rsidR="006A270A" w:rsidRPr="006A270A" w:rsidRDefault="006A270A" w:rsidP="006A270A">
      <w:pPr>
        <w:rPr>
          <w:rFonts w:ascii="Arial" w:hAnsi="Arial" w:cs="Arial"/>
          <w:b/>
          <w:bCs/>
          <w:sz w:val="20"/>
          <w:szCs w:val="20"/>
        </w:rPr>
      </w:pPr>
      <w:r w:rsidRPr="006A270A">
        <w:rPr>
          <w:rFonts w:ascii="Arial" w:hAnsi="Arial" w:cs="Arial"/>
          <w:b/>
          <w:bCs/>
          <w:sz w:val="20"/>
          <w:szCs w:val="20"/>
        </w:rPr>
        <w:t xml:space="preserve">3. </w:t>
      </w:r>
      <w:proofErr w:type="spellStart"/>
      <w:r w:rsidRPr="006A270A">
        <w:rPr>
          <w:rFonts w:ascii="Arial" w:hAnsi="Arial" w:cs="Arial"/>
          <w:b/>
          <w:bCs/>
          <w:sz w:val="20"/>
          <w:szCs w:val="20"/>
        </w:rPr>
        <w:t>Loïez</w:t>
      </w:r>
      <w:proofErr w:type="spellEnd"/>
      <w:r w:rsidRPr="006A270A">
        <w:rPr>
          <w:rFonts w:ascii="Arial" w:hAnsi="Arial" w:cs="Arial"/>
          <w:b/>
          <w:bCs/>
          <w:sz w:val="20"/>
          <w:szCs w:val="20"/>
        </w:rPr>
        <w:t xml:space="preserve"> et al. / 2018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0"/>
        <w:gridCol w:w="7806"/>
      </w:tblGrid>
      <w:tr w:rsidR="006A270A" w:rsidRPr="006A270A" w14:paraId="4AE9494C" w14:textId="77777777" w:rsidTr="006A270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232538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Column</w:t>
            </w:r>
          </w:p>
        </w:tc>
        <w:tc>
          <w:tcPr>
            <w:tcW w:w="0" w:type="auto"/>
            <w:vAlign w:val="center"/>
            <w:hideMark/>
          </w:tcPr>
          <w:p w14:paraId="45578DD7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Entry</w:t>
            </w:r>
          </w:p>
        </w:tc>
      </w:tr>
      <w:tr w:rsidR="006A270A" w:rsidRPr="006A270A" w14:paraId="642FDDF0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DBA6E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Reference / publication year</w:t>
            </w:r>
          </w:p>
        </w:tc>
        <w:tc>
          <w:tcPr>
            <w:tcW w:w="0" w:type="auto"/>
            <w:vAlign w:val="center"/>
            <w:hideMark/>
          </w:tcPr>
          <w:p w14:paraId="0DD5F54A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270A">
              <w:rPr>
                <w:rFonts w:ascii="Arial" w:hAnsi="Arial" w:cs="Arial"/>
                <w:sz w:val="20"/>
                <w:szCs w:val="20"/>
              </w:rPr>
              <w:t>Loïez</w:t>
            </w:r>
            <w:proofErr w:type="spellEnd"/>
            <w:r w:rsidRPr="006A270A">
              <w:rPr>
                <w:rFonts w:ascii="Arial" w:hAnsi="Arial" w:cs="Arial"/>
                <w:sz w:val="20"/>
                <w:szCs w:val="20"/>
              </w:rPr>
              <w:t xml:space="preserve"> et al. / 2018</w:t>
            </w:r>
          </w:p>
        </w:tc>
      </w:tr>
      <w:tr w:rsidR="006A270A" w:rsidRPr="006A270A" w14:paraId="40BDC6AF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23A06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Age, sex</w:t>
            </w:r>
          </w:p>
        </w:tc>
        <w:tc>
          <w:tcPr>
            <w:tcW w:w="0" w:type="auto"/>
            <w:vAlign w:val="center"/>
            <w:hideMark/>
          </w:tcPr>
          <w:p w14:paraId="2258B8F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89, male</w:t>
            </w:r>
          </w:p>
        </w:tc>
      </w:tr>
      <w:tr w:rsidR="006A270A" w:rsidRPr="006A270A" w14:paraId="7C9ECA88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BFC5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Comorbidities</w:t>
            </w:r>
          </w:p>
        </w:tc>
        <w:tc>
          <w:tcPr>
            <w:tcW w:w="0" w:type="auto"/>
            <w:vAlign w:val="center"/>
            <w:hideMark/>
          </w:tcPr>
          <w:p w14:paraId="6E8B99F9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Prostatism</w:t>
            </w:r>
          </w:p>
        </w:tc>
      </w:tr>
      <w:tr w:rsidR="006A270A" w:rsidRPr="006A270A" w14:paraId="635EA055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CC4F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Urinary tract intervention</w:t>
            </w:r>
          </w:p>
        </w:tc>
        <w:tc>
          <w:tcPr>
            <w:tcW w:w="0" w:type="auto"/>
            <w:vAlign w:val="center"/>
            <w:hideMark/>
          </w:tcPr>
          <w:p w14:paraId="34ACC71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6A270A" w:rsidRPr="006A270A" w14:paraId="35B97851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39DB0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Presumed portal of entry</w:t>
            </w:r>
          </w:p>
        </w:tc>
        <w:tc>
          <w:tcPr>
            <w:tcW w:w="0" w:type="auto"/>
            <w:vAlign w:val="center"/>
            <w:hideMark/>
          </w:tcPr>
          <w:p w14:paraId="0695A3CC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Urogenital tract suspected but not microbiologically confirmed</w:t>
            </w:r>
          </w:p>
        </w:tc>
      </w:tr>
      <w:tr w:rsidR="006A270A" w:rsidRPr="006A270A" w14:paraId="47C5FEF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97F8A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Valve type</w:t>
            </w:r>
          </w:p>
        </w:tc>
        <w:tc>
          <w:tcPr>
            <w:tcW w:w="0" w:type="auto"/>
            <w:vAlign w:val="center"/>
            <w:hideMark/>
          </w:tcPr>
          <w:p w14:paraId="49AE88E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Native</w:t>
            </w:r>
          </w:p>
        </w:tc>
      </w:tr>
      <w:tr w:rsidR="006A270A" w:rsidRPr="006A270A" w14:paraId="7A794A16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36B2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Location of infected valve</w:t>
            </w:r>
          </w:p>
        </w:tc>
        <w:tc>
          <w:tcPr>
            <w:tcW w:w="0" w:type="auto"/>
            <w:vAlign w:val="center"/>
            <w:hideMark/>
          </w:tcPr>
          <w:p w14:paraId="76C18E3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Aortic</w:t>
            </w:r>
          </w:p>
        </w:tc>
      </w:tr>
      <w:tr w:rsidR="006A270A" w:rsidRPr="006A270A" w14:paraId="40AD92B1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C2F19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Local complication</w:t>
            </w:r>
          </w:p>
        </w:tc>
        <w:tc>
          <w:tcPr>
            <w:tcW w:w="0" w:type="auto"/>
            <w:vAlign w:val="center"/>
            <w:hideMark/>
          </w:tcPr>
          <w:p w14:paraId="4647845C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Large aortic valve vegetation measuring 21 mm; no abscess reported</w:t>
            </w:r>
          </w:p>
        </w:tc>
      </w:tr>
      <w:tr w:rsidR="006A270A" w:rsidRPr="006A270A" w14:paraId="3EC76B8A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15EE6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Systemic complication</w:t>
            </w:r>
          </w:p>
        </w:tc>
        <w:tc>
          <w:tcPr>
            <w:tcW w:w="0" w:type="auto"/>
            <w:vAlign w:val="center"/>
            <w:hideMark/>
          </w:tcPr>
          <w:p w14:paraId="2A028C2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Heart failure at presentation; postoperative diaphragmatic paralysis requiring ventilatory assistance</w:t>
            </w:r>
          </w:p>
        </w:tc>
      </w:tr>
      <w:tr w:rsidR="006A270A" w:rsidRPr="006A270A" w14:paraId="2D8A745E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56FE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Microbiological confirmation</w:t>
            </w:r>
          </w:p>
        </w:tc>
        <w:tc>
          <w:tcPr>
            <w:tcW w:w="0" w:type="auto"/>
            <w:vAlign w:val="center"/>
            <w:hideMark/>
          </w:tcPr>
          <w:p w14:paraId="4B5240BD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 xml:space="preserve">Blood cultures positive; organism identified by MALDI-TOF MS and 16S rDNA sequencing; cardiac valve culture also yielded </w:t>
            </w:r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A.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schaalii</w:t>
            </w:r>
            <w:proofErr w:type="spellEnd"/>
            <w:r w:rsidRPr="006A270A">
              <w:rPr>
                <w:rFonts w:ascii="Arial" w:hAnsi="Arial" w:cs="Arial"/>
                <w:sz w:val="20"/>
                <w:szCs w:val="20"/>
              </w:rPr>
              <w:t xml:space="preserve"> after prolonged incubation</w:t>
            </w:r>
          </w:p>
        </w:tc>
      </w:tr>
      <w:tr w:rsidR="006A270A" w:rsidRPr="006A270A" w14:paraId="26723F64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F0E9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Diagnostic issue</w:t>
            </w:r>
          </w:p>
        </w:tc>
        <w:tc>
          <w:tcPr>
            <w:tcW w:w="0" w:type="auto"/>
            <w:vAlign w:val="center"/>
            <w:hideMark/>
          </w:tcPr>
          <w:p w14:paraId="77FFABE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 xml:space="preserve">Blood culture direct examination suggested a coryneform Gram-positive rod; urinary </w:t>
            </w:r>
            <w:r w:rsidRPr="006A270A">
              <w:rPr>
                <w:rFonts w:ascii="Arial" w:hAnsi="Arial" w:cs="Arial"/>
                <w:sz w:val="20"/>
                <w:szCs w:val="20"/>
              </w:rPr>
              <w:lastRenderedPageBreak/>
              <w:t>symptoms were absent; urine culture positivity was not reported</w:t>
            </w:r>
          </w:p>
        </w:tc>
      </w:tr>
      <w:tr w:rsidR="006A270A" w:rsidRPr="006A270A" w14:paraId="5EC8DADA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6B905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lastRenderedPageBreak/>
              <w:t>Surgery</w:t>
            </w:r>
          </w:p>
        </w:tc>
        <w:tc>
          <w:tcPr>
            <w:tcW w:w="0" w:type="auto"/>
            <w:vAlign w:val="center"/>
            <w:hideMark/>
          </w:tcPr>
          <w:p w14:paraId="1F24B88E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Yes; biological aortic valve replacement</w:t>
            </w:r>
          </w:p>
        </w:tc>
      </w:tr>
      <w:tr w:rsidR="006A270A" w:rsidRPr="006A270A" w14:paraId="222E7001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80D10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Antibiotics</w:t>
            </w:r>
          </w:p>
        </w:tc>
        <w:tc>
          <w:tcPr>
            <w:tcW w:w="0" w:type="auto"/>
            <w:vAlign w:val="center"/>
            <w:hideMark/>
          </w:tcPr>
          <w:p w14:paraId="1AE0191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Amoxicillin-based therapy; initial amoxicillin/amoxicillin–clavulanate plus gentamicin</w:t>
            </w:r>
          </w:p>
        </w:tc>
      </w:tr>
      <w:tr w:rsidR="006A270A" w:rsidRPr="006A270A" w14:paraId="00AAB4E0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B8D22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06B2491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Not reported</w:t>
            </w:r>
          </w:p>
        </w:tc>
      </w:tr>
      <w:tr w:rsidR="006A270A" w:rsidRPr="006A270A" w14:paraId="327A006F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9ADB9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32BA5C7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Improved; cardiological evolution was good</w:t>
            </w:r>
          </w:p>
        </w:tc>
      </w:tr>
    </w:tbl>
    <w:p w14:paraId="788BB4A2" w14:textId="77777777" w:rsidR="006A270A" w:rsidRDefault="006A270A" w:rsidP="006A270A">
      <w:pPr>
        <w:rPr>
          <w:rFonts w:ascii="Arial" w:hAnsi="Arial" w:cs="Arial"/>
          <w:b/>
          <w:bCs/>
          <w:sz w:val="20"/>
          <w:szCs w:val="20"/>
        </w:rPr>
      </w:pPr>
    </w:p>
    <w:p w14:paraId="0B1272DF" w14:textId="33485257" w:rsidR="006A270A" w:rsidRPr="006A270A" w:rsidRDefault="006A270A" w:rsidP="006A270A">
      <w:pPr>
        <w:rPr>
          <w:rFonts w:ascii="Arial" w:hAnsi="Arial" w:cs="Arial"/>
          <w:b/>
          <w:bCs/>
          <w:sz w:val="20"/>
          <w:szCs w:val="20"/>
        </w:rPr>
      </w:pPr>
      <w:r w:rsidRPr="006A270A">
        <w:rPr>
          <w:rFonts w:ascii="Arial" w:hAnsi="Arial" w:cs="Arial"/>
          <w:b/>
          <w:bCs/>
          <w:sz w:val="20"/>
          <w:szCs w:val="20"/>
        </w:rPr>
        <w:t>4. Premkumar et al. / 2022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5"/>
        <w:gridCol w:w="7581"/>
      </w:tblGrid>
      <w:tr w:rsidR="006A270A" w:rsidRPr="006A270A" w14:paraId="4CC77622" w14:textId="77777777" w:rsidTr="006A270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CD92B7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Column</w:t>
            </w:r>
          </w:p>
        </w:tc>
        <w:tc>
          <w:tcPr>
            <w:tcW w:w="0" w:type="auto"/>
            <w:vAlign w:val="center"/>
            <w:hideMark/>
          </w:tcPr>
          <w:p w14:paraId="3282536E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Entry</w:t>
            </w:r>
          </w:p>
        </w:tc>
      </w:tr>
      <w:tr w:rsidR="006A270A" w:rsidRPr="006A270A" w14:paraId="0301F190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BC1A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Reference / publication year</w:t>
            </w:r>
          </w:p>
        </w:tc>
        <w:tc>
          <w:tcPr>
            <w:tcW w:w="0" w:type="auto"/>
            <w:vAlign w:val="center"/>
            <w:hideMark/>
          </w:tcPr>
          <w:p w14:paraId="2D111290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Premkumar et al. / 2022</w:t>
            </w:r>
          </w:p>
        </w:tc>
      </w:tr>
      <w:tr w:rsidR="006A270A" w:rsidRPr="006A270A" w14:paraId="28FF1186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CCD3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Age, sex</w:t>
            </w:r>
          </w:p>
        </w:tc>
        <w:tc>
          <w:tcPr>
            <w:tcW w:w="0" w:type="auto"/>
            <w:vAlign w:val="center"/>
            <w:hideMark/>
          </w:tcPr>
          <w:p w14:paraId="2679C81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86, female</w:t>
            </w:r>
          </w:p>
        </w:tc>
      </w:tr>
      <w:tr w:rsidR="006A270A" w:rsidRPr="006A270A" w14:paraId="364914B6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0075D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Comorbidities</w:t>
            </w:r>
          </w:p>
        </w:tc>
        <w:tc>
          <w:tcPr>
            <w:tcW w:w="0" w:type="auto"/>
            <w:vAlign w:val="center"/>
            <w:hideMark/>
          </w:tcPr>
          <w:p w14:paraId="053751C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Advanced dementia</w:t>
            </w:r>
          </w:p>
        </w:tc>
      </w:tr>
      <w:tr w:rsidR="006A270A" w:rsidRPr="006A270A" w14:paraId="0DACCD4E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C66A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Urinary tract intervention</w:t>
            </w:r>
          </w:p>
        </w:tc>
        <w:tc>
          <w:tcPr>
            <w:tcW w:w="0" w:type="auto"/>
            <w:vAlign w:val="center"/>
            <w:hideMark/>
          </w:tcPr>
          <w:p w14:paraId="6CEAFB05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6A270A" w:rsidRPr="006A270A" w14:paraId="148A3D5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CDEC3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Presumed portal of entry</w:t>
            </w:r>
          </w:p>
        </w:tc>
        <w:tc>
          <w:tcPr>
            <w:tcW w:w="0" w:type="auto"/>
            <w:vAlign w:val="center"/>
            <w:hideMark/>
          </w:tcPr>
          <w:p w14:paraId="550AA5D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Urogenital tract possible, but not clearly established</w:t>
            </w:r>
          </w:p>
        </w:tc>
      </w:tr>
      <w:tr w:rsidR="006A270A" w:rsidRPr="006A270A" w14:paraId="1B6FED23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030F0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Valve type</w:t>
            </w:r>
          </w:p>
        </w:tc>
        <w:tc>
          <w:tcPr>
            <w:tcW w:w="0" w:type="auto"/>
            <w:vAlign w:val="center"/>
            <w:hideMark/>
          </w:tcPr>
          <w:p w14:paraId="0342241C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Native</w:t>
            </w:r>
          </w:p>
        </w:tc>
      </w:tr>
      <w:tr w:rsidR="006A270A" w:rsidRPr="006A270A" w14:paraId="42E2F247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91C9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Location of infected valve</w:t>
            </w:r>
          </w:p>
        </w:tc>
        <w:tc>
          <w:tcPr>
            <w:tcW w:w="0" w:type="auto"/>
            <w:vAlign w:val="center"/>
            <w:hideMark/>
          </w:tcPr>
          <w:p w14:paraId="1CFA2179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Mitral</w:t>
            </w:r>
          </w:p>
        </w:tc>
      </w:tr>
      <w:tr w:rsidR="006A270A" w:rsidRPr="006A270A" w14:paraId="783035F1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56709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Local complication</w:t>
            </w:r>
          </w:p>
        </w:tc>
        <w:tc>
          <w:tcPr>
            <w:tcW w:w="0" w:type="auto"/>
            <w:vAlign w:val="center"/>
            <w:hideMark/>
          </w:tcPr>
          <w:p w14:paraId="0DFE8490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Mitral valve vegetation; no local destructive complication reported</w:t>
            </w:r>
          </w:p>
        </w:tc>
      </w:tr>
      <w:tr w:rsidR="006A270A" w:rsidRPr="006A270A" w14:paraId="1C11C6CF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2502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Systemic complication</w:t>
            </w:r>
          </w:p>
        </w:tc>
        <w:tc>
          <w:tcPr>
            <w:tcW w:w="0" w:type="auto"/>
            <w:vAlign w:val="center"/>
            <w:hideMark/>
          </w:tcPr>
          <w:p w14:paraId="44195D0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Splinter hemorrhage, Osler nodes, Janeway lesions; fatal nosocomial pneumonia during treatment</w:t>
            </w:r>
          </w:p>
        </w:tc>
      </w:tr>
      <w:tr w:rsidR="006A270A" w:rsidRPr="006A270A" w14:paraId="2408C334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4A5B3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Microbiological confirmation</w:t>
            </w:r>
          </w:p>
        </w:tc>
        <w:tc>
          <w:tcPr>
            <w:tcW w:w="0" w:type="auto"/>
            <w:vAlign w:val="center"/>
            <w:hideMark/>
          </w:tcPr>
          <w:p w14:paraId="5A55AE33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Actinotignum</w:t>
            </w:r>
            <w:proofErr w:type="spellEnd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schaalii</w:t>
            </w:r>
            <w:proofErr w:type="spellEnd"/>
            <w:r w:rsidRPr="006A270A">
              <w:rPr>
                <w:rFonts w:ascii="Arial" w:hAnsi="Arial" w:cs="Arial"/>
                <w:sz w:val="20"/>
                <w:szCs w:val="20"/>
              </w:rPr>
              <w:t xml:space="preserve"> grew in both blood and urine cultures</w:t>
            </w:r>
          </w:p>
        </w:tc>
      </w:tr>
      <w:tr w:rsidR="006A270A" w:rsidRPr="006A270A" w14:paraId="75C239A8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57236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lastRenderedPageBreak/>
              <w:t>Diagnostic issue</w:t>
            </w:r>
          </w:p>
        </w:tc>
        <w:tc>
          <w:tcPr>
            <w:tcW w:w="0" w:type="auto"/>
            <w:vAlign w:val="center"/>
            <w:hideMark/>
          </w:tcPr>
          <w:p w14:paraId="406B770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Limited microbiological details reported; case highlights potential misidentification and clinical difficulty in frail older adults</w:t>
            </w:r>
          </w:p>
        </w:tc>
      </w:tr>
      <w:tr w:rsidR="006A270A" w:rsidRPr="006A270A" w14:paraId="156DB3F4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AD45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Surgery</w:t>
            </w:r>
          </w:p>
        </w:tc>
        <w:tc>
          <w:tcPr>
            <w:tcW w:w="0" w:type="auto"/>
            <w:vAlign w:val="center"/>
            <w:hideMark/>
          </w:tcPr>
          <w:p w14:paraId="0122218C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6A270A" w:rsidRPr="006A270A" w14:paraId="2C1007BF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D650B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Antibiotics</w:t>
            </w:r>
          </w:p>
        </w:tc>
        <w:tc>
          <w:tcPr>
            <w:tcW w:w="0" w:type="auto"/>
            <w:vAlign w:val="center"/>
            <w:hideMark/>
          </w:tcPr>
          <w:p w14:paraId="2D3A2E5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Ceftriaxone / culture-directed antibiotics</w:t>
            </w:r>
          </w:p>
        </w:tc>
      </w:tr>
      <w:tr w:rsidR="006A270A" w:rsidRPr="006A270A" w14:paraId="2E3018A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6078E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485CE0FD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Not reported</w:t>
            </w:r>
          </w:p>
        </w:tc>
      </w:tr>
      <w:tr w:rsidR="006A270A" w:rsidRPr="006A270A" w14:paraId="682D9057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EE19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4F9026CE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Died; death occurred while receiving culture-directed antibiotics, due to nosocomial pneumonia</w:t>
            </w:r>
          </w:p>
        </w:tc>
      </w:tr>
    </w:tbl>
    <w:p w14:paraId="17029B0A" w14:textId="77777777" w:rsidR="006A270A" w:rsidRDefault="006A270A" w:rsidP="006A270A">
      <w:pPr>
        <w:rPr>
          <w:rFonts w:ascii="Arial" w:hAnsi="Arial" w:cs="Arial"/>
          <w:b/>
          <w:bCs/>
          <w:sz w:val="20"/>
          <w:szCs w:val="20"/>
        </w:rPr>
      </w:pPr>
    </w:p>
    <w:p w14:paraId="36536F23" w14:textId="229DB3AC" w:rsidR="006A270A" w:rsidRPr="006A270A" w:rsidRDefault="006A270A" w:rsidP="006A270A">
      <w:pPr>
        <w:rPr>
          <w:rFonts w:ascii="Arial" w:hAnsi="Arial" w:cs="Arial"/>
          <w:b/>
          <w:bCs/>
          <w:sz w:val="20"/>
          <w:szCs w:val="20"/>
        </w:rPr>
      </w:pPr>
      <w:r w:rsidRPr="006A270A">
        <w:rPr>
          <w:rFonts w:ascii="Arial" w:hAnsi="Arial" w:cs="Arial"/>
          <w:b/>
          <w:bCs/>
          <w:sz w:val="20"/>
          <w:szCs w:val="20"/>
        </w:rPr>
        <w:t xml:space="preserve">5. </w:t>
      </w:r>
      <w:proofErr w:type="spellStart"/>
      <w:r w:rsidRPr="006A270A">
        <w:rPr>
          <w:rFonts w:ascii="Arial" w:hAnsi="Arial" w:cs="Arial"/>
          <w:b/>
          <w:bCs/>
          <w:sz w:val="20"/>
          <w:szCs w:val="20"/>
        </w:rPr>
        <w:t>Rallet</w:t>
      </w:r>
      <w:proofErr w:type="spellEnd"/>
      <w:r w:rsidRPr="006A270A">
        <w:rPr>
          <w:rFonts w:ascii="Arial" w:hAnsi="Arial" w:cs="Arial"/>
          <w:b/>
          <w:bCs/>
          <w:sz w:val="20"/>
          <w:szCs w:val="20"/>
        </w:rPr>
        <w:t xml:space="preserve"> et al. / 2025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9"/>
        <w:gridCol w:w="7987"/>
      </w:tblGrid>
      <w:tr w:rsidR="006A270A" w:rsidRPr="006A270A" w14:paraId="2F079311" w14:textId="77777777" w:rsidTr="006A270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DB638A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Column</w:t>
            </w:r>
          </w:p>
        </w:tc>
        <w:tc>
          <w:tcPr>
            <w:tcW w:w="0" w:type="auto"/>
            <w:vAlign w:val="center"/>
            <w:hideMark/>
          </w:tcPr>
          <w:p w14:paraId="30866619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Entry</w:t>
            </w:r>
          </w:p>
        </w:tc>
      </w:tr>
      <w:tr w:rsidR="006A270A" w:rsidRPr="006A270A" w14:paraId="7640D87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1BFAD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Reference / publication year</w:t>
            </w:r>
          </w:p>
        </w:tc>
        <w:tc>
          <w:tcPr>
            <w:tcW w:w="0" w:type="auto"/>
            <w:vAlign w:val="center"/>
            <w:hideMark/>
          </w:tcPr>
          <w:p w14:paraId="68433B25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270A">
              <w:rPr>
                <w:rFonts w:ascii="Arial" w:hAnsi="Arial" w:cs="Arial"/>
                <w:sz w:val="20"/>
                <w:szCs w:val="20"/>
              </w:rPr>
              <w:t>Rallet</w:t>
            </w:r>
            <w:proofErr w:type="spellEnd"/>
            <w:r w:rsidRPr="006A270A">
              <w:rPr>
                <w:rFonts w:ascii="Arial" w:hAnsi="Arial" w:cs="Arial"/>
                <w:sz w:val="20"/>
                <w:szCs w:val="20"/>
              </w:rPr>
              <w:t xml:space="preserve"> et al. / 2025</w:t>
            </w:r>
          </w:p>
        </w:tc>
      </w:tr>
      <w:tr w:rsidR="006A270A" w:rsidRPr="006A270A" w14:paraId="5B58EC1A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D9896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Age, sex</w:t>
            </w:r>
          </w:p>
        </w:tc>
        <w:tc>
          <w:tcPr>
            <w:tcW w:w="0" w:type="auto"/>
            <w:vAlign w:val="center"/>
            <w:hideMark/>
          </w:tcPr>
          <w:p w14:paraId="74938B6E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54, male*</w:t>
            </w:r>
          </w:p>
        </w:tc>
      </w:tr>
      <w:tr w:rsidR="006A270A" w:rsidRPr="006A270A" w14:paraId="6462CE98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68612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Comorbidities</w:t>
            </w:r>
          </w:p>
        </w:tc>
        <w:tc>
          <w:tcPr>
            <w:tcW w:w="0" w:type="auto"/>
            <w:vAlign w:val="center"/>
            <w:hideMark/>
          </w:tcPr>
          <w:p w14:paraId="61325E9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Prior Bentall procedure with mechanical aortic valve for aortic insufficiency associated with ascending aortic aneurysm and localized dissection; later coronary ostial pseudoaneurysm requiring surgical reintervention; recent tooth extraction</w:t>
            </w:r>
          </w:p>
        </w:tc>
      </w:tr>
      <w:tr w:rsidR="006A270A" w:rsidRPr="006A270A" w14:paraId="4C81F685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C88F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Urinary tract intervention</w:t>
            </w:r>
          </w:p>
        </w:tc>
        <w:tc>
          <w:tcPr>
            <w:tcW w:w="0" w:type="auto"/>
            <w:vAlign w:val="center"/>
            <w:hideMark/>
          </w:tcPr>
          <w:p w14:paraId="393F4D3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6A270A" w:rsidRPr="006A270A" w14:paraId="214FA888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DB275B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Presumed portal of entry</w:t>
            </w:r>
          </w:p>
        </w:tc>
        <w:tc>
          <w:tcPr>
            <w:tcW w:w="0" w:type="auto"/>
            <w:vAlign w:val="center"/>
            <w:hideMark/>
          </w:tcPr>
          <w:p w14:paraId="62819C22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Not identified; urinary cultures remained sterile</w:t>
            </w:r>
          </w:p>
        </w:tc>
      </w:tr>
      <w:tr w:rsidR="006A270A" w:rsidRPr="006A270A" w14:paraId="25D7D68A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13DA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Valve type</w:t>
            </w:r>
          </w:p>
        </w:tc>
        <w:tc>
          <w:tcPr>
            <w:tcW w:w="0" w:type="auto"/>
            <w:vAlign w:val="center"/>
            <w:hideMark/>
          </w:tcPr>
          <w:p w14:paraId="32A60342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Prosthetic / vascular prosthesis, mechanical Bentall conduit</w:t>
            </w:r>
          </w:p>
        </w:tc>
      </w:tr>
      <w:tr w:rsidR="006A270A" w:rsidRPr="006A270A" w14:paraId="31C5E05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E449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Location of infected valve</w:t>
            </w:r>
          </w:p>
        </w:tc>
        <w:tc>
          <w:tcPr>
            <w:tcW w:w="0" w:type="auto"/>
            <w:vAlign w:val="center"/>
            <w:hideMark/>
          </w:tcPr>
          <w:p w14:paraId="29AB7575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Aortic prosthetic material</w:t>
            </w:r>
          </w:p>
        </w:tc>
      </w:tr>
      <w:tr w:rsidR="006A270A" w:rsidRPr="006A270A" w14:paraId="6642E435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C7DD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Local complication</w:t>
            </w:r>
          </w:p>
        </w:tc>
        <w:tc>
          <w:tcPr>
            <w:tcW w:w="0" w:type="auto"/>
            <w:vAlign w:val="center"/>
            <w:hideMark/>
          </w:tcPr>
          <w:p w14:paraId="1EB3795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 xml:space="preserve">Periprosthetic abscess, fistulization into the sinus of Valsalva and prosthetic graft, pseudoaneurysm, complete Bentall conduit dehiscence, extensive aorto-mitral trigone </w:t>
            </w:r>
            <w:r w:rsidRPr="006A270A">
              <w:rPr>
                <w:rFonts w:ascii="Arial" w:hAnsi="Arial" w:cs="Arial"/>
                <w:sz w:val="20"/>
                <w:szCs w:val="20"/>
              </w:rPr>
              <w:lastRenderedPageBreak/>
              <w:t>destruction</w:t>
            </w:r>
          </w:p>
        </w:tc>
      </w:tr>
      <w:tr w:rsidR="006A270A" w:rsidRPr="006A270A" w14:paraId="5257B5A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9AAC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lastRenderedPageBreak/>
              <w:t>Systemic complication</w:t>
            </w:r>
          </w:p>
        </w:tc>
        <w:tc>
          <w:tcPr>
            <w:tcW w:w="0" w:type="auto"/>
            <w:vAlign w:val="center"/>
            <w:hideMark/>
          </w:tcPr>
          <w:p w14:paraId="5259993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Recurrent embolic strokes</w:t>
            </w:r>
          </w:p>
        </w:tc>
      </w:tr>
      <w:tr w:rsidR="006A270A" w:rsidRPr="006A270A" w14:paraId="3F2AA3A1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0F6B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Microbiological confirmation</w:t>
            </w:r>
          </w:p>
        </w:tc>
        <w:tc>
          <w:tcPr>
            <w:tcW w:w="0" w:type="auto"/>
            <w:vAlign w:val="center"/>
            <w:hideMark/>
          </w:tcPr>
          <w:p w14:paraId="166516DC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 xml:space="preserve">Blood cultures positive after prolonged incubation; Gram-positive bacillus initially identified as Corynebacterium spp.; later confirmed as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Actinotignum</w:t>
            </w:r>
            <w:proofErr w:type="spellEnd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schaalii</w:t>
            </w:r>
            <w:proofErr w:type="spellEnd"/>
            <w:r w:rsidRPr="006A270A">
              <w:rPr>
                <w:rFonts w:ascii="Arial" w:hAnsi="Arial" w:cs="Arial"/>
                <w:sz w:val="20"/>
                <w:szCs w:val="20"/>
              </w:rPr>
              <w:t xml:space="preserve">; prior intraoperative sample also retrospectively recognized as </w:t>
            </w:r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A.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schaalii</w:t>
            </w:r>
            <w:proofErr w:type="spellEnd"/>
          </w:p>
        </w:tc>
      </w:tr>
      <w:tr w:rsidR="006A270A" w:rsidRPr="006A270A" w14:paraId="4F781AFB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429A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Diagnostic issue</w:t>
            </w:r>
          </w:p>
        </w:tc>
        <w:tc>
          <w:tcPr>
            <w:tcW w:w="0" w:type="auto"/>
            <w:vAlign w:val="center"/>
            <w:hideMark/>
          </w:tcPr>
          <w:p w14:paraId="2350026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Delayed diagnosis due to prolonged incubation, initial misidentification as Corynebacterium spp., and absence of clear urinary source; TTE/TEE did not show definitive vegetation initially, whereas PET/CT and cardiac CT were diagnostically important</w:t>
            </w:r>
          </w:p>
        </w:tc>
      </w:tr>
      <w:tr w:rsidR="006A270A" w:rsidRPr="006A270A" w14:paraId="4560A750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FDD8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Surgery</w:t>
            </w:r>
          </w:p>
        </w:tc>
        <w:tc>
          <w:tcPr>
            <w:tcW w:w="0" w:type="auto"/>
            <w:vAlign w:val="center"/>
            <w:hideMark/>
          </w:tcPr>
          <w:p w14:paraId="6ED390A3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Yes; third surgery attempted, but reconstruction was deemed unfeasible because of extensive tissue destruction</w:t>
            </w:r>
          </w:p>
        </w:tc>
      </w:tr>
      <w:tr w:rsidR="006A270A" w:rsidRPr="006A270A" w14:paraId="1B4D1AE0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F89B2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Antibiotics</w:t>
            </w:r>
          </w:p>
        </w:tc>
        <w:tc>
          <w:tcPr>
            <w:tcW w:w="0" w:type="auto"/>
            <w:vAlign w:val="center"/>
            <w:hideMark/>
          </w:tcPr>
          <w:p w14:paraId="11523F25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Amoxicillin-based therapy</w:t>
            </w:r>
          </w:p>
        </w:tc>
      </w:tr>
      <w:tr w:rsidR="006A270A" w:rsidRPr="006A270A" w14:paraId="63DA0A34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0CD232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1EE8CBAA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8 days</w:t>
            </w:r>
          </w:p>
        </w:tc>
      </w:tr>
      <w:tr w:rsidR="006A270A" w:rsidRPr="006A270A" w14:paraId="36AF09E1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657BD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5A20C83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Died</w:t>
            </w:r>
          </w:p>
        </w:tc>
      </w:tr>
    </w:tbl>
    <w:p w14:paraId="77A926BE" w14:textId="77777777" w:rsidR="006A270A" w:rsidRDefault="006A270A">
      <w:pPr>
        <w:rPr>
          <w:rFonts w:ascii="Arial" w:hAnsi="Arial" w:cs="Arial"/>
          <w:sz w:val="20"/>
          <w:szCs w:val="20"/>
        </w:rPr>
      </w:pPr>
    </w:p>
    <w:p w14:paraId="676AB6FE" w14:textId="77777777" w:rsidR="006A270A" w:rsidRPr="006A270A" w:rsidRDefault="006A270A" w:rsidP="006A270A">
      <w:pPr>
        <w:rPr>
          <w:rFonts w:ascii="Arial" w:hAnsi="Arial" w:cs="Arial"/>
          <w:b/>
          <w:bCs/>
          <w:sz w:val="20"/>
          <w:szCs w:val="20"/>
        </w:rPr>
      </w:pPr>
      <w:r w:rsidRPr="006A270A">
        <w:rPr>
          <w:rFonts w:ascii="Arial" w:hAnsi="Arial" w:cs="Arial"/>
          <w:b/>
          <w:bCs/>
          <w:sz w:val="20"/>
          <w:szCs w:val="20"/>
        </w:rPr>
        <w:t>6. Present case / 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7925"/>
      </w:tblGrid>
      <w:tr w:rsidR="006A270A" w:rsidRPr="006A270A" w14:paraId="24126BD8" w14:textId="77777777" w:rsidTr="006A270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FB1E98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Column</w:t>
            </w:r>
          </w:p>
        </w:tc>
        <w:tc>
          <w:tcPr>
            <w:tcW w:w="0" w:type="auto"/>
            <w:vAlign w:val="center"/>
            <w:hideMark/>
          </w:tcPr>
          <w:p w14:paraId="53D16B69" w14:textId="77777777" w:rsidR="006A270A" w:rsidRPr="006A270A" w:rsidRDefault="006A270A" w:rsidP="006A2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70A">
              <w:rPr>
                <w:rFonts w:ascii="Arial" w:hAnsi="Arial" w:cs="Arial"/>
                <w:b/>
                <w:bCs/>
                <w:sz w:val="20"/>
                <w:szCs w:val="20"/>
              </w:rPr>
              <w:t>Entry</w:t>
            </w:r>
          </w:p>
        </w:tc>
      </w:tr>
      <w:tr w:rsidR="006A270A" w:rsidRPr="006A270A" w14:paraId="1F442BDD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008FE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Reference / publication year</w:t>
            </w:r>
          </w:p>
        </w:tc>
        <w:tc>
          <w:tcPr>
            <w:tcW w:w="0" w:type="auto"/>
            <w:vAlign w:val="center"/>
            <w:hideMark/>
          </w:tcPr>
          <w:p w14:paraId="6F25FC12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Present case / 2026</w:t>
            </w:r>
          </w:p>
        </w:tc>
      </w:tr>
      <w:tr w:rsidR="006A270A" w:rsidRPr="006A270A" w14:paraId="11485C1C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3715D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Age, sex</w:t>
            </w:r>
          </w:p>
        </w:tc>
        <w:tc>
          <w:tcPr>
            <w:tcW w:w="0" w:type="auto"/>
            <w:vAlign w:val="center"/>
            <w:hideMark/>
          </w:tcPr>
          <w:p w14:paraId="3D30B97A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71, male</w:t>
            </w:r>
          </w:p>
        </w:tc>
      </w:tr>
      <w:tr w:rsidR="006A270A" w:rsidRPr="006A270A" w14:paraId="4D26A4C8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2490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Comorbidities</w:t>
            </w:r>
          </w:p>
        </w:tc>
        <w:tc>
          <w:tcPr>
            <w:tcW w:w="0" w:type="auto"/>
            <w:vAlign w:val="center"/>
            <w:hideMark/>
          </w:tcPr>
          <w:p w14:paraId="12B88DDA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BPH, horseshoe kidney, CKD, hyperlipidemia, bioprosthetic AVR 7 months earlier</w:t>
            </w:r>
          </w:p>
        </w:tc>
      </w:tr>
      <w:tr w:rsidR="006A270A" w:rsidRPr="006A270A" w14:paraId="525B6571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C7C86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Urinary tract intervention</w:t>
            </w:r>
          </w:p>
        </w:tc>
        <w:tc>
          <w:tcPr>
            <w:tcW w:w="0" w:type="auto"/>
            <w:vAlign w:val="center"/>
            <w:hideMark/>
          </w:tcPr>
          <w:p w14:paraId="4E9201C9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Yes; repeated clean intermittent self-catheterization</w:t>
            </w:r>
          </w:p>
        </w:tc>
      </w:tr>
      <w:tr w:rsidR="006A270A" w:rsidRPr="006A270A" w14:paraId="0F5EF313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F8FB2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 xml:space="preserve">Presumed portal of </w:t>
            </w:r>
            <w:r w:rsidRPr="006A270A">
              <w:rPr>
                <w:rFonts w:ascii="Arial" w:hAnsi="Arial" w:cs="Arial"/>
                <w:sz w:val="20"/>
                <w:szCs w:val="20"/>
              </w:rPr>
              <w:lastRenderedPageBreak/>
              <w:t>entry</w:t>
            </w:r>
          </w:p>
        </w:tc>
        <w:tc>
          <w:tcPr>
            <w:tcW w:w="0" w:type="auto"/>
            <w:vAlign w:val="center"/>
            <w:hideMark/>
          </w:tcPr>
          <w:p w14:paraId="62486BDD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lastRenderedPageBreak/>
              <w:t>Urogenital tract</w:t>
            </w:r>
          </w:p>
        </w:tc>
      </w:tr>
      <w:tr w:rsidR="006A270A" w:rsidRPr="006A270A" w14:paraId="58A94ADB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FE80F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Valve type</w:t>
            </w:r>
          </w:p>
        </w:tc>
        <w:tc>
          <w:tcPr>
            <w:tcW w:w="0" w:type="auto"/>
            <w:vAlign w:val="center"/>
            <w:hideMark/>
          </w:tcPr>
          <w:p w14:paraId="39965E3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Prosthetic, bioprosthetic</w:t>
            </w:r>
          </w:p>
        </w:tc>
      </w:tr>
      <w:tr w:rsidR="006A270A" w:rsidRPr="006A270A" w14:paraId="53BC040F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99C75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Location of infected valve</w:t>
            </w:r>
          </w:p>
        </w:tc>
        <w:tc>
          <w:tcPr>
            <w:tcW w:w="0" w:type="auto"/>
            <w:vAlign w:val="center"/>
            <w:hideMark/>
          </w:tcPr>
          <w:p w14:paraId="12E419BC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Aortic</w:t>
            </w:r>
          </w:p>
        </w:tc>
      </w:tr>
      <w:tr w:rsidR="006A270A" w:rsidRPr="006A270A" w14:paraId="78159CE7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4873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Local complication</w:t>
            </w:r>
          </w:p>
        </w:tc>
        <w:tc>
          <w:tcPr>
            <w:tcW w:w="0" w:type="auto"/>
            <w:vAlign w:val="center"/>
            <w:hideMark/>
          </w:tcPr>
          <w:p w14:paraId="35F44C0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 xml:space="preserve">Large vegetation (20 × 9 mm), </w:t>
            </w:r>
            <w:proofErr w:type="spellStart"/>
            <w:r w:rsidRPr="006A270A">
              <w:rPr>
                <w:rFonts w:ascii="Arial" w:hAnsi="Arial" w:cs="Arial"/>
                <w:sz w:val="20"/>
                <w:szCs w:val="20"/>
              </w:rPr>
              <w:t>subvalvular</w:t>
            </w:r>
            <w:proofErr w:type="spellEnd"/>
            <w:r w:rsidRPr="006A270A">
              <w:rPr>
                <w:rFonts w:ascii="Arial" w:hAnsi="Arial" w:cs="Arial"/>
                <w:sz w:val="20"/>
                <w:szCs w:val="20"/>
              </w:rPr>
              <w:t xml:space="preserve"> vegetation, abnormal granulation tissue; no prosthetic dehiscence</w:t>
            </w:r>
          </w:p>
        </w:tc>
      </w:tr>
      <w:tr w:rsidR="006A270A" w:rsidRPr="006A270A" w14:paraId="1AC23F5F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14D7D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Systemic complication</w:t>
            </w:r>
          </w:p>
        </w:tc>
        <w:tc>
          <w:tcPr>
            <w:tcW w:w="0" w:type="auto"/>
            <w:vAlign w:val="center"/>
            <w:hideMark/>
          </w:tcPr>
          <w:p w14:paraId="2E76B31E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Severe AKI requiring temporary hemodialysis, severe hyperkalemia, postoperative mixed shock</w:t>
            </w:r>
          </w:p>
        </w:tc>
      </w:tr>
      <w:tr w:rsidR="006A270A" w:rsidRPr="006A270A" w14:paraId="6AC46AB2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05DF3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Microbiological confirmation</w:t>
            </w:r>
          </w:p>
        </w:tc>
        <w:tc>
          <w:tcPr>
            <w:tcW w:w="0" w:type="auto"/>
            <w:vAlign w:val="center"/>
            <w:hideMark/>
          </w:tcPr>
          <w:p w14:paraId="61509080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 xml:space="preserve">Blood and urine cultures positive; best MALDI-TOF MS match was </w:t>
            </w:r>
            <w:proofErr w:type="spellStart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Actinotignum</w:t>
            </w:r>
            <w:proofErr w:type="spellEnd"/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sanguinis</w:t>
            </w:r>
            <w:r w:rsidRPr="006A270A">
              <w:rPr>
                <w:rFonts w:ascii="Arial" w:hAnsi="Arial" w:cs="Arial"/>
                <w:sz w:val="20"/>
                <w:szCs w:val="20"/>
              </w:rPr>
              <w:t xml:space="preserve"> in both isolates; no 16S rRNA gene sequencing</w:t>
            </w:r>
          </w:p>
        </w:tc>
      </w:tr>
      <w:tr w:rsidR="006A270A" w:rsidRPr="006A270A" w14:paraId="5CC78ED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E1399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Diagnostic issue</w:t>
            </w:r>
          </w:p>
        </w:tc>
        <w:tc>
          <w:tcPr>
            <w:tcW w:w="0" w:type="auto"/>
            <w:vAlign w:val="center"/>
            <w:hideMark/>
          </w:tcPr>
          <w:p w14:paraId="44827B78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Delayed microbiological identification; standard urine culture negative despite Gram-positive and Gram-negative rods on Gram stain; anaerobic culture positive; species-level identification remained unconfirmed</w:t>
            </w:r>
          </w:p>
        </w:tc>
      </w:tr>
      <w:tr w:rsidR="006A270A" w:rsidRPr="006A270A" w14:paraId="2B7615F4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FF60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Surgery</w:t>
            </w:r>
          </w:p>
        </w:tc>
        <w:tc>
          <w:tcPr>
            <w:tcW w:w="0" w:type="auto"/>
            <w:vAlign w:val="center"/>
            <w:hideMark/>
          </w:tcPr>
          <w:p w14:paraId="554DF9D4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Yes; valve-preserving debridement and SVG–RCA CABG</w:t>
            </w:r>
          </w:p>
        </w:tc>
      </w:tr>
      <w:tr w:rsidR="006A270A" w:rsidRPr="006A270A" w14:paraId="6CD87CA1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5069B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Antibiotics</w:t>
            </w:r>
          </w:p>
        </w:tc>
        <w:tc>
          <w:tcPr>
            <w:tcW w:w="0" w:type="auto"/>
            <w:vAlign w:val="center"/>
            <w:hideMark/>
          </w:tcPr>
          <w:p w14:paraId="494B67C3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 xml:space="preserve">Ceftriaxone/linezolid → ampicillin; later broad-spectrum therapy for postoperative </w:t>
            </w:r>
            <w:r w:rsidRPr="006A270A">
              <w:rPr>
                <w:rFonts w:ascii="Arial" w:hAnsi="Arial" w:cs="Arial"/>
                <w:i/>
                <w:iCs/>
                <w:sz w:val="20"/>
                <w:szCs w:val="20"/>
              </w:rPr>
              <w:t>Pseudomonas aeruginosa</w:t>
            </w:r>
            <w:r w:rsidRPr="006A270A">
              <w:rPr>
                <w:rFonts w:ascii="Arial" w:hAnsi="Arial" w:cs="Arial"/>
                <w:sz w:val="20"/>
                <w:szCs w:val="20"/>
              </w:rPr>
              <w:t xml:space="preserve"> infection</w:t>
            </w:r>
          </w:p>
        </w:tc>
      </w:tr>
      <w:tr w:rsidR="006A270A" w:rsidRPr="006A270A" w14:paraId="28D53D29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20FB1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4390E606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40 days</w:t>
            </w:r>
          </w:p>
        </w:tc>
      </w:tr>
      <w:tr w:rsidR="006A270A" w:rsidRPr="006A270A" w14:paraId="6B582C13" w14:textId="77777777" w:rsidTr="006A27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8249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42C06E67" w14:textId="77777777" w:rsidR="006A270A" w:rsidRPr="006A270A" w:rsidRDefault="006A270A" w:rsidP="006A270A">
            <w:pPr>
              <w:rPr>
                <w:rFonts w:ascii="Arial" w:hAnsi="Arial" w:cs="Arial"/>
                <w:sz w:val="20"/>
                <w:szCs w:val="20"/>
              </w:rPr>
            </w:pPr>
            <w:r w:rsidRPr="006A270A">
              <w:rPr>
                <w:rFonts w:ascii="Arial" w:hAnsi="Arial" w:cs="Arial"/>
                <w:sz w:val="20"/>
                <w:szCs w:val="20"/>
              </w:rPr>
              <w:t>Improved; vegetation disappeared, prosthetic valve function preserved, dialysis-free with functional recovery</w:t>
            </w:r>
          </w:p>
        </w:tc>
      </w:tr>
    </w:tbl>
    <w:p w14:paraId="309FB9C2" w14:textId="77777777" w:rsidR="006A270A" w:rsidRPr="006A270A" w:rsidRDefault="00000000" w:rsidP="006A27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30C9FD54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276A626A" w14:textId="0AEEC8DA" w:rsidR="006A270A" w:rsidRDefault="006A270A" w:rsidP="006A270A">
      <w:pPr>
        <w:rPr>
          <w:rFonts w:ascii="Arial" w:hAnsi="Arial" w:cs="Arial"/>
          <w:b/>
          <w:bCs/>
          <w:sz w:val="20"/>
          <w:szCs w:val="20"/>
        </w:rPr>
      </w:pPr>
      <w:r w:rsidRPr="006A270A">
        <w:rPr>
          <w:rFonts w:ascii="Arial" w:hAnsi="Arial" w:cs="Arial"/>
          <w:b/>
          <w:bCs/>
          <w:sz w:val="20"/>
          <w:szCs w:val="20"/>
        </w:rPr>
        <w:t xml:space="preserve">Supplementary Table 1. Detailed summary cards of reported </w:t>
      </w:r>
      <w:proofErr w:type="spellStart"/>
      <w:r w:rsidRPr="006A270A">
        <w:rPr>
          <w:rFonts w:ascii="Arial" w:hAnsi="Arial" w:cs="Arial"/>
          <w:b/>
          <w:bCs/>
          <w:sz w:val="20"/>
          <w:szCs w:val="20"/>
        </w:rPr>
        <w:t>Actinobaculum</w:t>
      </w:r>
      <w:proofErr w:type="spellEnd"/>
      <w:r w:rsidRPr="006A270A">
        <w:rPr>
          <w:rFonts w:ascii="Arial" w:hAnsi="Arial" w:cs="Arial"/>
          <w:b/>
          <w:bCs/>
          <w:sz w:val="20"/>
          <w:szCs w:val="20"/>
        </w:rPr>
        <w:t>/</w:t>
      </w:r>
      <w:proofErr w:type="spellStart"/>
      <w:r w:rsidRPr="006A270A">
        <w:rPr>
          <w:rFonts w:ascii="Arial" w:hAnsi="Arial" w:cs="Arial"/>
          <w:b/>
          <w:bCs/>
          <w:sz w:val="20"/>
          <w:szCs w:val="20"/>
        </w:rPr>
        <w:t>Actinotignum</w:t>
      </w:r>
      <w:proofErr w:type="spellEnd"/>
      <w:r w:rsidRPr="006A270A">
        <w:rPr>
          <w:rFonts w:ascii="Arial" w:hAnsi="Arial" w:cs="Arial"/>
          <w:b/>
          <w:bCs/>
          <w:sz w:val="20"/>
          <w:szCs w:val="20"/>
        </w:rPr>
        <w:t>-associated infective endocarditis cases</w:t>
      </w:r>
    </w:p>
    <w:p w14:paraId="39C8F70D" w14:textId="77777777" w:rsidR="006A270A" w:rsidRPr="006A270A" w:rsidRDefault="006A270A" w:rsidP="006A270A">
      <w:pPr>
        <w:rPr>
          <w:rFonts w:ascii="Arial" w:hAnsi="Arial" w:cs="Arial"/>
          <w:sz w:val="20"/>
          <w:szCs w:val="20"/>
        </w:rPr>
      </w:pPr>
      <w:r w:rsidRPr="006A270A">
        <w:rPr>
          <w:rFonts w:ascii="Arial" w:hAnsi="Arial" w:cs="Arial"/>
          <w:b/>
          <w:bCs/>
          <w:sz w:val="20"/>
          <w:szCs w:val="20"/>
        </w:rPr>
        <w:t>Footnotes</w:t>
      </w:r>
    </w:p>
    <w:p w14:paraId="6DBA7534" w14:textId="77777777" w:rsidR="006A270A" w:rsidRPr="006A270A" w:rsidRDefault="006A270A" w:rsidP="006A27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A270A">
        <w:rPr>
          <w:rFonts w:ascii="Arial" w:hAnsi="Arial" w:cs="Arial"/>
          <w:sz w:val="20"/>
          <w:szCs w:val="20"/>
        </w:rPr>
        <w:t xml:space="preserve">AVR, aortic valve replacement; BPH, benign prostatic hyperplasia; CABG, coronary artery bypass grafting; CKD, chronic kidney disease; MALDI-TOF MS, matrix-assisted laser desorption/ionization time-of-flight mass spectrometry; SVG, saphenous vein graft. </w:t>
      </w:r>
    </w:p>
    <w:p w14:paraId="252F30AC" w14:textId="77777777" w:rsidR="006A270A" w:rsidRPr="006A270A" w:rsidRDefault="006A270A" w:rsidP="006A27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A270A">
        <w:rPr>
          <w:rFonts w:ascii="Arial" w:hAnsi="Arial" w:cs="Arial"/>
          <w:sz w:val="20"/>
          <w:szCs w:val="20"/>
        </w:rPr>
        <w:lastRenderedPageBreak/>
        <w:t xml:space="preserve">The present case is described as </w:t>
      </w:r>
      <w:proofErr w:type="spellStart"/>
      <w:r w:rsidRPr="006A270A">
        <w:rPr>
          <w:rFonts w:ascii="Arial" w:hAnsi="Arial" w:cs="Arial"/>
          <w:sz w:val="20"/>
          <w:szCs w:val="20"/>
        </w:rPr>
        <w:t>Actinotignum</w:t>
      </w:r>
      <w:proofErr w:type="spellEnd"/>
      <w:r w:rsidRPr="006A270A">
        <w:rPr>
          <w:rFonts w:ascii="Arial" w:hAnsi="Arial" w:cs="Arial"/>
          <w:sz w:val="20"/>
          <w:szCs w:val="20"/>
        </w:rPr>
        <w:t xml:space="preserve">-associated infective endocarditis because the best MALDI-TOF MS match was </w:t>
      </w:r>
      <w:proofErr w:type="spellStart"/>
      <w:r w:rsidRPr="006A270A">
        <w:rPr>
          <w:rFonts w:ascii="Arial" w:hAnsi="Arial" w:cs="Arial"/>
          <w:i/>
          <w:iCs/>
          <w:sz w:val="20"/>
          <w:szCs w:val="20"/>
        </w:rPr>
        <w:t>Actinotignum</w:t>
      </w:r>
      <w:proofErr w:type="spellEnd"/>
      <w:r w:rsidRPr="006A270A">
        <w:rPr>
          <w:rFonts w:ascii="Arial" w:hAnsi="Arial" w:cs="Arial"/>
          <w:i/>
          <w:iCs/>
          <w:sz w:val="20"/>
          <w:szCs w:val="20"/>
        </w:rPr>
        <w:t xml:space="preserve"> sanguinis</w:t>
      </w:r>
      <w:r w:rsidRPr="006A270A">
        <w:rPr>
          <w:rFonts w:ascii="Arial" w:hAnsi="Arial" w:cs="Arial"/>
          <w:sz w:val="20"/>
          <w:szCs w:val="20"/>
        </w:rPr>
        <w:t xml:space="preserve"> in both blood and urine isolates, but species-level identification was not confirmed by 16S rRNA gene sequencing. </w:t>
      </w:r>
    </w:p>
    <w:p w14:paraId="08647F9C" w14:textId="273D15F9" w:rsidR="006A270A" w:rsidRPr="00A84E34" w:rsidRDefault="006A270A" w:rsidP="00A84E3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A270A">
        <w:rPr>
          <w:rFonts w:ascii="Arial" w:hAnsi="Arial" w:cs="Arial"/>
          <w:sz w:val="20"/>
          <w:szCs w:val="20"/>
        </w:rPr>
        <w:t xml:space="preserve">For the present case, the 40-day duration indicates the total systemic antimicrobial course from initial ceftriaxone administration through completion of meropenem; later broad-spectrum therapy was administered for postoperative </w:t>
      </w:r>
      <w:r w:rsidRPr="006A270A">
        <w:rPr>
          <w:rFonts w:ascii="Arial" w:hAnsi="Arial" w:cs="Arial"/>
          <w:i/>
          <w:iCs/>
          <w:sz w:val="20"/>
          <w:szCs w:val="20"/>
        </w:rPr>
        <w:t>Pseudomonas aeruginosa</w:t>
      </w:r>
      <w:r w:rsidRPr="006A270A">
        <w:rPr>
          <w:rFonts w:ascii="Arial" w:hAnsi="Arial" w:cs="Arial"/>
          <w:sz w:val="20"/>
          <w:szCs w:val="20"/>
        </w:rPr>
        <w:t xml:space="preserve"> infection. </w:t>
      </w:r>
    </w:p>
    <w:sectPr w:rsidR="006A270A" w:rsidRPr="00A84E34" w:rsidSect="006A270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E749A" w14:textId="77777777" w:rsidR="00BA01E3" w:rsidRDefault="00BA01E3" w:rsidP="00A84E34">
      <w:pPr>
        <w:spacing w:after="0" w:line="240" w:lineRule="auto"/>
      </w:pPr>
      <w:r>
        <w:separator/>
      </w:r>
    </w:p>
  </w:endnote>
  <w:endnote w:type="continuationSeparator" w:id="0">
    <w:p w14:paraId="7718D307" w14:textId="77777777" w:rsidR="00BA01E3" w:rsidRDefault="00BA01E3" w:rsidP="00A84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D1DF8" w14:textId="77777777" w:rsidR="00BA01E3" w:rsidRDefault="00BA01E3" w:rsidP="00A84E34">
      <w:pPr>
        <w:spacing w:after="0" w:line="240" w:lineRule="auto"/>
      </w:pPr>
      <w:r>
        <w:separator/>
      </w:r>
    </w:p>
  </w:footnote>
  <w:footnote w:type="continuationSeparator" w:id="0">
    <w:p w14:paraId="468E784B" w14:textId="77777777" w:rsidR="00BA01E3" w:rsidRDefault="00BA01E3" w:rsidP="00A84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866A0"/>
    <w:multiLevelType w:val="multilevel"/>
    <w:tmpl w:val="C80E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491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0A"/>
    <w:rsid w:val="006A270A"/>
    <w:rsid w:val="00A84E34"/>
    <w:rsid w:val="00BA01E3"/>
    <w:rsid w:val="00DC4838"/>
    <w:rsid w:val="00E2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7A144"/>
  <w15:chartTrackingRefBased/>
  <w15:docId w15:val="{2A021915-294F-4922-BC2D-88581ECB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27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7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7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7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7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7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7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7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27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A27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A270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A27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A27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A27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A27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A27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A27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A270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A2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27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A27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2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A27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27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A27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A2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A27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A270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84E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84E34"/>
  </w:style>
  <w:style w:type="paragraph" w:styleId="ac">
    <w:name w:val="footer"/>
    <w:basedOn w:val="a"/>
    <w:link w:val="ad"/>
    <w:uiPriority w:val="99"/>
    <w:unhideWhenUsed/>
    <w:rsid w:val="00A84E3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84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3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1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1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3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1238</Words>
  <Characters>7063</Characters>
  <Application>Microsoft Office Word</Application>
  <DocSecurity>0</DocSecurity>
  <Lines>58</Lines>
  <Paragraphs>16</Paragraphs>
  <ScaleCrop>false</ScaleCrop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Norihiro Sakai</dc:creator>
  <cp:keywords/>
  <dc:description/>
  <cp:lastModifiedBy>Norihiro Sakai</cp:lastModifiedBy>
  <cp:revision>2</cp:revision>
  <dcterms:created xsi:type="dcterms:W3CDTF">2026-06-15T04:57:00Z</dcterms:created>
  <dcterms:modified xsi:type="dcterms:W3CDTF">2026-06-15T04:57:00Z</dcterms:modified>
</cp:coreProperties>
</file>